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DB" w:rsidRDefault="00D451DB" w:rsidP="00D451DB">
      <w:pPr>
        <w:spacing w:before="6" w:after="256" w:line="319" w:lineRule="exact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MARCAS DE REFERÊNCIA</w:t>
      </w:r>
    </w:p>
    <w:p w:rsidR="00D451DB" w:rsidRPr="00370A70" w:rsidRDefault="00D451DB" w:rsidP="00D451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93"/>
        <w:gridCol w:w="5380"/>
        <w:gridCol w:w="1190"/>
        <w:gridCol w:w="745"/>
        <w:gridCol w:w="1083"/>
      </w:tblGrid>
      <w:tr w:rsidR="0007022D" w:rsidRPr="000C7B5C" w:rsidTr="000702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7022D" w:rsidRPr="0004788A" w:rsidRDefault="0007022D" w:rsidP="00B06598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2"/>
                <w:szCs w:val="22"/>
              </w:rPr>
            </w:pPr>
            <w:r w:rsidRPr="0004788A">
              <w:rPr>
                <w:rFonts w:eastAsia="Batang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07022D" w:rsidRPr="0004788A" w:rsidRDefault="0007022D" w:rsidP="00B06598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2"/>
                <w:szCs w:val="22"/>
              </w:rPr>
            </w:pPr>
            <w:proofErr w:type="spellStart"/>
            <w:r w:rsidRPr="0004788A">
              <w:rPr>
                <w:rFonts w:eastAsia="Batang"/>
                <w:b/>
                <w:i/>
                <w:iCs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0" w:type="auto"/>
          </w:tcPr>
          <w:p w:rsidR="0007022D" w:rsidRPr="0004788A" w:rsidRDefault="0007022D" w:rsidP="00B06598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2"/>
                <w:szCs w:val="22"/>
              </w:rPr>
            </w:pPr>
            <w:r w:rsidRPr="0004788A">
              <w:rPr>
                <w:rFonts w:eastAsia="Batang"/>
                <w:b/>
                <w:i/>
                <w:iCs/>
                <w:sz w:val="22"/>
                <w:szCs w:val="22"/>
              </w:rPr>
              <w:t xml:space="preserve">Descrição do Objeto </w:t>
            </w:r>
          </w:p>
        </w:tc>
        <w:tc>
          <w:tcPr>
            <w:tcW w:w="0" w:type="auto"/>
          </w:tcPr>
          <w:p w:rsidR="0007022D" w:rsidRPr="0004788A" w:rsidRDefault="0007022D" w:rsidP="00B06598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2"/>
                <w:szCs w:val="22"/>
              </w:rPr>
            </w:pPr>
            <w:r>
              <w:rPr>
                <w:rFonts w:eastAsia="Batang"/>
                <w:b/>
                <w:iCs/>
                <w:sz w:val="22"/>
                <w:szCs w:val="22"/>
              </w:rPr>
              <w:t>Marca</w:t>
            </w:r>
          </w:p>
        </w:tc>
        <w:tc>
          <w:tcPr>
            <w:tcW w:w="0" w:type="auto"/>
          </w:tcPr>
          <w:p w:rsidR="0007022D" w:rsidRPr="0004788A" w:rsidRDefault="0007022D" w:rsidP="00B06598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2"/>
                <w:szCs w:val="22"/>
              </w:rPr>
            </w:pPr>
            <w:r w:rsidRPr="0004788A">
              <w:rPr>
                <w:rFonts w:eastAsia="Batang"/>
                <w:b/>
                <w:i/>
                <w:iCs/>
                <w:sz w:val="22"/>
                <w:szCs w:val="22"/>
              </w:rPr>
              <w:t>Quant</w:t>
            </w:r>
          </w:p>
        </w:tc>
        <w:tc>
          <w:tcPr>
            <w:tcW w:w="0" w:type="auto"/>
          </w:tcPr>
          <w:p w:rsidR="0007022D" w:rsidRPr="0004788A" w:rsidRDefault="0007022D" w:rsidP="00B06598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2"/>
                <w:szCs w:val="22"/>
              </w:rPr>
            </w:pPr>
            <w:r w:rsidRPr="0004788A">
              <w:rPr>
                <w:rFonts w:eastAsia="Batang"/>
                <w:b/>
                <w:i/>
                <w:iCs/>
                <w:sz w:val="22"/>
                <w:szCs w:val="22"/>
              </w:rPr>
              <w:t xml:space="preserve">Valor </w:t>
            </w:r>
            <w:r w:rsidRPr="000C7B5C">
              <w:rPr>
                <w:rFonts w:eastAsia="Batang"/>
                <w:b/>
                <w:i/>
                <w:iCs/>
                <w:sz w:val="22"/>
                <w:szCs w:val="22"/>
              </w:rPr>
              <w:t>Máximo</w:t>
            </w:r>
            <w:r w:rsidRPr="0004788A">
              <w:rPr>
                <w:rFonts w:eastAsia="Batang"/>
                <w:b/>
                <w:i/>
                <w:iCs/>
                <w:sz w:val="22"/>
                <w:szCs w:val="22"/>
              </w:rPr>
              <w:t xml:space="preserve"> Unitário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4788A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7022D" w:rsidRPr="0004788A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07022D" w:rsidRPr="0004788A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Apontador retangular simples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  <w:r w:rsidRPr="00651845">
              <w:t xml:space="preserve">Faber </w:t>
            </w:r>
            <w:proofErr w:type="spellStart"/>
            <w:r w:rsidRPr="00651845">
              <w:t>Castell</w:t>
            </w:r>
            <w:proofErr w:type="spellEnd"/>
          </w:p>
        </w:tc>
        <w:tc>
          <w:tcPr>
            <w:tcW w:w="0" w:type="auto"/>
          </w:tcPr>
          <w:p w:rsidR="0007022D" w:rsidRPr="0004788A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</w:tcPr>
          <w:p w:rsidR="0007022D" w:rsidRPr="0004788A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2,00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Kg.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Argila para trabalho escolar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2,00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Barbante cru 100% algodão - 500 metros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15,30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Borracha branca escolar nº. 20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0,70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Caderno costurado capa dura -196mmX275mm 96 folhas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  <w:proofErr w:type="spellStart"/>
            <w:r w:rsidRPr="00651845">
              <w:t>Credeal</w:t>
            </w:r>
            <w:proofErr w:type="spellEnd"/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200,00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7,15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Caderno costurado capa dura 1/4 -140mmX202mm  48 folhas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  <w:proofErr w:type="spellStart"/>
            <w:r w:rsidRPr="00651845">
              <w:t>Credeal</w:t>
            </w:r>
            <w:proofErr w:type="spellEnd"/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300,00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3,25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Caderno de desenho capa dura espiral - 275mmX200mm 60 folhas 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  <w:proofErr w:type="spellStart"/>
            <w:r>
              <w:t>Credeal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400,00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6,60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Caderno espiral capa dura formato 200x275mm - 10 </w:t>
            </w:r>
            <w:proofErr w:type="spellStart"/>
            <w:r w:rsidRPr="000C7B5C">
              <w:rPr>
                <w:sz w:val="22"/>
                <w:szCs w:val="22"/>
              </w:rPr>
              <w:t>materias</w:t>
            </w:r>
            <w:proofErr w:type="spellEnd"/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  <w:proofErr w:type="spellStart"/>
            <w:r>
              <w:t>Credeal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200,00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12,46</w:t>
            </w:r>
          </w:p>
        </w:tc>
      </w:tr>
      <w:tr w:rsidR="0007022D" w:rsidRPr="000C7B5C" w:rsidTr="007A3D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Caneta esferográfica escrita azul - </w:t>
            </w:r>
            <w:proofErr w:type="spellStart"/>
            <w:r w:rsidRPr="000C7B5C">
              <w:rPr>
                <w:sz w:val="22"/>
                <w:szCs w:val="22"/>
              </w:rPr>
              <w:t>cx</w:t>
            </w:r>
            <w:proofErr w:type="spellEnd"/>
            <w:r w:rsidRPr="000C7B5C">
              <w:rPr>
                <w:sz w:val="22"/>
                <w:szCs w:val="22"/>
              </w:rPr>
              <w:t xml:space="preserve"> com 50 unidades Escrita média e uniforme; tinta azul; corpo em resina termoplástica transparente com respiro a 9 cm da extremidade da caneta; formato sextavada; que possibilite a retirada da carga pela extremidade inferior; encaixe firme e perfeito da tampa </w:t>
            </w:r>
            <w:proofErr w:type="spellStart"/>
            <w:r w:rsidRPr="000C7B5C">
              <w:rPr>
                <w:sz w:val="22"/>
                <w:szCs w:val="22"/>
              </w:rPr>
              <w:t>antiasfixiante</w:t>
            </w:r>
            <w:proofErr w:type="spellEnd"/>
            <w:r w:rsidRPr="000C7B5C">
              <w:rPr>
                <w:sz w:val="22"/>
                <w:szCs w:val="22"/>
              </w:rPr>
              <w:t xml:space="preserve"> nas duas extremidades; parte visível da tinta no tubo de carga medindo no mínimo 9cm; ponta em latão 1mm e esfera de tungstênio</w:t>
            </w:r>
          </w:p>
        </w:tc>
        <w:tc>
          <w:tcPr>
            <w:tcW w:w="0" w:type="auto"/>
            <w:vAlign w:val="center"/>
          </w:tcPr>
          <w:p w:rsidR="0007022D" w:rsidRPr="00651845" w:rsidRDefault="0007022D" w:rsidP="0007022D">
            <w:pPr>
              <w:jc w:val="center"/>
            </w:pPr>
            <w:r w:rsidRPr="00651845">
              <w:t>Bic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2,00</w:t>
            </w:r>
          </w:p>
        </w:tc>
        <w:tc>
          <w:tcPr>
            <w:tcW w:w="0" w:type="auto"/>
          </w:tcPr>
          <w:p w:rsidR="0007022D" w:rsidRPr="000C7B5C" w:rsidRDefault="0007022D" w:rsidP="0007022D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41,60</w:t>
            </w:r>
          </w:p>
        </w:tc>
      </w:tr>
      <w:tr w:rsidR="00F55566" w:rsidRPr="000C7B5C" w:rsidTr="00C679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Caneta esferográfica escrita </w:t>
            </w:r>
            <w:proofErr w:type="spellStart"/>
            <w:r w:rsidRPr="000C7B5C">
              <w:rPr>
                <w:sz w:val="22"/>
                <w:szCs w:val="22"/>
              </w:rPr>
              <w:t>pretal</w:t>
            </w:r>
            <w:proofErr w:type="spellEnd"/>
            <w:r w:rsidRPr="000C7B5C">
              <w:rPr>
                <w:sz w:val="22"/>
                <w:szCs w:val="22"/>
              </w:rPr>
              <w:t xml:space="preserve"> - </w:t>
            </w:r>
            <w:proofErr w:type="spellStart"/>
            <w:r w:rsidRPr="000C7B5C">
              <w:rPr>
                <w:sz w:val="22"/>
                <w:szCs w:val="22"/>
              </w:rPr>
              <w:t>cx</w:t>
            </w:r>
            <w:proofErr w:type="spellEnd"/>
            <w:r w:rsidRPr="000C7B5C">
              <w:rPr>
                <w:sz w:val="22"/>
                <w:szCs w:val="22"/>
              </w:rPr>
              <w:t xml:space="preserve"> com 50 unidades Escrita média e uniforme; corpo em resina termoplástica transparente com respiro a 9 cm da extremidade da caneta; formato sextavada; que possibilite a retirada da carga pela extremidade inferior; encaixe firme e perfeito da tampa </w:t>
            </w:r>
            <w:proofErr w:type="spellStart"/>
            <w:r w:rsidRPr="000C7B5C">
              <w:rPr>
                <w:sz w:val="22"/>
                <w:szCs w:val="22"/>
              </w:rPr>
              <w:t>antiasfixiante</w:t>
            </w:r>
            <w:proofErr w:type="spellEnd"/>
            <w:r w:rsidRPr="000C7B5C">
              <w:rPr>
                <w:sz w:val="22"/>
                <w:szCs w:val="22"/>
              </w:rPr>
              <w:t xml:space="preserve"> nas duas extremidades; parte visível da tinta no tubo de carga medindo no mínimo 9cm; ponta em latão 1mm e esfera de tungstênio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>
              <w:t xml:space="preserve">Bic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41,60</w:t>
            </w:r>
          </w:p>
        </w:tc>
      </w:tr>
      <w:tr w:rsidR="00F55566" w:rsidRPr="000C7B5C" w:rsidTr="00C679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Caneta esferográfica escrita vermelho - </w:t>
            </w:r>
            <w:proofErr w:type="spellStart"/>
            <w:r w:rsidRPr="000C7B5C">
              <w:rPr>
                <w:sz w:val="22"/>
                <w:szCs w:val="22"/>
              </w:rPr>
              <w:t>cx</w:t>
            </w:r>
            <w:proofErr w:type="spellEnd"/>
            <w:r w:rsidRPr="000C7B5C">
              <w:rPr>
                <w:sz w:val="22"/>
                <w:szCs w:val="22"/>
              </w:rPr>
              <w:t xml:space="preserve"> com 50 unidades Escrita média e uniforme; corpo em resina termoplástica transparente com respiro a 9 cm da extremidade da caneta; formato sextavada; que possibilite a retirada da carga pela extremidade inferior; encaixe firme e perfeito da tampa </w:t>
            </w:r>
            <w:proofErr w:type="spellStart"/>
            <w:r w:rsidRPr="000C7B5C">
              <w:rPr>
                <w:sz w:val="22"/>
                <w:szCs w:val="22"/>
              </w:rPr>
              <w:t>antiasfixiante</w:t>
            </w:r>
            <w:proofErr w:type="spellEnd"/>
            <w:r w:rsidRPr="000C7B5C">
              <w:rPr>
                <w:sz w:val="22"/>
                <w:szCs w:val="22"/>
              </w:rPr>
              <w:t xml:space="preserve"> nas duas extremidades; parte visível da tinta no tubo de carga medindo no mínimo 9cm; ponta em latão 1mm e esfera de tungstênio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>
              <w:t xml:space="preserve">Bic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41,60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Canetinha</w:t>
            </w:r>
            <w:proofErr w:type="spellEnd"/>
            <w:r w:rsidRPr="000C7B5C">
              <w:rPr>
                <w:sz w:val="22"/>
                <w:szCs w:val="22"/>
              </w:rPr>
              <w:t xml:space="preserve"> jumbo cx. c/ 12 cores - Lavável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25,00</w:t>
            </w:r>
          </w:p>
        </w:tc>
      </w:tr>
      <w:tr w:rsidR="00F55566" w:rsidRPr="000C7B5C" w:rsidTr="00A66A3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Caneta para tecido, cor marrom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>
              <w:t>Acrilex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5,75</w:t>
            </w:r>
          </w:p>
        </w:tc>
      </w:tr>
      <w:tr w:rsidR="00F55566" w:rsidRPr="000C7B5C" w:rsidTr="00A66A3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Caneta para tecido, cor preta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>
              <w:t>Acrilex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5,75</w:t>
            </w:r>
          </w:p>
        </w:tc>
      </w:tr>
      <w:tr w:rsidR="00F55566" w:rsidRPr="000C7B5C" w:rsidTr="00A66A3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Cola branca escolar não tóxica - 40 g.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Cascorex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</w:tr>
      <w:tr w:rsidR="00F55566" w:rsidRPr="000C7B5C" w:rsidTr="00A66A3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Cola branca escolar não tóxica 1 kg.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Cascorex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24,60</w:t>
            </w:r>
          </w:p>
        </w:tc>
      </w:tr>
      <w:tr w:rsidR="00F55566" w:rsidRPr="000C7B5C" w:rsidTr="00A66A3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Espetinhos para churrasco em madeira pacote com 100 unidades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5,60</w:t>
            </w:r>
          </w:p>
        </w:tc>
      </w:tr>
      <w:tr w:rsidR="00F55566" w:rsidRPr="000C7B5C" w:rsidTr="00A66A3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Fita Adesiva Transparente 45 mm x 50 m.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Adelbras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2,09</w:t>
            </w:r>
          </w:p>
        </w:tc>
      </w:tr>
      <w:tr w:rsidR="00F55566" w:rsidRPr="000C7B5C" w:rsidTr="002B056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Fita corretiva 5mm x 6m - embalagem com 12 unidades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46,50</w:t>
            </w:r>
          </w:p>
        </w:tc>
      </w:tr>
      <w:tr w:rsidR="00F55566" w:rsidRPr="000C7B5C" w:rsidTr="002B056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fita crepe 18mmx50m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Adelbras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3,48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Fita adesiva papel Kraft 48mm x 50m- marrom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14,50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brilho na cor amarelo ouro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05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. Espessura da folha de no mínimo 1,5mm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brilho na cor branco neve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10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. Espessura da folha de no mínimo 1,5mm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57,50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brilho na cor vermelho natal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c/10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. Espessura da folha de no mínimo 1,5mm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57,50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</w:t>
            </w:r>
            <w:proofErr w:type="spellStart"/>
            <w:r w:rsidRPr="000C7B5C">
              <w:rPr>
                <w:sz w:val="22"/>
                <w:szCs w:val="22"/>
              </w:rPr>
              <w:t>gliter</w:t>
            </w:r>
            <w:proofErr w:type="spellEnd"/>
            <w:r w:rsidRPr="000C7B5C">
              <w:rPr>
                <w:sz w:val="22"/>
                <w:szCs w:val="22"/>
              </w:rPr>
              <w:t xml:space="preserve"> na cor amarelo ouro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Espessura da folhas de no mínimo 1,5 mm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</w:t>
            </w:r>
            <w:proofErr w:type="spellStart"/>
            <w:r w:rsidRPr="000C7B5C">
              <w:rPr>
                <w:sz w:val="22"/>
                <w:szCs w:val="22"/>
              </w:rPr>
              <w:t>gliter</w:t>
            </w:r>
            <w:proofErr w:type="spellEnd"/>
            <w:r w:rsidRPr="000C7B5C">
              <w:rPr>
                <w:sz w:val="22"/>
                <w:szCs w:val="22"/>
              </w:rPr>
              <w:t xml:space="preserve"> na cor branca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Espessura da placa de no mínimo 1,5 mm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</w:t>
            </w:r>
            <w:proofErr w:type="spellStart"/>
            <w:r w:rsidRPr="000C7B5C">
              <w:rPr>
                <w:sz w:val="22"/>
                <w:szCs w:val="22"/>
              </w:rPr>
              <w:t>gliter</w:t>
            </w:r>
            <w:proofErr w:type="spellEnd"/>
            <w:r w:rsidRPr="000C7B5C">
              <w:rPr>
                <w:sz w:val="22"/>
                <w:szCs w:val="22"/>
              </w:rPr>
              <w:t xml:space="preserve"> na cor marrom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Espessura da placa de no mínimo 1,5 mm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</w:t>
            </w:r>
            <w:proofErr w:type="spellStart"/>
            <w:r w:rsidRPr="000C7B5C">
              <w:rPr>
                <w:sz w:val="22"/>
                <w:szCs w:val="22"/>
              </w:rPr>
              <w:t>gliter</w:t>
            </w:r>
            <w:proofErr w:type="spellEnd"/>
            <w:r w:rsidRPr="000C7B5C">
              <w:rPr>
                <w:sz w:val="22"/>
                <w:szCs w:val="22"/>
              </w:rPr>
              <w:t xml:space="preserve"> na cor rosa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Espessura da placa de no mínimo 1,5 mm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</w:t>
            </w:r>
            <w:proofErr w:type="spellStart"/>
            <w:r w:rsidRPr="000C7B5C">
              <w:rPr>
                <w:sz w:val="22"/>
                <w:szCs w:val="22"/>
              </w:rPr>
              <w:t>gliter</w:t>
            </w:r>
            <w:proofErr w:type="spellEnd"/>
            <w:r w:rsidRPr="000C7B5C">
              <w:rPr>
                <w:sz w:val="22"/>
                <w:szCs w:val="22"/>
              </w:rPr>
              <w:t xml:space="preserve"> na cor verde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Espessura da placa de no mínimo 1,5 mm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</w:t>
            </w:r>
            <w:proofErr w:type="spellStart"/>
            <w:r w:rsidRPr="000C7B5C">
              <w:rPr>
                <w:sz w:val="22"/>
                <w:szCs w:val="22"/>
              </w:rPr>
              <w:t>gliter</w:t>
            </w:r>
            <w:proofErr w:type="spellEnd"/>
            <w:r w:rsidRPr="000C7B5C">
              <w:rPr>
                <w:sz w:val="22"/>
                <w:szCs w:val="22"/>
              </w:rPr>
              <w:t xml:space="preserve"> na cor vermelho natal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Espessura da placa de no mínimo 1,5 mm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Folhas em E.V.A com </w:t>
            </w:r>
            <w:proofErr w:type="spellStart"/>
            <w:r w:rsidRPr="000C7B5C">
              <w:rPr>
                <w:sz w:val="22"/>
                <w:szCs w:val="22"/>
              </w:rPr>
              <w:t>gliter</w:t>
            </w:r>
            <w:proofErr w:type="spellEnd"/>
            <w:r w:rsidRPr="000C7B5C">
              <w:rPr>
                <w:sz w:val="22"/>
                <w:szCs w:val="22"/>
              </w:rPr>
              <w:t xml:space="preserve"> na cor preta -  45 </w:t>
            </w:r>
            <w:proofErr w:type="gramStart"/>
            <w:r w:rsidRPr="000C7B5C">
              <w:rPr>
                <w:sz w:val="22"/>
                <w:szCs w:val="22"/>
              </w:rPr>
              <w:t>x</w:t>
            </w:r>
            <w:proofErr w:type="gramEnd"/>
            <w:r w:rsidRPr="000C7B5C">
              <w:rPr>
                <w:sz w:val="22"/>
                <w:szCs w:val="22"/>
              </w:rPr>
              <w:t xml:space="preserve"> 60 - </w:t>
            </w: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  <w:r w:rsidRPr="000C7B5C">
              <w:rPr>
                <w:sz w:val="22"/>
                <w:szCs w:val="22"/>
              </w:rPr>
              <w:t xml:space="preserve">. c/ 5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Espessura da placa de no mínimo 1,5 mm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29,75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flor com 5 pontas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Estrela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borboleta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coroa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coração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Mickey cabeça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laço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menino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Furador de papel e EVA jumbo com alavanca - Formato de menina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33,50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Giz de cera curto embalagem com 15 unidades Formato cilíndrico, padrão grosso, com superfície lisa e uniforme, isento de defeitos e deformações, confeccionado com ceras e pigmentos atóxicos, com resistência suficiente para suportar a pressão normal com peso mínimo de 68g, macio e possuir alto poder de cobertura, diâmetro mínimo: 11mm, comprimento mínimo: 55mm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3,22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Giz de cera </w:t>
            </w:r>
            <w:proofErr w:type="spellStart"/>
            <w:r w:rsidRPr="000C7B5C">
              <w:rPr>
                <w:sz w:val="22"/>
                <w:szCs w:val="22"/>
              </w:rPr>
              <w:t>super</w:t>
            </w:r>
            <w:proofErr w:type="spellEnd"/>
            <w:r w:rsidR="00216BD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C7B5C">
              <w:rPr>
                <w:sz w:val="22"/>
                <w:szCs w:val="22"/>
              </w:rPr>
              <w:t>macio cx. c/ 6 cores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5,20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Grampeador grande 26/6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58,00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Grampo 106/6 6mm </w:t>
            </w:r>
            <w:proofErr w:type="spellStart"/>
            <w:r w:rsidRPr="000C7B5C">
              <w:rPr>
                <w:sz w:val="22"/>
                <w:szCs w:val="22"/>
              </w:rPr>
              <w:t>cx</w:t>
            </w:r>
            <w:proofErr w:type="spellEnd"/>
            <w:r w:rsidRPr="000C7B5C">
              <w:rPr>
                <w:sz w:val="22"/>
                <w:szCs w:val="22"/>
              </w:rPr>
              <w:t xml:space="preserve"> c/ 5000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18,50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Grampo tipo cobreados para grampeador 26/6 - </w:t>
            </w:r>
            <w:proofErr w:type="spellStart"/>
            <w:r w:rsidRPr="000C7B5C">
              <w:rPr>
                <w:sz w:val="22"/>
                <w:szCs w:val="22"/>
              </w:rPr>
              <w:t>cx</w:t>
            </w:r>
            <w:proofErr w:type="spellEnd"/>
            <w:r w:rsidRPr="000C7B5C">
              <w:rPr>
                <w:sz w:val="22"/>
                <w:szCs w:val="22"/>
              </w:rPr>
              <w:t xml:space="preserve"> c/ 5000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7,45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Lápis de cor hexagonal  com 12 cores.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51845">
              <w:t>Multicolor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8,90</w:t>
            </w:r>
          </w:p>
        </w:tc>
      </w:tr>
      <w:tr w:rsidR="00F55566" w:rsidRPr="000C7B5C" w:rsidTr="009D2B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Bb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Lápis de cor jumbo triangular com 12 cores Estojo com 12 </w:t>
            </w:r>
            <w:proofErr w:type="spellStart"/>
            <w:r w:rsidRPr="000C7B5C">
              <w:rPr>
                <w:sz w:val="22"/>
                <w:szCs w:val="22"/>
              </w:rPr>
              <w:t>ecolápis</w:t>
            </w:r>
            <w:proofErr w:type="spellEnd"/>
            <w:r w:rsidRPr="000C7B5C">
              <w:rPr>
                <w:sz w:val="22"/>
                <w:szCs w:val="22"/>
              </w:rPr>
              <w:t xml:space="preserve"> sextavado de cores vivas (rosa claro, vermelho, laranja claro, amarelo canário, marrom, verde folha, verde oliva, azul, azul cobalto, carmim, prata, canela e preto), tamanhos mínimos: comprimento 127mm, entre faces 9,5 mm, diâmetro da mina 4mm; composição pigmentos, aglutinantes, carga inerte, ceras e madeira; formato triangular; corpo produzido com materiais totalmente atóxicos, espaço para colocar o nome da criança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 xml:space="preserve">Faber </w:t>
            </w:r>
            <w:proofErr w:type="spellStart"/>
            <w:r w:rsidRPr="00651845">
              <w:t>Castell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27,40</w:t>
            </w:r>
          </w:p>
        </w:tc>
      </w:tr>
      <w:tr w:rsidR="00F55566" w:rsidRPr="000C7B5C" w:rsidTr="009D2B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Lápis hexagonal grafite nº 2 - </w:t>
            </w:r>
            <w:proofErr w:type="spellStart"/>
            <w:r w:rsidRPr="000C7B5C">
              <w:rPr>
                <w:sz w:val="22"/>
                <w:szCs w:val="22"/>
              </w:rPr>
              <w:t>Cx</w:t>
            </w:r>
            <w:proofErr w:type="spellEnd"/>
            <w:r w:rsidRPr="000C7B5C">
              <w:rPr>
                <w:sz w:val="22"/>
                <w:szCs w:val="22"/>
              </w:rPr>
              <w:t xml:space="preserve"> 72 Unidades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>Bic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46,13</w:t>
            </w:r>
          </w:p>
        </w:tc>
      </w:tr>
      <w:tr w:rsidR="00F55566" w:rsidRPr="000C7B5C" w:rsidTr="009D2B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Lápis jumbo 6 cores para pintura corporal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 xml:space="preserve">Faber </w:t>
            </w:r>
            <w:proofErr w:type="spellStart"/>
            <w:r w:rsidRPr="00651845">
              <w:t>Castell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75,00</w:t>
            </w:r>
          </w:p>
        </w:tc>
      </w:tr>
      <w:tr w:rsidR="00F55566" w:rsidRPr="000C7B5C" w:rsidTr="009D2B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Lápis preto jumbo triangular nº 2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>
              <w:t>Bic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1,80</w:t>
            </w:r>
          </w:p>
        </w:tc>
      </w:tr>
      <w:tr w:rsidR="00F55566" w:rsidRPr="000C7B5C" w:rsidTr="009D2B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Lápis 6B - Caixa com 12 unidades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 xml:space="preserve">Faber </w:t>
            </w:r>
            <w:proofErr w:type="spellStart"/>
            <w:r w:rsidRPr="00651845">
              <w:t>Castell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31,60</w:t>
            </w:r>
          </w:p>
        </w:tc>
      </w:tr>
      <w:tr w:rsidR="00F55566" w:rsidRPr="000C7B5C" w:rsidTr="009D2B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Lápis B2 - caixa com 12 unidades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 xml:space="preserve">Faber </w:t>
            </w:r>
            <w:proofErr w:type="spellStart"/>
            <w:r w:rsidRPr="00651845">
              <w:t>Castell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31,60</w:t>
            </w:r>
          </w:p>
        </w:tc>
      </w:tr>
      <w:tr w:rsidR="00F55566" w:rsidRPr="000C7B5C" w:rsidTr="009D2B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Marcador para quadro branco ponta redonda média - preto (Cx. c/ 12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  <w:r w:rsidRPr="00651845">
              <w:t xml:space="preserve"> 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110,50</w:t>
            </w:r>
          </w:p>
        </w:tc>
      </w:tr>
      <w:tr w:rsidR="00F55566" w:rsidRPr="000C7B5C" w:rsidTr="000602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Marcador para quadro branco ponta redonda média - azul (Cx. c/ 12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  <w:r w:rsidRPr="00651845">
              <w:t xml:space="preserve"> 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110,50</w:t>
            </w:r>
          </w:p>
        </w:tc>
      </w:tr>
      <w:tr w:rsidR="00F55566" w:rsidRPr="000C7B5C" w:rsidTr="000602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Marcador para quadro branco ponta redonda média - vermelho (Cx. c/ 12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  <w:r w:rsidRPr="00651845">
              <w:t xml:space="preserve"> 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110,50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Massa de modelar caixa c/ 12 cores 180g. Massa para fazer modelagem a base de carboidratos de cereais, água, glúten, cloreto de sódio, aditivos e pigmentos, massa com textura </w:t>
            </w:r>
            <w:proofErr w:type="spellStart"/>
            <w:r w:rsidRPr="000C7B5C">
              <w:rPr>
                <w:sz w:val="22"/>
                <w:szCs w:val="22"/>
              </w:rPr>
              <w:t>supermacia</w:t>
            </w:r>
            <w:proofErr w:type="spellEnd"/>
            <w:r w:rsidRPr="000C7B5C">
              <w:rPr>
                <w:sz w:val="22"/>
                <w:szCs w:val="22"/>
              </w:rPr>
              <w:t xml:space="preserve">, excelente consistência, cores vivas e </w:t>
            </w:r>
            <w:r w:rsidRPr="000C7B5C">
              <w:rPr>
                <w:sz w:val="22"/>
                <w:szCs w:val="22"/>
              </w:rPr>
              <w:lastRenderedPageBreak/>
              <w:t xml:space="preserve">miscíveis, que não esfarela produto atóxico, não mancha as mãos, pode ser reaproveitado, validade mínima de 24 meses; selo compulsório do INMETRO deverá constar na embalagem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651845">
              <w:lastRenderedPageBreak/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4,16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Palito de picolé pacote com 100 unidades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4,20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Pasta escolar para folha A4 espessura 35mm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3,66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Papel de Presente Decorado 60cm X 100mt - Natal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59,00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Papel de Presente Decorado 60cm X 100mt - Festa Junina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59,00</w:t>
            </w:r>
          </w:p>
        </w:tc>
      </w:tr>
      <w:tr w:rsidR="00F55566" w:rsidRPr="000C7B5C" w:rsidTr="00737D8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Papel oficio A4 75 g/m2 - cx. c/ 5.000 fls.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Chamex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221,00</w:t>
            </w:r>
          </w:p>
        </w:tc>
      </w:tr>
      <w:tr w:rsidR="00F55566" w:rsidRPr="000C7B5C" w:rsidTr="00737D8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Cx.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Papel oficio A3 75 g/m2 - cx. c/ 5.000 fls.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Chamex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420,00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Pen Drive 4 </w:t>
            </w:r>
            <w:proofErr w:type="spellStart"/>
            <w:r w:rsidRPr="000C7B5C">
              <w:rPr>
                <w:sz w:val="22"/>
                <w:szCs w:val="22"/>
              </w:rPr>
              <w:t>gb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30,75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Percevejo </w:t>
            </w:r>
            <w:proofErr w:type="spellStart"/>
            <w:r w:rsidRPr="000C7B5C">
              <w:rPr>
                <w:sz w:val="22"/>
                <w:szCs w:val="22"/>
              </w:rPr>
              <w:t>Latonado</w:t>
            </w:r>
            <w:proofErr w:type="spellEnd"/>
            <w:r w:rsidRPr="000C7B5C">
              <w:rPr>
                <w:sz w:val="22"/>
                <w:szCs w:val="22"/>
              </w:rPr>
              <w:t xml:space="preserve"> cx. </w:t>
            </w:r>
            <w:proofErr w:type="gramStart"/>
            <w:r w:rsidRPr="000C7B5C">
              <w:rPr>
                <w:sz w:val="22"/>
                <w:szCs w:val="22"/>
              </w:rPr>
              <w:t>c</w:t>
            </w:r>
            <w:proofErr w:type="gramEnd"/>
            <w:r w:rsidRPr="000C7B5C">
              <w:rPr>
                <w:sz w:val="22"/>
                <w:szCs w:val="22"/>
              </w:rPr>
              <w:t xml:space="preserve">/ 100 </w:t>
            </w: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  <w:r w:rsidRPr="000C7B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3,16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Pincel pintura nº 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2,76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Pincel pintura nº 06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2,30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Pincel pintura nº 08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2,55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Pincel pintura nº 12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3,08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Pincel pintura nº 24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3,08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Pistola de cola quente profissional - Tam. Grande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31,05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Pistola de cola quente profissional - Tam. Pequeno (refil fino)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18,16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Pilha alcalina AA c/ 2 unidades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4,76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Kg.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Refil cola quente grosso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30,40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Régua de medidas transparente de plástico - 30 cm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1,35</w:t>
            </w:r>
          </w:p>
        </w:tc>
      </w:tr>
      <w:tr w:rsidR="00F55566" w:rsidRPr="000C7B5C" w:rsidTr="00FD057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Tesoura escolar multiuso pequena pontas arredondadas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>Tramontina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7,30</w:t>
            </w:r>
          </w:p>
        </w:tc>
      </w:tr>
      <w:tr w:rsidR="00F55566" w:rsidRPr="000C7B5C" w:rsidTr="00FD057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Tesoura p/ uso geral aço inox - grande.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r w:rsidRPr="00651845">
              <w:t>Tramontina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18,40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facial color </w:t>
            </w:r>
            <w:proofErr w:type="spellStart"/>
            <w:r w:rsidRPr="000C7B5C">
              <w:rPr>
                <w:sz w:val="22"/>
                <w:szCs w:val="22"/>
              </w:rPr>
              <w:t>make</w:t>
            </w:r>
            <w:proofErr w:type="spellEnd"/>
            <w:r w:rsidRPr="000C7B5C">
              <w:rPr>
                <w:sz w:val="22"/>
                <w:szCs w:val="22"/>
              </w:rPr>
              <w:t xml:space="preserve"> cremosa com 10 cores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25,00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amarelo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</w:t>
            </w:r>
            <w:proofErr w:type="spellStart"/>
            <w:r w:rsidRPr="000C7B5C">
              <w:rPr>
                <w:sz w:val="22"/>
                <w:szCs w:val="22"/>
              </w:rPr>
              <w:t>gouache</w:t>
            </w:r>
            <w:proofErr w:type="spellEnd"/>
            <w:r w:rsidRPr="000C7B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azul escuro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branco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36,00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laranja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guache solúvel em água na cor lilás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marrom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preto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rosa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verde claro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12,00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verde escuro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guache </w:t>
            </w:r>
            <w:r>
              <w:rPr>
                <w:sz w:val="22"/>
                <w:szCs w:val="22"/>
              </w:rPr>
              <w:t>solúvel</w:t>
            </w:r>
            <w:r w:rsidRPr="000C7B5C">
              <w:rPr>
                <w:sz w:val="22"/>
                <w:szCs w:val="22"/>
              </w:rPr>
              <w:t xml:space="preserve"> em água na cor vermelho - embalagem com 250 ml.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36,00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5,36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89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amora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azul celeste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amarelo limão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amarelo ouro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branco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laranja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lilás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marrom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magenta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oliva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verde limão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verde pinheiro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verde pistache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para tecido 37 ml - cor vermelho </w:t>
            </w:r>
            <w:proofErr w:type="spellStart"/>
            <w:r w:rsidRPr="000C7B5C">
              <w:rPr>
                <w:sz w:val="22"/>
                <w:szCs w:val="22"/>
              </w:rPr>
              <w:t>escarlat</w:t>
            </w:r>
            <w:proofErr w:type="spellEnd"/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vermelho tomate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vermelho vivo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violeta cobalto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púrpura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rosa chá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rosa escuro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sépia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 xml:space="preserve">Tinta para tecido 37 ml - cor </w:t>
            </w:r>
            <w:proofErr w:type="spellStart"/>
            <w:r w:rsidRPr="000C7B5C">
              <w:rPr>
                <w:sz w:val="22"/>
                <w:szCs w:val="22"/>
              </w:rPr>
              <w:t>siena</w:t>
            </w:r>
            <w:proofErr w:type="spellEnd"/>
            <w:r w:rsidRPr="000C7B5C">
              <w:rPr>
                <w:sz w:val="22"/>
                <w:szCs w:val="22"/>
              </w:rPr>
              <w:t xml:space="preserve"> natural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preto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F13D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112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Tinta para tecido 37 ml - cor vinho</w:t>
            </w:r>
          </w:p>
        </w:tc>
        <w:tc>
          <w:tcPr>
            <w:tcW w:w="0" w:type="auto"/>
            <w:vAlign w:val="center"/>
          </w:tcPr>
          <w:p w:rsidR="00F55566" w:rsidRPr="00651845" w:rsidRDefault="00F55566" w:rsidP="00F55566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3,35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113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amarela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azul anil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115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azul celeste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branca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lilás hortênsia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118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50m. - cor marrom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119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preto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verde bandeira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  <w:tr w:rsidR="00F55566" w:rsidRPr="000C7B5C" w:rsidTr="00070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C7B5C">
              <w:rPr>
                <w:sz w:val="22"/>
                <w:szCs w:val="22"/>
              </w:rPr>
              <w:t>Rl</w:t>
            </w:r>
            <w:proofErr w:type="spellEnd"/>
            <w:r w:rsidRPr="000C7B5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both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TNT - rolo 120Cm x 50 m. - cor vermelha (gramatura 40)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5566" w:rsidRPr="000C7B5C" w:rsidRDefault="00F55566" w:rsidP="00F5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F55566" w:rsidRPr="000C7B5C" w:rsidRDefault="00F55566" w:rsidP="00F55566">
            <w:pPr>
              <w:jc w:val="right"/>
              <w:rPr>
                <w:sz w:val="22"/>
                <w:szCs w:val="22"/>
              </w:rPr>
            </w:pPr>
            <w:r w:rsidRPr="000C7B5C">
              <w:rPr>
                <w:sz w:val="22"/>
                <w:szCs w:val="22"/>
              </w:rPr>
              <w:t>65,00</w:t>
            </w:r>
          </w:p>
        </w:tc>
      </w:tr>
    </w:tbl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C6008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2C" w:rsidRDefault="00342E2C">
      <w:r>
        <w:separator/>
      </w:r>
    </w:p>
  </w:endnote>
  <w:endnote w:type="continuationSeparator" w:id="0">
    <w:p w:rsidR="00342E2C" w:rsidRDefault="0034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2C" w:rsidRDefault="00342E2C">
      <w:r>
        <w:separator/>
      </w:r>
    </w:p>
  </w:footnote>
  <w:footnote w:type="continuationSeparator" w:id="0">
    <w:p w:rsidR="00342E2C" w:rsidRDefault="0034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42E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7022D"/>
    <w:rsid w:val="000C6008"/>
    <w:rsid w:val="00103542"/>
    <w:rsid w:val="00155A94"/>
    <w:rsid w:val="001727C6"/>
    <w:rsid w:val="00175BC5"/>
    <w:rsid w:val="001A66A3"/>
    <w:rsid w:val="001B0C85"/>
    <w:rsid w:val="001B39EB"/>
    <w:rsid w:val="00216BD0"/>
    <w:rsid w:val="00216FC3"/>
    <w:rsid w:val="00256901"/>
    <w:rsid w:val="00262C39"/>
    <w:rsid w:val="002B5773"/>
    <w:rsid w:val="002D4CEB"/>
    <w:rsid w:val="002D7F27"/>
    <w:rsid w:val="002D7F64"/>
    <w:rsid w:val="003159CC"/>
    <w:rsid w:val="00325AFA"/>
    <w:rsid w:val="00330B06"/>
    <w:rsid w:val="00342E2C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9415C"/>
    <w:rsid w:val="009B6E7D"/>
    <w:rsid w:val="009F6EFB"/>
    <w:rsid w:val="00A27FF0"/>
    <w:rsid w:val="00A374C6"/>
    <w:rsid w:val="00A50B18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96468"/>
    <w:rsid w:val="00D14FA3"/>
    <w:rsid w:val="00D22AA0"/>
    <w:rsid w:val="00D451DB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50833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55566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B37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1831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2018-10-26T20:43:00Z</dcterms:modified>
</cp:coreProperties>
</file>