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3F957" w14:textId="77777777" w:rsidR="00B307DB" w:rsidRDefault="00B307DB" w:rsidP="00B307DB">
      <w:pPr>
        <w:widowControl w:val="0"/>
        <w:shd w:val="clear" w:color="auto" w:fill="FFFFFF" w:themeFill="background1"/>
        <w:tabs>
          <w:tab w:val="center" w:pos="4252"/>
          <w:tab w:val="right" w:pos="8080"/>
        </w:tabs>
        <w:adjustRightInd w:val="0"/>
        <w:spacing w:after="0" w:line="240" w:lineRule="auto"/>
        <w:ind w:right="-568"/>
        <w:jc w:val="center"/>
        <w:rPr>
          <w:rFonts w:ascii="Times New Roman" w:hAnsi="Times New Roman" w:cs="Times New Roman"/>
          <w:b/>
        </w:rPr>
      </w:pPr>
    </w:p>
    <w:p w14:paraId="3EF13F7E" w14:textId="77777777" w:rsidR="00B307DB" w:rsidRPr="00D84571" w:rsidRDefault="00B307DB" w:rsidP="00B307DB">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481DAA27" w14:textId="77777777" w:rsidR="00B307DB" w:rsidRPr="00D84571" w:rsidRDefault="00B307DB" w:rsidP="00B307DB">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Pr>
          <w:rFonts w:ascii="Times New Roman" w:hAnsi="Times New Roman" w:cs="Times New Roman"/>
          <w:b/>
        </w:rPr>
        <w:t>36/2024</w:t>
      </w:r>
      <w:r w:rsidRPr="00D84571">
        <w:rPr>
          <w:rFonts w:ascii="Times New Roman" w:hAnsi="Times New Roman" w:cs="Times New Roman"/>
          <w:b/>
        </w:rPr>
        <w:t xml:space="preserve"> </w:t>
      </w:r>
    </w:p>
    <w:p w14:paraId="35156ACB" w14:textId="77777777" w:rsidR="00B307DB" w:rsidRPr="00D84571" w:rsidRDefault="00B307DB" w:rsidP="00B307DB">
      <w:pPr>
        <w:widowControl w:val="0"/>
        <w:tabs>
          <w:tab w:val="center" w:pos="4252"/>
          <w:tab w:val="right" w:pos="8080"/>
        </w:tabs>
        <w:adjustRightInd w:val="0"/>
        <w:spacing w:after="0" w:line="240" w:lineRule="auto"/>
        <w:ind w:right="-568"/>
        <w:rPr>
          <w:rFonts w:ascii="Times New Roman" w:eastAsia="Times New Roman" w:hAnsi="Times New Roman" w:cs="Times New Roman"/>
          <w:b/>
          <w:lang w:eastAsia="pt-BR"/>
        </w:rPr>
      </w:pPr>
    </w:p>
    <w:p w14:paraId="11AEB24F" w14:textId="77777777" w:rsidR="00B307DB" w:rsidRPr="00D84571" w:rsidRDefault="00B307DB" w:rsidP="00B307DB">
      <w:pPr>
        <w:shd w:val="clear" w:color="auto" w:fill="BFBFBF" w:themeFill="background1" w:themeFillShade="BF"/>
        <w:tabs>
          <w:tab w:val="right" w:pos="8222"/>
        </w:tabs>
        <w:spacing w:after="0" w:line="240" w:lineRule="auto"/>
        <w:ind w:right="-568"/>
        <w:jc w:val="center"/>
        <w:rPr>
          <w:rFonts w:ascii="Times New Roman" w:hAnsi="Times New Roman" w:cs="Times New Roman"/>
          <w:b/>
        </w:rPr>
      </w:pPr>
      <w:r w:rsidRPr="00D84571">
        <w:rPr>
          <w:rFonts w:ascii="Times New Roman" w:hAnsi="Times New Roman" w:cs="Times New Roman"/>
          <w:b/>
        </w:rPr>
        <w:t>EDITAL DE PREGÃO ELETRÔNICO – TRADICIONAL</w:t>
      </w:r>
    </w:p>
    <w:p w14:paraId="75FB3BE4" w14:textId="77777777" w:rsidR="00B307DB" w:rsidRPr="007A50B2" w:rsidRDefault="00B307DB" w:rsidP="00B307DB">
      <w:pPr>
        <w:shd w:val="clear" w:color="auto" w:fill="BFBFBF" w:themeFill="background1" w:themeFillShade="BF"/>
        <w:tabs>
          <w:tab w:val="right" w:pos="8222"/>
        </w:tabs>
        <w:spacing w:after="0" w:line="240" w:lineRule="auto"/>
        <w:ind w:right="-568"/>
        <w:jc w:val="center"/>
        <w:rPr>
          <w:rFonts w:ascii="Times New Roman" w:hAnsi="Times New Roman" w:cs="Times New Roman"/>
          <w:b/>
          <w:color w:val="000000" w:themeColor="text1"/>
        </w:rPr>
      </w:pPr>
      <w:r w:rsidRPr="00D84571">
        <w:rPr>
          <w:rFonts w:ascii="Times New Roman" w:hAnsi="Times New Roman" w:cs="Times New Roman"/>
          <w:b/>
          <w:color w:val="000000" w:themeColor="text1"/>
        </w:rPr>
        <w:t>SERVIÇO COMUM (</w:t>
      </w:r>
      <w:hyperlink r:id="rId8" w:anchor="art6xiii" w:history="1">
        <w:r w:rsidRPr="00D84571">
          <w:rPr>
            <w:rStyle w:val="Hyperlink"/>
            <w:rFonts w:ascii="Times New Roman" w:hAnsi="Times New Roman" w:cs="Times New Roman"/>
            <w:b/>
            <w:color w:val="0070C0"/>
          </w:rPr>
          <w:t>Art. 6º, XIII</w:t>
        </w:r>
      </w:hyperlink>
      <w:r w:rsidRPr="00D84571">
        <w:rPr>
          <w:rFonts w:ascii="Times New Roman" w:hAnsi="Times New Roman" w:cs="Times New Roman"/>
          <w:b/>
          <w:color w:val="000000" w:themeColor="text1"/>
        </w:rPr>
        <w:t>)</w:t>
      </w:r>
    </w:p>
    <w:p w14:paraId="423586B3" w14:textId="45BEEFEC" w:rsidR="00B307DB" w:rsidRPr="00CE5D87" w:rsidRDefault="001A7D7F" w:rsidP="00B307DB">
      <w:pPr>
        <w:tabs>
          <w:tab w:val="left" w:pos="5812"/>
          <w:tab w:val="left" w:pos="5954"/>
          <w:tab w:val="left" w:pos="6379"/>
        </w:tabs>
        <w:spacing w:after="120" w:line="240" w:lineRule="auto"/>
        <w:ind w:right="-568"/>
        <w:jc w:val="center"/>
        <w:rPr>
          <w:rFonts w:ascii="Times New Roman" w:hAnsi="Times New Roman" w:cs="Times New Roman"/>
          <w:b/>
          <w:color w:val="FF0000"/>
          <w:szCs w:val="24"/>
        </w:rPr>
      </w:pPr>
      <w:r>
        <w:rPr>
          <w:rFonts w:ascii="Times New Roman" w:hAnsi="Times New Roman" w:cs="Times New Roman"/>
          <w:b/>
          <w:color w:val="FF0000"/>
          <w:szCs w:val="24"/>
        </w:rPr>
        <w:t>2</w:t>
      </w:r>
      <w:r w:rsidR="00B307DB" w:rsidRPr="00CE5D87">
        <w:rPr>
          <w:rFonts w:ascii="Times New Roman" w:hAnsi="Times New Roman" w:cs="Times New Roman"/>
          <w:b/>
          <w:color w:val="FF0000"/>
          <w:szCs w:val="24"/>
        </w:rPr>
        <w:t>ª RETIFICAÇÃO</w:t>
      </w:r>
    </w:p>
    <w:p w14:paraId="1A7D5806"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eastAsia="Times New Roman" w:hAnsi="Times New Roman" w:cs="Times New Roman"/>
          <w:sz w:val="22"/>
          <w:szCs w:val="22"/>
          <w:lang w:eastAsia="pt-BR"/>
        </w:rPr>
      </w:pPr>
      <w:r>
        <w:rPr>
          <w:rFonts w:ascii="Times New Roman" w:eastAsia="Times New Roman" w:hAnsi="Times New Roman" w:cs="Times New Roman"/>
          <w:sz w:val="22"/>
          <w:szCs w:val="22"/>
          <w:lang w:eastAsia="pt-BR"/>
        </w:rPr>
        <w:t>1 PREÂ</w:t>
      </w:r>
      <w:r w:rsidRPr="00D84571">
        <w:rPr>
          <w:rFonts w:ascii="Times New Roman" w:eastAsia="Times New Roman" w:hAnsi="Times New Roman" w:cs="Times New Roman"/>
          <w:sz w:val="22"/>
          <w:szCs w:val="22"/>
          <w:lang w:eastAsia="pt-BR"/>
        </w:rPr>
        <w:t>MBULO</w:t>
      </w:r>
    </w:p>
    <w:p w14:paraId="55A68D3C" w14:textId="77777777" w:rsidR="00B307DB" w:rsidRPr="00D84571" w:rsidRDefault="00B307DB" w:rsidP="00B307DB">
      <w:pPr>
        <w:spacing w:after="0" w:line="240" w:lineRule="auto"/>
        <w:ind w:right="-568"/>
        <w:jc w:val="both"/>
        <w:rPr>
          <w:rFonts w:ascii="Times New Roman" w:hAnsi="Times New Roman" w:cs="Times New Roman"/>
          <w:lang w:eastAsia="pt-BR"/>
        </w:rPr>
      </w:pPr>
      <w:r w:rsidRPr="00D84571">
        <w:rPr>
          <w:rFonts w:ascii="Times New Roman" w:hAnsi="Times New Roman" w:cs="Times New Roman"/>
          <w:b/>
          <w:lang w:eastAsia="pt-BR"/>
        </w:rPr>
        <w:t>1.1</w:t>
      </w:r>
      <w:r w:rsidRPr="00D84571">
        <w:rPr>
          <w:rFonts w:ascii="Times New Roman" w:hAnsi="Times New Roman" w:cs="Times New Roman"/>
          <w:lang w:eastAsia="pt-BR"/>
        </w:rPr>
        <w:t xml:space="preserve"> O MUNICÍPIO DE </w:t>
      </w:r>
      <w:r w:rsidRPr="00D84571">
        <w:rPr>
          <w:rFonts w:ascii="Times New Roman" w:hAnsi="Times New Roman" w:cs="Times New Roman"/>
          <w:color w:val="000000" w:themeColor="text1"/>
          <w:lang w:eastAsia="pt-BR"/>
        </w:rPr>
        <w:t>RIQUEZA</w:t>
      </w:r>
      <w:r w:rsidRPr="00D84571">
        <w:rPr>
          <w:rFonts w:ascii="Times New Roman" w:hAnsi="Times New Roman" w:cs="Times New Roman"/>
          <w:lang w:eastAsia="pt-BR"/>
        </w:rPr>
        <w:t xml:space="preserve">, Estado de Santa Catarina, inscrito no CNPJ </w:t>
      </w:r>
      <w:r w:rsidRPr="00D84571">
        <w:rPr>
          <w:rFonts w:ascii="Times New Roman" w:hAnsi="Times New Roman" w:cs="Times New Roman"/>
          <w:color w:val="000000" w:themeColor="text1"/>
          <w:lang w:eastAsia="pt-BR"/>
        </w:rPr>
        <w:t>nº 95.988.309/0001-48</w:t>
      </w:r>
      <w:r>
        <w:rPr>
          <w:rFonts w:ascii="Times New Roman" w:hAnsi="Times New Roman" w:cs="Times New Roman"/>
          <w:color w:val="000000" w:themeColor="text1"/>
          <w:lang w:eastAsia="pt-BR"/>
        </w:rPr>
        <w:t xml:space="preserve"> </w:t>
      </w:r>
      <w:r w:rsidRPr="00B16AE4">
        <w:rPr>
          <w:rFonts w:ascii="Times New Roman" w:hAnsi="Times New Roman" w:cs="Times New Roman"/>
          <w:color w:val="000000" w:themeColor="text1"/>
          <w:lang w:eastAsia="pt-BR"/>
        </w:rPr>
        <w:t xml:space="preserve">e o </w:t>
      </w:r>
      <w:r w:rsidRPr="00CB01BC">
        <w:rPr>
          <w:rFonts w:ascii="Times New Roman" w:hAnsi="Times New Roman" w:cs="Times New Roman"/>
          <w:color w:val="000000" w:themeColor="text1"/>
          <w:lang w:eastAsia="pt-BR"/>
        </w:rPr>
        <w:t>FUNDO MUNICIPAL DE SAÚDE DE RIQUEZA, Estado</w:t>
      </w:r>
      <w:r w:rsidRPr="00B16AE4">
        <w:rPr>
          <w:rFonts w:ascii="Times New Roman" w:hAnsi="Times New Roman" w:cs="Times New Roman"/>
          <w:color w:val="000000" w:themeColor="text1"/>
          <w:lang w:eastAsia="pt-BR"/>
        </w:rPr>
        <w:t xml:space="preserve"> de Santa Catarina, inscrito no CNPJ nº 11.366.369/0001-39</w:t>
      </w:r>
      <w:r w:rsidRPr="00D84571">
        <w:rPr>
          <w:rFonts w:ascii="Times New Roman" w:hAnsi="Times New Roman" w:cs="Times New Roman"/>
          <w:lang w:eastAsia="pt-BR"/>
        </w:rPr>
        <w:t>, leva ao conhecimento dos interessados a realização do seguinte processo de contratação:</w:t>
      </w:r>
    </w:p>
    <w:p w14:paraId="71851355" w14:textId="77777777" w:rsidR="00B307DB" w:rsidRDefault="00B307DB" w:rsidP="00B307DB">
      <w:pPr>
        <w:pStyle w:val="PargrafodaLista"/>
        <w:tabs>
          <w:tab w:val="left" w:pos="426"/>
          <w:tab w:val="left" w:pos="567"/>
          <w:tab w:val="left" w:pos="851"/>
          <w:tab w:val="left" w:pos="993"/>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I - </w:t>
      </w:r>
      <w:r w:rsidRPr="00D84571">
        <w:rPr>
          <w:rFonts w:ascii="Times New Roman" w:hAnsi="Times New Roman" w:cs="Times New Roman"/>
          <w:b/>
          <w:lang w:eastAsia="pt-BR"/>
        </w:rPr>
        <w:t>Regime legal:</w:t>
      </w:r>
      <w:r w:rsidRPr="00D84571">
        <w:rPr>
          <w:rFonts w:ascii="Times New Roman" w:hAnsi="Times New Roman" w:cs="Times New Roman"/>
          <w:lang w:eastAsia="pt-BR"/>
        </w:rPr>
        <w:t xml:space="preserve"> </w:t>
      </w:r>
      <w:hyperlink r:id="rId9" w:history="1">
        <w:r w:rsidRPr="00D84571">
          <w:rPr>
            <w:rStyle w:val="Hyperlink"/>
            <w:rFonts w:ascii="Times New Roman" w:eastAsia="Times New Roman" w:hAnsi="Times New Roman" w:cs="Times New Roman"/>
            <w:lang w:eastAsia="pt-BR"/>
          </w:rPr>
          <w:t>Lei nº 14.133/2021</w:t>
        </w:r>
      </w:hyperlink>
      <w:r w:rsidRPr="00D84571">
        <w:rPr>
          <w:rFonts w:ascii="Times New Roman" w:hAnsi="Times New Roman" w:cs="Times New Roman"/>
          <w:lang w:eastAsia="pt-BR"/>
        </w:rPr>
        <w:t xml:space="preserve">; </w:t>
      </w:r>
      <w:hyperlink r:id="rId10" w:history="1">
        <w:r w:rsidRPr="00D84571">
          <w:rPr>
            <w:rStyle w:val="Hyperlink"/>
            <w:rFonts w:ascii="Times New Roman" w:eastAsia="Times New Roman" w:hAnsi="Times New Roman" w:cs="Times New Roman"/>
            <w:lang w:eastAsia="pt-BR"/>
          </w:rPr>
          <w:t>Lei Complementar nº 123/2006</w:t>
        </w:r>
      </w:hyperlink>
      <w:r w:rsidRPr="00D84571">
        <w:rPr>
          <w:rFonts w:ascii="Times New Roman" w:hAnsi="Times New Roman" w:cs="Times New Roman"/>
          <w:lang w:eastAsia="pt-BR"/>
        </w:rPr>
        <w:t xml:space="preserve"> e Decreto nº 4862/2023.</w:t>
      </w:r>
    </w:p>
    <w:p w14:paraId="19438A3C" w14:textId="77777777" w:rsidR="00B307DB" w:rsidRDefault="00B307DB" w:rsidP="00B307DB">
      <w:pPr>
        <w:pStyle w:val="PargrafodaLista"/>
        <w:tabs>
          <w:tab w:val="left" w:pos="426"/>
          <w:tab w:val="left" w:pos="567"/>
          <w:tab w:val="left" w:pos="851"/>
          <w:tab w:val="left" w:pos="993"/>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II - </w:t>
      </w:r>
      <w:r w:rsidRPr="002F00DD">
        <w:rPr>
          <w:rFonts w:ascii="Times New Roman" w:hAnsi="Times New Roman" w:cs="Times New Roman"/>
          <w:b/>
          <w:lang w:eastAsia="pt-BR"/>
        </w:rPr>
        <w:t>Modalidade:</w:t>
      </w:r>
      <w:r w:rsidRPr="002F00DD">
        <w:rPr>
          <w:rFonts w:ascii="Times New Roman" w:hAnsi="Times New Roman" w:cs="Times New Roman"/>
          <w:lang w:eastAsia="pt-BR"/>
        </w:rPr>
        <w:t xml:space="preserve"> Pregão (</w:t>
      </w:r>
      <w:hyperlink r:id="rId11" w:anchor="art6xli" w:history="1">
        <w:r w:rsidRPr="002F00DD">
          <w:rPr>
            <w:rStyle w:val="Hyperlink"/>
            <w:rFonts w:ascii="Times New Roman" w:eastAsia="Times New Roman" w:hAnsi="Times New Roman" w:cs="Times New Roman"/>
            <w:lang w:eastAsia="pt-BR"/>
          </w:rPr>
          <w:t>art. 6º, XLI</w:t>
        </w:r>
      </w:hyperlink>
      <w:r w:rsidRPr="002F00DD">
        <w:rPr>
          <w:rFonts w:ascii="Times New Roman" w:hAnsi="Times New Roman" w:cs="Times New Roman"/>
          <w:lang w:eastAsia="pt-BR"/>
        </w:rPr>
        <w:t>)</w:t>
      </w:r>
    </w:p>
    <w:p w14:paraId="4F1AD811" w14:textId="77777777" w:rsidR="00B307DB" w:rsidRDefault="00B307DB" w:rsidP="00B307DB">
      <w:pPr>
        <w:pStyle w:val="PargrafodaLista"/>
        <w:tabs>
          <w:tab w:val="left" w:pos="426"/>
          <w:tab w:val="left" w:pos="567"/>
          <w:tab w:val="left" w:pos="851"/>
          <w:tab w:val="left" w:pos="1134"/>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III - </w:t>
      </w:r>
      <w:r w:rsidRPr="002F00DD">
        <w:rPr>
          <w:rFonts w:ascii="Times New Roman" w:hAnsi="Times New Roman" w:cs="Times New Roman"/>
          <w:b/>
          <w:lang w:eastAsia="pt-BR"/>
        </w:rPr>
        <w:t xml:space="preserve">Critério de Julgamento: </w:t>
      </w:r>
      <w:r w:rsidRPr="002F00DD">
        <w:rPr>
          <w:rFonts w:ascii="Times New Roman" w:hAnsi="Times New Roman" w:cs="Times New Roman"/>
          <w:lang w:eastAsia="pt-BR"/>
        </w:rPr>
        <w:t>Menor Preço</w:t>
      </w:r>
    </w:p>
    <w:p w14:paraId="53DFEDD3" w14:textId="77777777" w:rsidR="00B307DB" w:rsidRDefault="00B307DB" w:rsidP="00B307DB">
      <w:pPr>
        <w:pStyle w:val="PargrafodaLista"/>
        <w:tabs>
          <w:tab w:val="left" w:pos="426"/>
          <w:tab w:val="left" w:pos="567"/>
          <w:tab w:val="left" w:pos="851"/>
          <w:tab w:val="left" w:pos="1134"/>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IV - </w:t>
      </w:r>
      <w:r w:rsidRPr="002F00DD">
        <w:rPr>
          <w:rFonts w:ascii="Times New Roman" w:hAnsi="Times New Roman" w:cs="Times New Roman"/>
          <w:b/>
          <w:lang w:eastAsia="pt-BR"/>
        </w:rPr>
        <w:t xml:space="preserve">Modo de disputa: </w:t>
      </w:r>
      <w:r w:rsidRPr="002F00DD">
        <w:rPr>
          <w:rFonts w:ascii="Times New Roman" w:hAnsi="Times New Roman" w:cs="Times New Roman"/>
          <w:lang w:eastAsia="pt-BR"/>
        </w:rPr>
        <w:t>Aberto</w:t>
      </w:r>
    </w:p>
    <w:p w14:paraId="50B395D6" w14:textId="77777777" w:rsidR="00B307DB" w:rsidRPr="002F00DD" w:rsidRDefault="00B307DB" w:rsidP="00B307DB">
      <w:pPr>
        <w:pStyle w:val="PargrafodaLista"/>
        <w:tabs>
          <w:tab w:val="left" w:pos="426"/>
          <w:tab w:val="left" w:pos="567"/>
          <w:tab w:val="left" w:pos="851"/>
          <w:tab w:val="left" w:pos="993"/>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V - </w:t>
      </w:r>
      <w:r w:rsidRPr="002F00DD">
        <w:rPr>
          <w:rFonts w:ascii="Times New Roman" w:hAnsi="Times New Roman" w:cs="Times New Roman"/>
          <w:b/>
          <w:lang w:eastAsia="pt-BR"/>
        </w:rPr>
        <w:t xml:space="preserve">Intervalo entre os lances: </w:t>
      </w:r>
      <w:r w:rsidRPr="002F00DD">
        <w:rPr>
          <w:rFonts w:ascii="Times New Roman" w:hAnsi="Times New Roman" w:cs="Times New Roman"/>
          <w:iCs/>
          <w:lang w:eastAsia="pt-BR"/>
        </w:rPr>
        <w:t xml:space="preserve">R$ </w:t>
      </w:r>
      <w:r>
        <w:rPr>
          <w:rFonts w:ascii="Times New Roman" w:hAnsi="Times New Roman" w:cs="Times New Roman"/>
          <w:iCs/>
          <w:lang w:eastAsia="pt-BR"/>
        </w:rPr>
        <w:t xml:space="preserve">50,00 </w:t>
      </w:r>
      <w:r w:rsidRPr="002F00DD">
        <w:rPr>
          <w:rFonts w:ascii="Times New Roman" w:hAnsi="Times New Roman" w:cs="Times New Roman"/>
          <w:i/>
          <w:lang w:eastAsia="pt-BR"/>
        </w:rPr>
        <w:t>–</w:t>
      </w:r>
      <w:r w:rsidRPr="002F00DD">
        <w:rPr>
          <w:rFonts w:ascii="Times New Roman" w:hAnsi="Times New Roman" w:cs="Times New Roman"/>
          <w:iCs/>
          <w:lang w:eastAsia="pt-BR"/>
        </w:rPr>
        <w:t xml:space="preserve"> </w:t>
      </w:r>
      <w:r w:rsidRPr="002F00DD">
        <w:rPr>
          <w:rFonts w:ascii="Times New Roman" w:hAnsi="Times New Roman" w:cs="Times New Roman"/>
          <w:i/>
          <w:lang w:eastAsia="pt-BR"/>
        </w:rPr>
        <w:t>incidirá tanto em relação aos lances intermediários quanto em relação à proposta que cobrir a melhor oferta.</w:t>
      </w:r>
    </w:p>
    <w:p w14:paraId="148818F3" w14:textId="77777777" w:rsidR="00B307DB" w:rsidRDefault="00B307DB" w:rsidP="00B307DB">
      <w:pPr>
        <w:pStyle w:val="PargrafodaLista"/>
        <w:tabs>
          <w:tab w:val="left" w:pos="426"/>
          <w:tab w:val="left" w:pos="567"/>
          <w:tab w:val="left" w:pos="851"/>
          <w:tab w:val="left" w:pos="993"/>
          <w:tab w:val="left" w:pos="1134"/>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VI - </w:t>
      </w:r>
      <w:r w:rsidRPr="002F00DD">
        <w:rPr>
          <w:rFonts w:ascii="Times New Roman" w:hAnsi="Times New Roman" w:cs="Times New Roman"/>
          <w:b/>
          <w:lang w:eastAsia="pt-BR"/>
        </w:rPr>
        <w:t>Forma:</w:t>
      </w:r>
      <w:r w:rsidRPr="002F00DD">
        <w:rPr>
          <w:rFonts w:ascii="Times New Roman" w:hAnsi="Times New Roman" w:cs="Times New Roman"/>
          <w:lang w:eastAsia="pt-BR"/>
        </w:rPr>
        <w:t xml:space="preserve"> Eletrônico (</w:t>
      </w:r>
      <w:hyperlink r:id="rId12" w:anchor="art17%C2%A72" w:history="1">
        <w:r w:rsidRPr="002F00DD">
          <w:rPr>
            <w:rStyle w:val="Hyperlink"/>
            <w:rFonts w:ascii="Times New Roman" w:hAnsi="Times New Roman" w:cs="Times New Roman"/>
            <w:lang w:eastAsia="pt-BR"/>
          </w:rPr>
          <w:t>art. 17, § 2º</w:t>
        </w:r>
      </w:hyperlink>
      <w:r w:rsidRPr="002F00DD">
        <w:rPr>
          <w:rFonts w:ascii="Times New Roman" w:hAnsi="Times New Roman" w:cs="Times New Roman"/>
          <w:lang w:eastAsia="pt-BR"/>
        </w:rPr>
        <w:t>)</w:t>
      </w:r>
    </w:p>
    <w:p w14:paraId="4431CC76" w14:textId="77777777" w:rsidR="00B307DB" w:rsidRPr="002F00DD" w:rsidRDefault="00B307DB" w:rsidP="00B307DB">
      <w:pPr>
        <w:pStyle w:val="PargrafodaLista"/>
        <w:tabs>
          <w:tab w:val="left" w:pos="426"/>
          <w:tab w:val="left" w:pos="567"/>
          <w:tab w:val="left" w:pos="851"/>
          <w:tab w:val="left" w:pos="993"/>
          <w:tab w:val="left" w:pos="1134"/>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VII - </w:t>
      </w:r>
      <w:r w:rsidRPr="002F00DD">
        <w:rPr>
          <w:rFonts w:ascii="Times New Roman" w:hAnsi="Times New Roman" w:cs="Times New Roman"/>
          <w:b/>
          <w:lang w:eastAsia="pt-BR"/>
        </w:rPr>
        <w:t xml:space="preserve">Plataforma: </w:t>
      </w:r>
      <w:hyperlink r:id="rId13">
        <w:r w:rsidRPr="002F00DD">
          <w:rPr>
            <w:rStyle w:val="Hyperlink"/>
            <w:rFonts w:ascii="Times New Roman" w:hAnsi="Times New Roman" w:cs="Times New Roman"/>
            <w:b/>
            <w:color w:val="0070C0"/>
            <w:lang w:eastAsia="pt-BR"/>
          </w:rPr>
          <w:t>http://www.portaldecompraspublicas.com.br</w:t>
        </w:r>
      </w:hyperlink>
    </w:p>
    <w:p w14:paraId="457DAED2" w14:textId="77777777" w:rsidR="00B307DB" w:rsidRDefault="00B307DB" w:rsidP="00012875">
      <w:pPr>
        <w:pStyle w:val="PargrafodaLista"/>
        <w:numPr>
          <w:ilvl w:val="0"/>
          <w:numId w:val="249"/>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Para participar do Pregão, o licitante deverá se credenciar junto ao provedor do sistema de Pregão Eletrônico, através do site </w:t>
      </w:r>
      <w:hyperlink r:id="rId14" w:history="1">
        <w:r w:rsidRPr="00EF138A">
          <w:rPr>
            <w:rStyle w:val="Hyperlink"/>
            <w:rFonts w:ascii="Times New Roman" w:hAnsi="Times New Roman" w:cs="Times New Roman"/>
            <w:u w:color="0000FF"/>
          </w:rPr>
          <w:t>www.portaldecompraspublicas.com.br</w:t>
        </w:r>
      </w:hyperlink>
      <w:r w:rsidRPr="002F00DD">
        <w:rPr>
          <w:rFonts w:ascii="Times New Roman" w:hAnsi="Times New Roman" w:cs="Times New Roman"/>
        </w:rPr>
        <w:t xml:space="preserve">; </w:t>
      </w:r>
    </w:p>
    <w:p w14:paraId="01A893F9" w14:textId="77777777" w:rsidR="00B307DB" w:rsidRDefault="00B307DB" w:rsidP="00012875">
      <w:pPr>
        <w:pStyle w:val="PargrafodaLista"/>
        <w:numPr>
          <w:ilvl w:val="0"/>
          <w:numId w:val="249"/>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O credenciamento dar-se-á pela atribuição de chave de identificação e de senha pessoal e intransferível, para acesso ao sistema eletrônico.  </w:t>
      </w:r>
    </w:p>
    <w:p w14:paraId="3B41573A" w14:textId="77777777" w:rsidR="00B307DB" w:rsidRDefault="00B307DB" w:rsidP="00012875">
      <w:pPr>
        <w:pStyle w:val="PargrafodaLista"/>
        <w:numPr>
          <w:ilvl w:val="0"/>
          <w:numId w:val="249"/>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54BC2682" w14:textId="77777777" w:rsidR="00B307DB" w:rsidRDefault="00B307DB" w:rsidP="00012875">
      <w:pPr>
        <w:pStyle w:val="PargrafodaLista"/>
        <w:numPr>
          <w:ilvl w:val="0"/>
          <w:numId w:val="249"/>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511E37BF" w14:textId="77777777" w:rsidR="00B307DB" w:rsidRDefault="00B307DB" w:rsidP="00012875">
      <w:pPr>
        <w:pStyle w:val="PargrafodaLista"/>
        <w:numPr>
          <w:ilvl w:val="0"/>
          <w:numId w:val="249"/>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0F4D7128" w14:textId="77777777" w:rsidR="00B307DB" w:rsidRDefault="00B307DB" w:rsidP="00012875">
      <w:pPr>
        <w:pStyle w:val="PargrafodaLista"/>
        <w:numPr>
          <w:ilvl w:val="0"/>
          <w:numId w:val="249"/>
        </w:numPr>
        <w:tabs>
          <w:tab w:val="left" w:pos="284"/>
          <w:tab w:val="left" w:pos="567"/>
          <w:tab w:val="left" w:pos="1418"/>
          <w:tab w:val="left" w:pos="2977"/>
        </w:tabs>
        <w:spacing w:after="0" w:line="240" w:lineRule="auto"/>
        <w:ind w:left="1134" w:right="-568" w:hanging="11"/>
        <w:jc w:val="both"/>
        <w:rPr>
          <w:rFonts w:ascii="Times New Roman" w:hAnsi="Times New Roman" w:cs="Times New Roman"/>
        </w:rPr>
      </w:pPr>
      <w:r w:rsidRPr="002F00DD">
        <w:rPr>
          <w:rFonts w:ascii="Times New Roman" w:hAnsi="Times New Roman" w:cs="Times New Roman"/>
        </w:rPr>
        <w:t xml:space="preserve">A não observância do disposto no subitem anterior poderá ensejar desclassificação no momento da habilitação. </w:t>
      </w:r>
    </w:p>
    <w:p w14:paraId="28FACC0C" w14:textId="77777777" w:rsidR="00B307DB" w:rsidRPr="00CC1D2D" w:rsidRDefault="00B307DB" w:rsidP="00B307DB">
      <w:pPr>
        <w:pStyle w:val="PargrafodaLista"/>
        <w:tabs>
          <w:tab w:val="left" w:pos="284"/>
          <w:tab w:val="left" w:pos="567"/>
          <w:tab w:val="left" w:pos="1276"/>
        </w:tabs>
        <w:spacing w:after="0" w:line="240" w:lineRule="auto"/>
        <w:ind w:left="567" w:right="-568"/>
        <w:contextualSpacing w:val="0"/>
        <w:jc w:val="both"/>
        <w:rPr>
          <w:rFonts w:ascii="Times New Roman" w:hAnsi="Times New Roman" w:cs="Times New Roman"/>
          <w:b/>
          <w:lang w:eastAsia="pt-BR"/>
        </w:rPr>
      </w:pPr>
      <w:r>
        <w:rPr>
          <w:rFonts w:ascii="Times New Roman" w:hAnsi="Times New Roman" w:cs="Times New Roman"/>
          <w:b/>
          <w:lang w:eastAsia="pt-BR"/>
        </w:rPr>
        <w:t xml:space="preserve">VIII - </w:t>
      </w:r>
      <w:r w:rsidRPr="00CC1D2D">
        <w:rPr>
          <w:rFonts w:ascii="Times New Roman" w:hAnsi="Times New Roman" w:cs="Times New Roman"/>
          <w:b/>
          <w:lang w:eastAsia="pt-BR"/>
        </w:rPr>
        <w:t>Data/horário limite para apresentação da PROPOSTA:</w:t>
      </w:r>
    </w:p>
    <w:p w14:paraId="3872AAE6" w14:textId="130E82BA" w:rsidR="00B307DB" w:rsidRPr="00CC1D2D" w:rsidRDefault="00B307DB" w:rsidP="00B307DB">
      <w:pPr>
        <w:pStyle w:val="PargrafodaLista"/>
        <w:tabs>
          <w:tab w:val="left" w:pos="284"/>
          <w:tab w:val="left" w:pos="567"/>
          <w:tab w:val="left" w:pos="1418"/>
        </w:tabs>
        <w:spacing w:after="0" w:line="240" w:lineRule="auto"/>
        <w:ind w:left="1134" w:right="-568"/>
        <w:contextualSpacing w:val="0"/>
        <w:jc w:val="both"/>
        <w:rPr>
          <w:rFonts w:ascii="Times New Roman" w:hAnsi="Times New Roman" w:cs="Times New Roman"/>
          <w:lang w:eastAsia="pt-BR"/>
        </w:rPr>
      </w:pPr>
      <w:r w:rsidRPr="00CC1D2D">
        <w:rPr>
          <w:rFonts w:ascii="Times New Roman" w:hAnsi="Times New Roman" w:cs="Times New Roman"/>
          <w:b/>
          <w:lang w:eastAsia="pt-BR"/>
        </w:rPr>
        <w:t>a)</w:t>
      </w:r>
      <w:r w:rsidRPr="00CC1D2D">
        <w:rPr>
          <w:rFonts w:ascii="Times New Roman" w:hAnsi="Times New Roman" w:cs="Times New Roman"/>
          <w:lang w:eastAsia="pt-BR"/>
        </w:rPr>
        <w:t xml:space="preserve"> </w:t>
      </w:r>
      <w:r w:rsidRPr="00D713BF">
        <w:rPr>
          <w:rFonts w:ascii="Times New Roman" w:hAnsi="Times New Roman" w:cs="Times New Roman"/>
          <w:strike/>
          <w:color w:val="FF0000"/>
          <w:lang w:eastAsia="pt-BR"/>
        </w:rPr>
        <w:t>28/11/2024</w:t>
      </w:r>
      <w:r>
        <w:rPr>
          <w:rFonts w:ascii="Times New Roman" w:hAnsi="Times New Roman" w:cs="Times New Roman"/>
          <w:lang w:eastAsia="pt-BR"/>
        </w:rPr>
        <w:t xml:space="preserve"> </w:t>
      </w:r>
      <w:r w:rsidRPr="001A7D7F">
        <w:rPr>
          <w:rFonts w:ascii="Times New Roman" w:hAnsi="Times New Roman" w:cs="Times New Roman"/>
          <w:strike/>
          <w:color w:val="FF0000"/>
          <w:lang w:eastAsia="pt-BR"/>
        </w:rPr>
        <w:t>02/12/2024</w:t>
      </w:r>
      <w:r w:rsidR="001A7D7F" w:rsidRPr="001A7D7F">
        <w:rPr>
          <w:rFonts w:ascii="Times New Roman" w:hAnsi="Times New Roman" w:cs="Times New Roman"/>
          <w:color w:val="FF0000"/>
          <w:lang w:eastAsia="pt-BR"/>
        </w:rPr>
        <w:t xml:space="preserve"> </w:t>
      </w:r>
      <w:r w:rsidR="001A7D7F">
        <w:rPr>
          <w:rFonts w:ascii="Times New Roman" w:hAnsi="Times New Roman" w:cs="Times New Roman"/>
          <w:lang w:eastAsia="pt-BR"/>
        </w:rPr>
        <w:t>16/12/2024</w:t>
      </w:r>
    </w:p>
    <w:p w14:paraId="2212F86C" w14:textId="77777777" w:rsidR="00B307DB" w:rsidRPr="00CC1D2D" w:rsidRDefault="00B307DB" w:rsidP="00B307DB">
      <w:pPr>
        <w:pStyle w:val="PargrafodaLista"/>
        <w:tabs>
          <w:tab w:val="left" w:pos="284"/>
          <w:tab w:val="left" w:pos="567"/>
          <w:tab w:val="left" w:pos="1418"/>
        </w:tabs>
        <w:spacing w:after="0" w:line="240" w:lineRule="auto"/>
        <w:ind w:left="1134" w:right="-568"/>
        <w:contextualSpacing w:val="0"/>
        <w:jc w:val="both"/>
        <w:rPr>
          <w:rFonts w:ascii="Times New Roman" w:hAnsi="Times New Roman" w:cs="Times New Roman"/>
          <w:lang w:eastAsia="pt-BR"/>
        </w:rPr>
      </w:pPr>
      <w:r w:rsidRPr="00CC1D2D">
        <w:rPr>
          <w:rFonts w:ascii="Times New Roman" w:hAnsi="Times New Roman" w:cs="Times New Roman"/>
          <w:b/>
          <w:lang w:eastAsia="pt-BR"/>
        </w:rPr>
        <w:t>b)</w:t>
      </w:r>
      <w:r w:rsidRPr="00CC1D2D">
        <w:rPr>
          <w:rFonts w:ascii="Times New Roman" w:hAnsi="Times New Roman" w:cs="Times New Roman"/>
          <w:lang w:eastAsia="pt-BR"/>
        </w:rPr>
        <w:t xml:space="preserve"> 08h00min (horário de Brasília/DF)</w:t>
      </w:r>
    </w:p>
    <w:p w14:paraId="4CD109EC" w14:textId="77777777" w:rsidR="00B307DB" w:rsidRPr="00CC1D2D" w:rsidRDefault="00B307DB" w:rsidP="00B307DB">
      <w:pPr>
        <w:pStyle w:val="PargrafodaLista"/>
        <w:tabs>
          <w:tab w:val="left" w:pos="284"/>
          <w:tab w:val="left" w:pos="567"/>
          <w:tab w:val="left" w:pos="1276"/>
        </w:tabs>
        <w:spacing w:after="0" w:line="240" w:lineRule="auto"/>
        <w:ind w:left="567" w:right="-568"/>
        <w:contextualSpacing w:val="0"/>
        <w:jc w:val="both"/>
        <w:rPr>
          <w:rFonts w:ascii="Times New Roman" w:hAnsi="Times New Roman" w:cs="Times New Roman"/>
          <w:lang w:eastAsia="pt-BR"/>
        </w:rPr>
      </w:pPr>
      <w:r w:rsidRPr="00CC1D2D">
        <w:rPr>
          <w:rFonts w:ascii="Times New Roman" w:hAnsi="Times New Roman" w:cs="Times New Roman"/>
          <w:b/>
          <w:lang w:eastAsia="pt-BR"/>
        </w:rPr>
        <w:t>IX - Data/horário da sessão pública:</w:t>
      </w:r>
      <w:r w:rsidRPr="00CC1D2D">
        <w:rPr>
          <w:rFonts w:ascii="Times New Roman" w:hAnsi="Times New Roman" w:cs="Times New Roman"/>
          <w:lang w:eastAsia="pt-BR"/>
        </w:rPr>
        <w:t xml:space="preserve"> </w:t>
      </w:r>
    </w:p>
    <w:p w14:paraId="0A766F8A" w14:textId="00647BA2" w:rsidR="00B307DB" w:rsidRPr="00CC1D2D" w:rsidRDefault="00B307DB" w:rsidP="00012875">
      <w:pPr>
        <w:pStyle w:val="PargrafodaLista"/>
        <w:numPr>
          <w:ilvl w:val="0"/>
          <w:numId w:val="250"/>
        </w:numPr>
        <w:tabs>
          <w:tab w:val="left" w:pos="284"/>
          <w:tab w:val="left" w:pos="567"/>
          <w:tab w:val="left" w:pos="1418"/>
        </w:tabs>
        <w:spacing w:after="0" w:line="240" w:lineRule="auto"/>
        <w:ind w:left="1134" w:right="-568" w:firstLine="0"/>
        <w:jc w:val="both"/>
        <w:rPr>
          <w:rFonts w:ascii="Times New Roman" w:hAnsi="Times New Roman" w:cs="Times New Roman"/>
          <w:strike/>
          <w:lang w:eastAsia="pt-BR"/>
        </w:rPr>
      </w:pPr>
      <w:r w:rsidRPr="00D713BF">
        <w:rPr>
          <w:rFonts w:ascii="Times New Roman" w:hAnsi="Times New Roman" w:cs="Times New Roman"/>
          <w:strike/>
          <w:color w:val="FF0000"/>
          <w:lang w:eastAsia="pt-BR"/>
        </w:rPr>
        <w:t>28/11/2024</w:t>
      </w:r>
      <w:r w:rsidRPr="00D713BF">
        <w:rPr>
          <w:rFonts w:ascii="Times New Roman" w:hAnsi="Times New Roman" w:cs="Times New Roman"/>
          <w:color w:val="FF0000"/>
          <w:lang w:eastAsia="pt-BR"/>
        </w:rPr>
        <w:t xml:space="preserve"> </w:t>
      </w:r>
      <w:r w:rsidRPr="001A7D7F">
        <w:rPr>
          <w:rFonts w:ascii="Times New Roman" w:hAnsi="Times New Roman" w:cs="Times New Roman"/>
          <w:strike/>
          <w:color w:val="FF0000"/>
          <w:lang w:eastAsia="pt-BR"/>
        </w:rPr>
        <w:t>02/12/2024</w:t>
      </w:r>
      <w:r w:rsidR="001A7D7F" w:rsidRPr="001A7D7F">
        <w:rPr>
          <w:rFonts w:ascii="Times New Roman" w:hAnsi="Times New Roman" w:cs="Times New Roman"/>
          <w:color w:val="FF0000"/>
          <w:lang w:eastAsia="pt-BR"/>
        </w:rPr>
        <w:t xml:space="preserve"> </w:t>
      </w:r>
      <w:r w:rsidR="001A7D7F">
        <w:rPr>
          <w:rFonts w:ascii="Times New Roman" w:hAnsi="Times New Roman" w:cs="Times New Roman"/>
          <w:color w:val="000000" w:themeColor="text1"/>
          <w:lang w:eastAsia="pt-BR"/>
        </w:rPr>
        <w:t>16/12/2024</w:t>
      </w:r>
    </w:p>
    <w:p w14:paraId="7CA1BB93" w14:textId="77777777" w:rsidR="00B307DB" w:rsidRPr="00D84571" w:rsidRDefault="00B307DB" w:rsidP="00012875">
      <w:pPr>
        <w:pStyle w:val="PargrafodaLista"/>
        <w:numPr>
          <w:ilvl w:val="0"/>
          <w:numId w:val="250"/>
        </w:numPr>
        <w:tabs>
          <w:tab w:val="left" w:pos="284"/>
          <w:tab w:val="left" w:pos="567"/>
          <w:tab w:val="left" w:pos="1418"/>
        </w:tabs>
        <w:spacing w:after="0" w:line="240" w:lineRule="auto"/>
        <w:ind w:left="1134" w:right="-568" w:firstLine="0"/>
        <w:contextualSpacing w:val="0"/>
        <w:jc w:val="both"/>
        <w:rPr>
          <w:rFonts w:ascii="Times New Roman" w:hAnsi="Times New Roman" w:cs="Times New Roman"/>
          <w:lang w:eastAsia="pt-BR"/>
        </w:rPr>
      </w:pPr>
      <w:r w:rsidRPr="00D84571">
        <w:rPr>
          <w:rFonts w:ascii="Times New Roman" w:hAnsi="Times New Roman" w:cs="Times New Roman"/>
          <w:lang w:eastAsia="pt-BR"/>
        </w:rPr>
        <w:t>08h10min (horário de Brasília/DF)</w:t>
      </w:r>
    </w:p>
    <w:p w14:paraId="63A5EA51" w14:textId="77777777" w:rsidR="00B307DB" w:rsidRPr="00D84571" w:rsidRDefault="00B307DB" w:rsidP="00B307DB">
      <w:pPr>
        <w:pStyle w:val="PargrafodaLista"/>
        <w:tabs>
          <w:tab w:val="left" w:pos="284"/>
          <w:tab w:val="left" w:pos="567"/>
          <w:tab w:val="left" w:pos="993"/>
          <w:tab w:val="left" w:pos="1134"/>
        </w:tabs>
        <w:spacing w:after="0" w:line="240" w:lineRule="auto"/>
        <w:ind w:left="567" w:right="-568"/>
        <w:jc w:val="both"/>
        <w:rPr>
          <w:rFonts w:ascii="Times New Roman" w:hAnsi="Times New Roman" w:cs="Times New Roman"/>
          <w:lang w:eastAsia="pt-BR"/>
        </w:rPr>
      </w:pPr>
      <w:r>
        <w:rPr>
          <w:rFonts w:ascii="Times New Roman" w:hAnsi="Times New Roman" w:cs="Times New Roman"/>
          <w:b/>
          <w:lang w:eastAsia="pt-BR"/>
        </w:rPr>
        <w:t xml:space="preserve">X - </w:t>
      </w:r>
      <w:r w:rsidRPr="00D84571">
        <w:rPr>
          <w:rFonts w:ascii="Times New Roman" w:hAnsi="Times New Roman" w:cs="Times New Roman"/>
          <w:b/>
          <w:lang w:eastAsia="pt-BR"/>
        </w:rPr>
        <w:t>O licitante com a melhor proposta deverá incluir os documentos exigidos em edital dentro de 02 horas</w:t>
      </w:r>
      <w:r>
        <w:rPr>
          <w:rFonts w:ascii="Times New Roman" w:hAnsi="Times New Roman" w:cs="Times New Roman"/>
          <w:b/>
          <w:lang w:eastAsia="pt-BR"/>
        </w:rPr>
        <w:t xml:space="preserve"> </w:t>
      </w:r>
      <w:r w:rsidRPr="00981401">
        <w:rPr>
          <w:rFonts w:ascii="Times New Roman" w:hAnsi="Times New Roman" w:cs="Times New Roman"/>
          <w:lang w:eastAsia="pt-BR"/>
        </w:rPr>
        <w:t>(</w:t>
      </w:r>
      <w:r w:rsidRPr="00D12972">
        <w:rPr>
          <w:rFonts w:ascii="Times New Roman" w:hAnsi="Times New Roman" w:cs="Times New Roman"/>
          <w:i/>
          <w:lang w:eastAsia="pt-BR"/>
        </w:rPr>
        <w:t>prorrogável por igual período, contado da solicitação da pregoeira, desde que solicitado no chat da plataforma</w:t>
      </w:r>
      <w:r w:rsidRPr="00D12972">
        <w:rPr>
          <w:rFonts w:ascii="Times New Roman" w:hAnsi="Times New Roman" w:cs="Times New Roman"/>
          <w:lang w:eastAsia="pt-BR"/>
        </w:rPr>
        <w:t>)</w:t>
      </w:r>
      <w:r>
        <w:rPr>
          <w:rFonts w:ascii="Times New Roman" w:hAnsi="Times New Roman" w:cs="Times New Roman"/>
          <w:b/>
          <w:lang w:eastAsia="pt-BR"/>
        </w:rPr>
        <w:t xml:space="preserve"> </w:t>
      </w:r>
      <w:r w:rsidRPr="00D84571">
        <w:rPr>
          <w:rFonts w:ascii="Times New Roman" w:hAnsi="Times New Roman" w:cs="Times New Roman"/>
          <w:b/>
          <w:lang w:eastAsia="pt-BR"/>
        </w:rPr>
        <w:t xml:space="preserve"> após a solicitação da pregoeira no chat da plataforma, indicado no preambulo deste edital – (</w:t>
      </w:r>
      <w:hyperlink r:id="rId15" w:anchor="art63ii" w:history="1">
        <w:r w:rsidRPr="00D84571">
          <w:rPr>
            <w:rStyle w:val="Hyperlink"/>
            <w:rFonts w:ascii="Times New Roman" w:hAnsi="Times New Roman" w:cs="Times New Roman"/>
            <w:b/>
            <w:lang w:eastAsia="pt-BR"/>
          </w:rPr>
          <w:t>art. 63, II da Lei nº 14.133/2021</w:t>
        </w:r>
      </w:hyperlink>
      <w:r w:rsidRPr="00D84571">
        <w:rPr>
          <w:rFonts w:ascii="Times New Roman" w:hAnsi="Times New Roman" w:cs="Times New Roman"/>
          <w:b/>
          <w:lang w:eastAsia="pt-BR"/>
        </w:rPr>
        <w:t>).</w:t>
      </w:r>
    </w:p>
    <w:p w14:paraId="6F1AFF43"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lang w:eastAsia="pt-BR"/>
        </w:rPr>
      </w:pPr>
      <w:r>
        <w:rPr>
          <w:rFonts w:ascii="Times New Roman" w:hAnsi="Times New Roman" w:cs="Times New Roman"/>
          <w:b/>
          <w:lang w:eastAsia="pt-BR"/>
        </w:rPr>
        <w:t xml:space="preserve">XI - </w:t>
      </w:r>
      <w:r w:rsidRPr="00D84571">
        <w:rPr>
          <w:rFonts w:ascii="Times New Roman" w:hAnsi="Times New Roman" w:cs="Times New Roman"/>
          <w:b/>
          <w:lang w:eastAsia="pt-BR"/>
        </w:rPr>
        <w:t>Condução do processo licitatório:</w:t>
      </w:r>
      <w:r w:rsidRPr="00D84571">
        <w:rPr>
          <w:rFonts w:ascii="Times New Roman" w:hAnsi="Times New Roman" w:cs="Times New Roman"/>
          <w:lang w:eastAsia="pt-BR"/>
        </w:rPr>
        <w:t xml:space="preserve"> Pregoeira e Equipe de Apoio (</w:t>
      </w:r>
      <w:hyperlink r:id="rId16" w:anchor="art8%C2%A75" w:history="1">
        <w:r w:rsidRPr="00D84571">
          <w:rPr>
            <w:rStyle w:val="Hyperlink"/>
            <w:rFonts w:ascii="Times New Roman" w:hAnsi="Times New Roman" w:cs="Times New Roman"/>
            <w:lang w:eastAsia="pt-BR"/>
          </w:rPr>
          <w:t>art.8º, §5º da Lei nº 14.133/2021</w:t>
        </w:r>
      </w:hyperlink>
      <w:r w:rsidRPr="00D84571">
        <w:rPr>
          <w:rFonts w:ascii="Times New Roman" w:hAnsi="Times New Roman" w:cs="Times New Roman"/>
          <w:lang w:eastAsia="pt-BR"/>
        </w:rPr>
        <w:t>), conforme designação no Decreto Municipal 4792/2023.</w:t>
      </w:r>
    </w:p>
    <w:p w14:paraId="79BFA55F" w14:textId="77777777" w:rsidR="00B307DB" w:rsidRPr="00D84571" w:rsidRDefault="00B307DB" w:rsidP="00B307DB">
      <w:pPr>
        <w:widowControl w:val="0"/>
        <w:tabs>
          <w:tab w:val="left" w:pos="1418"/>
        </w:tabs>
        <w:adjustRightInd w:val="0"/>
        <w:spacing w:after="0" w:line="240" w:lineRule="auto"/>
        <w:ind w:right="-568"/>
        <w:jc w:val="both"/>
        <w:textAlignment w:val="baseline"/>
        <w:rPr>
          <w:rFonts w:ascii="Times New Roman" w:eastAsia="Times New Roman" w:hAnsi="Times New Roman" w:cs="Times New Roman"/>
          <w:lang w:eastAsia="pt-BR"/>
        </w:rPr>
      </w:pPr>
    </w:p>
    <w:p w14:paraId="48382D6A" w14:textId="77777777" w:rsidR="00B307DB" w:rsidRPr="00D84571" w:rsidRDefault="00B307DB" w:rsidP="00B307DB">
      <w:pPr>
        <w:pStyle w:val="Ttulo1"/>
        <w:shd w:val="clear" w:color="auto" w:fill="A6A6A6" w:themeFill="background1" w:themeFillShade="A6"/>
        <w:spacing w:before="0" w:line="240" w:lineRule="auto"/>
        <w:ind w:right="-568"/>
        <w:rPr>
          <w:rFonts w:ascii="Times New Roman" w:eastAsia="Times New Roman" w:hAnsi="Times New Roman" w:cs="Times New Roman"/>
          <w:sz w:val="22"/>
          <w:szCs w:val="22"/>
          <w:lang w:eastAsia="pt-BR"/>
        </w:rPr>
      </w:pPr>
      <w:r w:rsidRPr="00D84571">
        <w:rPr>
          <w:rFonts w:ascii="Times New Roman" w:eastAsia="Times New Roman" w:hAnsi="Times New Roman" w:cs="Times New Roman"/>
          <w:sz w:val="22"/>
          <w:szCs w:val="22"/>
          <w:lang w:eastAsia="pt-BR"/>
        </w:rPr>
        <w:t>2 OBJETO</w:t>
      </w:r>
    </w:p>
    <w:p w14:paraId="2E3317BF" w14:textId="77777777" w:rsidR="00B307DB" w:rsidRPr="00EA3C53" w:rsidRDefault="00B307DB" w:rsidP="00B307DB">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2.1</w:t>
      </w:r>
      <w:r w:rsidRPr="00D84571">
        <w:rPr>
          <w:rFonts w:ascii="Times New Roman" w:eastAsia="Times New Roman" w:hAnsi="Times New Roman" w:cs="Times New Roman"/>
          <w:lang w:eastAsia="pt-BR"/>
        </w:rPr>
        <w:t xml:space="preserve"> </w:t>
      </w:r>
      <w:r w:rsidRPr="00593E2B">
        <w:rPr>
          <w:rFonts w:ascii="Times New Roman" w:eastAsia="Times New Roman" w:hAnsi="Times New Roman" w:cs="Times New Roman"/>
          <w:lang w:eastAsia="pt-BR"/>
        </w:rPr>
        <w:t xml:space="preserve">O objeto deste processo licitatório é a </w:t>
      </w:r>
      <w:r w:rsidRPr="00A7489C">
        <w:rPr>
          <w:rFonts w:ascii="Times New Roman" w:eastAsia="Times New Roman" w:hAnsi="Times New Roman" w:cs="Times New Roman"/>
          <w:color w:val="000000"/>
          <w:lang w:eastAsia="pt-BR"/>
        </w:rPr>
        <w:t xml:space="preserve">locação de sistema web integrado de gestão pública municipal, em nuvem, incluindo serviços complementares implantação, manutenção (corretiva, adaptativa e evolutiva), suporte técnico e treinamento de servidores públicos municipais, armazenamento e </w:t>
      </w:r>
      <w:r w:rsidRPr="00A7489C">
        <w:rPr>
          <w:rFonts w:ascii="Times New Roman" w:eastAsia="Times New Roman" w:hAnsi="Times New Roman" w:cs="Times New Roman"/>
          <w:color w:val="000000"/>
          <w:lang w:eastAsia="pt-BR"/>
        </w:rPr>
        <w:lastRenderedPageBreak/>
        <w:t xml:space="preserve">segurança da informação, para </w:t>
      </w:r>
      <w:r w:rsidRPr="00593E2B">
        <w:rPr>
          <w:rFonts w:ascii="Times New Roman" w:eastAsia="Times New Roman" w:hAnsi="Times New Roman" w:cs="Times New Roman"/>
          <w:color w:val="000000"/>
          <w:lang w:eastAsia="pt-BR"/>
        </w:rPr>
        <w:t>atendimento das necessidades da administração municipal e do Poder</w:t>
      </w:r>
      <w:r w:rsidRPr="00593E2B">
        <w:rPr>
          <w:rStyle w:val="Refdecomentrio"/>
        </w:rPr>
        <w:t xml:space="preserve"> </w:t>
      </w:r>
      <w:r w:rsidRPr="00593E2B">
        <w:rPr>
          <w:rStyle w:val="Refdecomentrio"/>
          <w:rFonts w:ascii="Times New Roman" w:hAnsi="Times New Roman" w:cs="Times New Roman"/>
          <w:sz w:val="22"/>
          <w:szCs w:val="22"/>
        </w:rPr>
        <w:t>Legislativo</w:t>
      </w:r>
      <w:r w:rsidRPr="00593E2B">
        <w:rPr>
          <w:rFonts w:eastAsia="Times New Roman"/>
          <w:color w:val="000000"/>
          <w:lang w:eastAsia="pt-BR"/>
        </w:rPr>
        <w:t>,</w:t>
      </w:r>
      <w:r>
        <w:rPr>
          <w:rFonts w:eastAsia="Times New Roman"/>
          <w:color w:val="000000"/>
          <w:lang w:eastAsia="pt-BR"/>
        </w:rPr>
        <w:t xml:space="preserve"> </w:t>
      </w:r>
      <w:r w:rsidRPr="00A7489C">
        <w:rPr>
          <w:rFonts w:ascii="Times New Roman" w:eastAsia="Times New Roman" w:hAnsi="Times New Roman" w:cs="Times New Roman"/>
          <w:color w:val="000000"/>
          <w:lang w:eastAsia="pt-BR"/>
        </w:rPr>
        <w:t>conforme</w:t>
      </w:r>
      <w:r w:rsidRPr="0045578A">
        <w:rPr>
          <w:rFonts w:ascii="Times New Roman" w:eastAsia="Times New Roman" w:hAnsi="Times New Roman" w:cs="Times New Roman"/>
          <w:color w:val="000000"/>
          <w:lang w:eastAsia="pt-BR"/>
        </w:rPr>
        <w:t xml:space="preserve"> especificações constantes no edital e seus anexos</w:t>
      </w:r>
      <w:r>
        <w:rPr>
          <w:rFonts w:ascii="Times New Roman" w:eastAsia="Times New Roman" w:hAnsi="Times New Roman" w:cs="Times New Roman"/>
          <w:color w:val="000000"/>
          <w:lang w:eastAsia="pt-BR"/>
        </w:rPr>
        <w:t>.</w:t>
      </w:r>
    </w:p>
    <w:p w14:paraId="7922C4DD" w14:textId="77777777" w:rsidR="00B307DB" w:rsidRPr="00C02ED0" w:rsidRDefault="00B307DB" w:rsidP="00B307DB">
      <w:pPr>
        <w:widowControl w:val="0"/>
        <w:tabs>
          <w:tab w:val="left" w:pos="426"/>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 xml:space="preserve">2.2 </w:t>
      </w:r>
      <w:r w:rsidRPr="00C02ED0">
        <w:rPr>
          <w:rFonts w:ascii="Times New Roman" w:eastAsia="Times New Roman" w:hAnsi="Times New Roman" w:cs="Times New Roman"/>
          <w:lang w:eastAsia="pt-BR"/>
        </w:rPr>
        <w:t>O objeto está fundamentado (</w:t>
      </w:r>
      <w:hyperlink r:id="rId17" w:anchor="art18i" w:history="1">
        <w:r w:rsidRPr="00C02ED0">
          <w:rPr>
            <w:rStyle w:val="Hyperlink"/>
            <w:rFonts w:ascii="Times New Roman" w:eastAsia="Times New Roman" w:hAnsi="Times New Roman" w:cs="Times New Roman"/>
            <w:lang w:eastAsia="pt-BR"/>
          </w:rPr>
          <w:t>art. 18, I e II da Lei nº 14.133/2021</w:t>
        </w:r>
      </w:hyperlink>
      <w:r w:rsidRPr="00C02ED0">
        <w:rPr>
          <w:rFonts w:ascii="Times New Roman" w:eastAsia="Times New Roman" w:hAnsi="Times New Roman" w:cs="Times New Roman"/>
          <w:lang w:eastAsia="pt-BR"/>
        </w:rPr>
        <w:t>):</w:t>
      </w:r>
    </w:p>
    <w:p w14:paraId="45E74141" w14:textId="77777777" w:rsidR="00B307DB" w:rsidRPr="00CB35E1" w:rsidRDefault="00B307DB" w:rsidP="00B307DB">
      <w:pPr>
        <w:pStyle w:val="PargrafodaLista"/>
        <w:widowControl w:val="0"/>
        <w:tabs>
          <w:tab w:val="left" w:pos="1134"/>
        </w:tabs>
        <w:adjustRightInd w:val="0"/>
        <w:spacing w:after="0" w:line="240" w:lineRule="auto"/>
        <w:ind w:left="567" w:right="-568"/>
        <w:contextualSpacing w:val="0"/>
        <w:jc w:val="both"/>
        <w:textAlignment w:val="baseline"/>
        <w:rPr>
          <w:rFonts w:ascii="Times New Roman" w:eastAsia="Times New Roman" w:hAnsi="Times New Roman" w:cs="Times New Roman"/>
          <w:color w:val="000000" w:themeColor="text1"/>
          <w:lang w:eastAsia="pt-BR"/>
        </w:rPr>
      </w:pPr>
      <w:r w:rsidRPr="00532569">
        <w:rPr>
          <w:rFonts w:ascii="Times New Roman" w:eastAsia="Times New Roman" w:hAnsi="Times New Roman" w:cs="Times New Roman"/>
          <w:b/>
          <w:lang w:eastAsia="pt-BR"/>
        </w:rPr>
        <w:t>I -</w:t>
      </w:r>
      <w:r>
        <w:rPr>
          <w:rFonts w:ascii="Times New Roman" w:eastAsia="Times New Roman" w:hAnsi="Times New Roman" w:cs="Times New Roman"/>
          <w:lang w:eastAsia="pt-BR"/>
        </w:rPr>
        <w:t xml:space="preserve"> </w:t>
      </w:r>
      <w:r w:rsidRPr="00D84571">
        <w:rPr>
          <w:rFonts w:ascii="Times New Roman" w:eastAsia="Times New Roman" w:hAnsi="Times New Roman" w:cs="Times New Roman"/>
          <w:lang w:eastAsia="pt-BR"/>
        </w:rPr>
        <w:t xml:space="preserve">Estudo Técnico Preliminar </w:t>
      </w:r>
      <w:r w:rsidRPr="00CB35E1">
        <w:rPr>
          <w:rFonts w:ascii="Times New Roman" w:eastAsia="Times New Roman" w:hAnsi="Times New Roman" w:cs="Times New Roman"/>
          <w:color w:val="000000" w:themeColor="text1"/>
          <w:lang w:eastAsia="pt-BR"/>
        </w:rPr>
        <w:t xml:space="preserve">– ETP nº 31/2024 </w:t>
      </w:r>
      <w:r w:rsidRPr="00CB35E1">
        <w:rPr>
          <w:rFonts w:ascii="Times New Roman" w:eastAsia="Times New Roman" w:hAnsi="Times New Roman" w:cs="Times New Roman"/>
          <w:color w:val="000000" w:themeColor="text1"/>
          <w:shd w:val="clear" w:color="auto" w:fill="FFFFFF" w:themeFill="background1"/>
          <w:lang w:eastAsia="pt-BR"/>
        </w:rPr>
        <w:t>(</w:t>
      </w:r>
      <w:r w:rsidRPr="00CB35E1">
        <w:rPr>
          <w:rFonts w:ascii="Times New Roman" w:eastAsia="Times New Roman" w:hAnsi="Times New Roman" w:cs="Times New Roman"/>
          <w:color w:val="000000" w:themeColor="text1"/>
          <w:shd w:val="clear" w:color="auto" w:fill="D9D9D9" w:themeFill="background1" w:themeFillShade="D9"/>
          <w:lang w:eastAsia="pt-BR"/>
        </w:rPr>
        <w:t>ANEXO I</w:t>
      </w:r>
      <w:r w:rsidRPr="00CB35E1">
        <w:rPr>
          <w:rFonts w:ascii="Times New Roman" w:eastAsia="Times New Roman" w:hAnsi="Times New Roman" w:cs="Times New Roman"/>
          <w:color w:val="000000" w:themeColor="text1"/>
          <w:shd w:val="clear" w:color="auto" w:fill="FFFFFF" w:themeFill="background1"/>
          <w:lang w:eastAsia="pt-BR"/>
        </w:rPr>
        <w:t>);</w:t>
      </w:r>
    </w:p>
    <w:p w14:paraId="53BF34E7" w14:textId="77777777" w:rsidR="00B307DB" w:rsidRDefault="00B307DB" w:rsidP="00B307DB">
      <w:pPr>
        <w:pStyle w:val="PargrafodaLista"/>
        <w:widowControl w:val="0"/>
        <w:shd w:val="clear" w:color="auto" w:fill="FFFFFF" w:themeFill="background1"/>
        <w:tabs>
          <w:tab w:val="left" w:pos="1134"/>
        </w:tabs>
        <w:adjustRightInd w:val="0"/>
        <w:spacing w:after="0" w:line="240" w:lineRule="auto"/>
        <w:ind w:left="567" w:right="-568"/>
        <w:contextualSpacing w:val="0"/>
        <w:jc w:val="both"/>
        <w:textAlignment w:val="baseline"/>
        <w:rPr>
          <w:rFonts w:ascii="Times New Roman" w:eastAsia="Times New Roman" w:hAnsi="Times New Roman" w:cs="Times New Roman"/>
          <w:shd w:val="clear" w:color="auto" w:fill="FFFFFF" w:themeFill="background1"/>
          <w:lang w:eastAsia="pt-BR"/>
        </w:rPr>
      </w:pPr>
      <w:r w:rsidRPr="00CB35E1">
        <w:rPr>
          <w:rFonts w:ascii="Times New Roman" w:eastAsia="Times New Roman" w:hAnsi="Times New Roman" w:cs="Times New Roman"/>
          <w:b/>
          <w:color w:val="000000" w:themeColor="text1"/>
          <w:lang w:eastAsia="pt-BR"/>
        </w:rPr>
        <w:t>II -</w:t>
      </w:r>
      <w:r w:rsidRPr="00CB35E1">
        <w:rPr>
          <w:rFonts w:ascii="Times New Roman" w:eastAsia="Times New Roman" w:hAnsi="Times New Roman" w:cs="Times New Roman"/>
          <w:color w:val="000000" w:themeColor="text1"/>
          <w:lang w:eastAsia="pt-BR"/>
        </w:rPr>
        <w:t xml:space="preserve"> Termo de Referência – TR nº 38/</w:t>
      </w:r>
      <w:r w:rsidRPr="00CB35E1">
        <w:rPr>
          <w:rFonts w:ascii="Times New Roman" w:eastAsia="Times New Roman" w:hAnsi="Times New Roman" w:cs="Times New Roman"/>
          <w:color w:val="000000" w:themeColor="text1"/>
          <w:shd w:val="clear" w:color="auto" w:fill="FFFFFF" w:themeFill="background1"/>
          <w:lang w:eastAsia="pt-BR"/>
        </w:rPr>
        <w:t>2024 (</w:t>
      </w:r>
      <w:r w:rsidRPr="00CB35E1">
        <w:rPr>
          <w:rFonts w:ascii="Times New Roman" w:eastAsia="Times New Roman" w:hAnsi="Times New Roman" w:cs="Times New Roman"/>
          <w:color w:val="000000" w:themeColor="text1"/>
          <w:shd w:val="clear" w:color="auto" w:fill="D9D9D9" w:themeFill="background1" w:themeFillShade="D9"/>
          <w:lang w:eastAsia="pt-BR"/>
        </w:rPr>
        <w:t>ANEXO</w:t>
      </w:r>
      <w:r w:rsidRPr="00F776CC">
        <w:rPr>
          <w:rFonts w:ascii="Times New Roman" w:eastAsia="Times New Roman" w:hAnsi="Times New Roman" w:cs="Times New Roman"/>
          <w:color w:val="000000" w:themeColor="text1"/>
          <w:shd w:val="clear" w:color="auto" w:fill="D9D9D9" w:themeFill="background1" w:themeFillShade="D9"/>
          <w:lang w:eastAsia="pt-BR"/>
        </w:rPr>
        <w:t xml:space="preserve"> II</w:t>
      </w:r>
      <w:r>
        <w:rPr>
          <w:rFonts w:ascii="Times New Roman" w:eastAsia="Times New Roman" w:hAnsi="Times New Roman" w:cs="Times New Roman"/>
          <w:color w:val="000000" w:themeColor="text1"/>
          <w:shd w:val="clear" w:color="auto" w:fill="FFFFFF" w:themeFill="background1"/>
          <w:lang w:eastAsia="pt-BR"/>
        </w:rPr>
        <w:t>)</w:t>
      </w:r>
      <w:r>
        <w:rPr>
          <w:rFonts w:ascii="Times New Roman" w:eastAsia="Times New Roman" w:hAnsi="Times New Roman" w:cs="Times New Roman"/>
          <w:shd w:val="clear" w:color="auto" w:fill="FFFFFF" w:themeFill="background1"/>
          <w:lang w:eastAsia="pt-BR"/>
        </w:rPr>
        <w:t>;</w:t>
      </w:r>
    </w:p>
    <w:p w14:paraId="695D5709" w14:textId="77777777" w:rsidR="00B307DB" w:rsidRPr="00B04CBF" w:rsidRDefault="00B307DB" w:rsidP="00B307DB">
      <w:pPr>
        <w:pStyle w:val="PargrafodaLista"/>
        <w:widowControl w:val="0"/>
        <w:shd w:val="clear" w:color="auto" w:fill="FFFFFF" w:themeFill="background1"/>
        <w:tabs>
          <w:tab w:val="left" w:pos="1134"/>
        </w:tabs>
        <w:adjustRightInd w:val="0"/>
        <w:spacing w:after="0" w:line="240" w:lineRule="auto"/>
        <w:ind w:left="567" w:right="-568"/>
        <w:contextualSpacing w:val="0"/>
        <w:jc w:val="both"/>
        <w:textAlignment w:val="baseline"/>
        <w:rPr>
          <w:rFonts w:ascii="Times New Roman" w:eastAsia="Times New Roman" w:hAnsi="Times New Roman" w:cs="Times New Roman"/>
          <w:lang w:eastAsia="pt-BR"/>
        </w:rPr>
      </w:pPr>
      <w:r w:rsidRPr="00B04CBF">
        <w:rPr>
          <w:rFonts w:ascii="Times New Roman" w:eastAsia="Times New Roman" w:hAnsi="Times New Roman" w:cs="Times New Roman"/>
          <w:b/>
          <w:color w:val="000000" w:themeColor="text1"/>
          <w:lang w:eastAsia="pt-BR"/>
        </w:rPr>
        <w:t xml:space="preserve">III </w:t>
      </w:r>
      <w:r w:rsidRPr="00B04CBF">
        <w:rPr>
          <w:rFonts w:ascii="Times New Roman" w:eastAsia="Times New Roman" w:hAnsi="Times New Roman" w:cs="Times New Roman"/>
          <w:color w:val="000000" w:themeColor="text1"/>
          <w:lang w:eastAsia="pt-BR"/>
        </w:rPr>
        <w:t>– Especificações Técnicas – (</w:t>
      </w:r>
      <w:r w:rsidRPr="00B04CBF">
        <w:rPr>
          <w:rFonts w:ascii="Times New Roman" w:eastAsia="Times New Roman" w:hAnsi="Times New Roman" w:cs="Times New Roman"/>
          <w:color w:val="000000" w:themeColor="text1"/>
          <w:shd w:val="clear" w:color="auto" w:fill="D9D9D9" w:themeFill="background1" w:themeFillShade="D9"/>
          <w:lang w:eastAsia="pt-BR"/>
        </w:rPr>
        <w:t>ANEXO III</w:t>
      </w:r>
      <w:r w:rsidRPr="00B04CBF">
        <w:rPr>
          <w:rFonts w:ascii="Times New Roman" w:eastAsia="Times New Roman" w:hAnsi="Times New Roman" w:cs="Times New Roman"/>
          <w:color w:val="000000" w:themeColor="text1"/>
          <w:lang w:eastAsia="pt-BR"/>
        </w:rPr>
        <w:t>).</w:t>
      </w:r>
    </w:p>
    <w:p w14:paraId="3CE0DB4C" w14:textId="77777777" w:rsidR="00B307DB" w:rsidRPr="00B04CBF"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Cs/>
          <w:lang w:eastAsia="pt-BR"/>
        </w:rPr>
      </w:pPr>
      <w:r w:rsidRPr="00B04CBF">
        <w:rPr>
          <w:rFonts w:ascii="Times New Roman" w:eastAsia="Times New Roman" w:hAnsi="Times New Roman" w:cs="Times New Roman"/>
          <w:b/>
          <w:lang w:eastAsia="pt-BR"/>
        </w:rPr>
        <w:t>2.3</w:t>
      </w:r>
      <w:r w:rsidRPr="00B04CBF">
        <w:rPr>
          <w:rFonts w:ascii="Times New Roman" w:eastAsia="Times New Roman" w:hAnsi="Times New Roman" w:cs="Times New Roman"/>
          <w:lang w:eastAsia="pt-BR"/>
        </w:rPr>
        <w:t xml:space="preserve"> Valor máximo do objeto: R$ </w:t>
      </w:r>
      <w:r w:rsidRPr="00B04CBF">
        <w:rPr>
          <w:rFonts w:ascii="Times New Roman" w:eastAsia="Times New Roman" w:hAnsi="Times New Roman" w:cs="Times New Roman"/>
          <w:bCs/>
          <w:lang w:eastAsia="pt-BR"/>
        </w:rPr>
        <w:t>574.711,60 (Quinhentos e sessenta e quatro mil setecentos e onze reais e sessenta centavos);</w:t>
      </w:r>
    </w:p>
    <w:p w14:paraId="1949C316" w14:textId="77777777" w:rsidR="00B307DB" w:rsidRPr="00B04CBF"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Cs/>
          <w:lang w:eastAsia="pt-BR"/>
        </w:rPr>
      </w:pPr>
      <w:r w:rsidRPr="00B04CBF">
        <w:rPr>
          <w:rFonts w:ascii="Times New Roman" w:eastAsia="Times New Roman" w:hAnsi="Times New Roman" w:cs="Times New Roman"/>
          <w:bCs/>
          <w:lang w:eastAsia="pt-BR"/>
        </w:rPr>
        <w:t xml:space="preserve">O custo estimado da contratação é de R$ 3.588,96 (três mil quinhentos e oitenta e oito reais e noventa e seis centavos) mensais para Câmara de Vereadores, R$ 7.429,18 (sete mil quatrocentos e vinte e nove reais e dezoito centavos) mensais para o Fundo Municipal de Saúde e R$ 28.024,75 (vinte e oito mil e vinte e quatro reais e setenta e cinco centavos) mensais para a Prefeitura Municipal, considerando se contratado todos os itens. Valor de Implantação, o montante de R$ 63.584,42 (sessenta e três mil quinhentos e oitenta e quatro reais e quarenta e dois centavos), tendo em vista que o valor da implantação será pago conforme a solicitação de implantação dos módulos. </w:t>
      </w:r>
    </w:p>
    <w:p w14:paraId="3DCDD99E" w14:textId="77777777" w:rsidR="00B307DB" w:rsidRPr="00D548CC"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Cs/>
          <w:lang w:eastAsia="pt-BR"/>
        </w:rPr>
      </w:pPr>
      <w:r w:rsidRPr="00B04CBF">
        <w:rPr>
          <w:rFonts w:ascii="Times New Roman" w:eastAsia="Times New Roman" w:hAnsi="Times New Roman" w:cs="Times New Roman"/>
          <w:bCs/>
          <w:lang w:eastAsia="pt-BR"/>
        </w:rPr>
        <w:t>Considerando que a implantação será paga apenas uma vez, conforme im</w:t>
      </w:r>
      <w:r>
        <w:rPr>
          <w:rFonts w:ascii="Times New Roman" w:eastAsia="Times New Roman" w:hAnsi="Times New Roman" w:cs="Times New Roman"/>
          <w:bCs/>
          <w:lang w:eastAsia="pt-BR"/>
        </w:rPr>
        <w:t xml:space="preserve">plantação dos módulos </w:t>
      </w:r>
      <w:r w:rsidRPr="00D548CC">
        <w:rPr>
          <w:rFonts w:ascii="Times New Roman" w:eastAsia="Times New Roman" w:hAnsi="Times New Roman" w:cs="Times New Roman"/>
          <w:bCs/>
          <w:lang w:eastAsia="pt-BR"/>
        </w:rPr>
        <w:t>(desde que a vencedora do certame não seja a empresa que possui contrato vigente).</w:t>
      </w:r>
    </w:p>
    <w:p w14:paraId="1D2245D6" w14:textId="77777777" w:rsidR="00B307DB" w:rsidRPr="00D548CC"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548CC">
        <w:rPr>
          <w:rFonts w:ascii="Times New Roman" w:eastAsia="Times New Roman" w:hAnsi="Times New Roman" w:cs="Times New Roman"/>
          <w:b/>
          <w:lang w:eastAsia="pt-BR"/>
        </w:rPr>
        <w:t>2.4</w:t>
      </w:r>
      <w:r w:rsidRPr="00D548CC">
        <w:rPr>
          <w:rFonts w:ascii="Times New Roman" w:eastAsia="Times New Roman" w:hAnsi="Times New Roman" w:cs="Times New Roman"/>
          <w:lang w:eastAsia="pt-BR"/>
        </w:rPr>
        <w:t xml:space="preserve"> Fica AUTORIZADA a subcontratação, limitada a 25% do objeto a ser licitado (Art. 67, § 9º, da lei complementar n° 14.133/2021).</w:t>
      </w:r>
    </w:p>
    <w:p w14:paraId="46DDE880"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D548CC">
        <w:rPr>
          <w:rFonts w:ascii="Times New Roman" w:eastAsia="Times New Roman" w:hAnsi="Times New Roman" w:cs="Times New Roman"/>
          <w:b/>
          <w:lang w:eastAsia="pt-BR"/>
        </w:rPr>
        <w:t xml:space="preserve">2.4.1 </w:t>
      </w:r>
      <w:r w:rsidRPr="00D548CC">
        <w:rPr>
          <w:rFonts w:ascii="Times New Roman" w:eastAsia="Times New Roman" w:hAnsi="Times New Roman" w:cs="Times New Roman"/>
          <w:lang w:eastAsia="pt-BR"/>
        </w:rPr>
        <w:t>A empresa que decidir por subcontratar</w:t>
      </w:r>
      <w:r w:rsidRPr="00D548CC">
        <w:rPr>
          <w:rStyle w:val="Refdenotaderodap"/>
          <w:rFonts w:ascii="Times New Roman" w:eastAsia="Times New Roman" w:hAnsi="Times New Roman" w:cs="Times New Roman"/>
          <w:lang w:eastAsia="pt-BR"/>
        </w:rPr>
        <w:footnoteReference w:id="1"/>
      </w:r>
      <w:r w:rsidRPr="00D548CC">
        <w:rPr>
          <w:rFonts w:ascii="Times New Roman" w:eastAsia="Times New Roman" w:hAnsi="Times New Roman" w:cs="Times New Roman"/>
          <w:lang w:eastAsia="pt-BR"/>
        </w:rPr>
        <w:t>, deverá apresentar os documentos de habilitação da empresa subcontratada, conforme Item de habilitação do Edital. Os documentos deverão ser entregues antes da assinatura do contrato.</w:t>
      </w:r>
    </w:p>
    <w:p w14:paraId="4A2D5476"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80E042A" w14:textId="77777777" w:rsidR="00B307DB" w:rsidRPr="00D84571" w:rsidRDefault="00B307DB" w:rsidP="00B307DB">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r w:rsidRPr="00F776CC">
        <w:rPr>
          <w:rFonts w:ascii="Times New Roman" w:eastAsia="Times New Roman" w:hAnsi="Times New Roman" w:cs="Times New Roman"/>
          <w:sz w:val="22"/>
          <w:szCs w:val="22"/>
          <w:shd w:val="clear" w:color="auto" w:fill="A6A6A6" w:themeFill="background1" w:themeFillShade="A6"/>
          <w:lang w:eastAsia="pt-BR"/>
        </w:rPr>
        <w:t>3 PREVISÃO DE RECURSOS ORÇAMENTÁRIOS</w:t>
      </w:r>
    </w:p>
    <w:p w14:paraId="5CC29C2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3.1 </w:t>
      </w:r>
      <w:r w:rsidRPr="00D84571">
        <w:rPr>
          <w:rFonts w:ascii="Times New Roman" w:eastAsia="Times New Roman" w:hAnsi="Times New Roman" w:cs="Times New Roman"/>
          <w:lang w:eastAsia="pt-BR"/>
        </w:rPr>
        <w:t>As despesas decorrentes deste processo licitatório correrão por conta do orçamento, conforme planilha abaixo:</w:t>
      </w:r>
    </w:p>
    <w:tbl>
      <w:tblPr>
        <w:tblW w:w="9067"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B307DB" w:rsidRPr="00A939A1" w14:paraId="3E2ED93D"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EE0074" w14:textId="77777777" w:rsidR="00B307DB" w:rsidRPr="00A939A1" w:rsidRDefault="00B307DB" w:rsidP="00B307DB">
            <w:pPr>
              <w:spacing w:after="0" w:line="240" w:lineRule="auto"/>
              <w:jc w:val="both"/>
              <w:rPr>
                <w:rFonts w:ascii="Times New Roman" w:eastAsia="Times New Roman" w:hAnsi="Times New Roman" w:cs="Times New Roman"/>
                <w:iCs/>
                <w:szCs w:val="20"/>
                <w:lang w:eastAsia="pt-BR"/>
              </w:rPr>
            </w:pPr>
            <w:r w:rsidRPr="00A939A1">
              <w:rPr>
                <w:rFonts w:ascii="Times New Roman" w:eastAsia="Times New Roman" w:hAnsi="Times New Roman" w:cs="Times New Roman"/>
                <w:b/>
                <w:iCs/>
                <w:szCs w:val="20"/>
                <w:lang w:eastAsia="pt-BR"/>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942C05" w14:textId="77777777" w:rsidR="00B307DB" w:rsidRPr="00A939A1" w:rsidRDefault="00B307DB" w:rsidP="00B307DB">
            <w:pPr>
              <w:spacing w:after="0" w:line="240" w:lineRule="auto"/>
              <w:jc w:val="both"/>
              <w:rPr>
                <w:rFonts w:ascii="Times New Roman" w:eastAsia="Times New Roman" w:hAnsi="Times New Roman" w:cs="Times New Roman"/>
                <w:iCs/>
                <w:szCs w:val="20"/>
                <w:lang w:eastAsia="pt-BR"/>
              </w:rPr>
            </w:pPr>
            <w:r w:rsidRPr="00A939A1">
              <w:rPr>
                <w:rFonts w:ascii="Times New Roman" w:eastAsia="Times New Roman" w:hAnsi="Times New Roman" w:cs="Times New Roman"/>
                <w:b/>
                <w:iCs/>
                <w:szCs w:val="20"/>
                <w:lang w:eastAsia="pt-BR"/>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699968" w14:textId="77777777" w:rsidR="00B307DB" w:rsidRPr="00A939A1" w:rsidRDefault="00B307DB" w:rsidP="00B307DB">
            <w:pPr>
              <w:spacing w:after="0" w:line="240" w:lineRule="auto"/>
              <w:ind w:left="79"/>
              <w:jc w:val="both"/>
              <w:rPr>
                <w:rFonts w:ascii="Times New Roman" w:eastAsia="Times New Roman" w:hAnsi="Times New Roman" w:cs="Times New Roman"/>
                <w:iCs/>
                <w:szCs w:val="20"/>
                <w:lang w:eastAsia="pt-BR"/>
              </w:rPr>
            </w:pPr>
            <w:r w:rsidRPr="00A939A1">
              <w:rPr>
                <w:rFonts w:ascii="Times New Roman" w:eastAsia="Times New Roman" w:hAnsi="Times New Roman" w:cs="Times New Roman"/>
                <w:b/>
                <w:iCs/>
                <w:szCs w:val="20"/>
                <w:lang w:eastAsia="pt-BR"/>
              </w:rPr>
              <w:t xml:space="preserve">CÓDIGO </w:t>
            </w:r>
          </w:p>
        </w:tc>
      </w:tr>
      <w:tr w:rsidR="00B307DB" w:rsidRPr="00A939A1" w14:paraId="1D2BF2DC"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0C451"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881206" w14:textId="77777777" w:rsidR="00B307DB" w:rsidRPr="00A939A1" w:rsidRDefault="00B307DB" w:rsidP="00B307D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28254F"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04</w:t>
            </w:r>
          </w:p>
        </w:tc>
      </w:tr>
      <w:tr w:rsidR="00B307DB" w:rsidRPr="00A939A1" w14:paraId="77AE1779"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0AD60"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81258" w14:textId="77777777" w:rsidR="00B307DB" w:rsidRPr="00A939A1" w:rsidRDefault="00B307DB" w:rsidP="00B307D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Dpto. De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4484F8"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01</w:t>
            </w:r>
          </w:p>
        </w:tc>
      </w:tr>
      <w:tr w:rsidR="00B307DB" w:rsidRPr="00A939A1" w14:paraId="064859EE"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C7870C"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94CE92" w14:textId="77777777" w:rsidR="00B307DB" w:rsidRPr="00A939A1" w:rsidRDefault="00B307DB" w:rsidP="00B307D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Administração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C59095"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04</w:t>
            </w:r>
          </w:p>
        </w:tc>
      </w:tr>
      <w:tr w:rsidR="00B307DB" w:rsidRPr="00A939A1" w14:paraId="72FD45C0"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AEC2F9"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7A972E" w14:textId="77777777" w:rsidR="00B307DB" w:rsidRPr="00A939A1" w:rsidRDefault="00B307DB" w:rsidP="00B307D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06BFE9"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122</w:t>
            </w:r>
          </w:p>
        </w:tc>
      </w:tr>
      <w:tr w:rsidR="00B307DB" w:rsidRPr="00A939A1" w14:paraId="7BC803BB"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69DD78"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623535" w14:textId="77777777" w:rsidR="00B307DB" w:rsidRPr="00A939A1" w:rsidRDefault="00B307DB" w:rsidP="00B307D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A032C1"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0003</w:t>
            </w:r>
          </w:p>
        </w:tc>
      </w:tr>
      <w:tr w:rsidR="00B307DB" w:rsidRPr="00A939A1" w14:paraId="400B3469"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44133F"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A32A89" w14:textId="77777777" w:rsidR="00B307DB" w:rsidRPr="00A939A1" w:rsidRDefault="00B307DB" w:rsidP="00B307D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A38AA7"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2.003</w:t>
            </w:r>
          </w:p>
        </w:tc>
      </w:tr>
      <w:tr w:rsidR="00B307DB" w:rsidRPr="00A939A1" w14:paraId="5A5044C9"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E670D9"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83DA00" w14:textId="77777777" w:rsidR="00B307DB" w:rsidRPr="00A939A1" w:rsidRDefault="00B307DB" w:rsidP="00B307D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4EE912" w14:textId="77777777" w:rsidR="00B307DB" w:rsidRPr="00A939A1" w:rsidRDefault="00B307DB" w:rsidP="00B307DB">
            <w:pPr>
              <w:spacing w:after="0" w:line="240" w:lineRule="auto"/>
              <w:jc w:val="right"/>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1500</w:t>
            </w:r>
          </w:p>
        </w:tc>
      </w:tr>
      <w:tr w:rsidR="00B307DB" w:rsidRPr="00A939A1" w14:paraId="40DC10B7"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46BA66A" w14:textId="77777777" w:rsidR="00B307DB" w:rsidRPr="00A939A1" w:rsidRDefault="00B307DB" w:rsidP="00B307D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b/>
                <w:szCs w:val="20"/>
                <w:lang w:eastAsia="pt-BR"/>
              </w:rPr>
              <w:t>II – CARACTERIZAÇÃO DO PROJETO/ATIVIDADE</w:t>
            </w:r>
          </w:p>
        </w:tc>
      </w:tr>
      <w:tr w:rsidR="00B307DB" w:rsidRPr="00A939A1" w14:paraId="49048A75"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57A1F03" w14:textId="77777777" w:rsidR="00B307DB" w:rsidRPr="00A939A1" w:rsidRDefault="00B307DB" w:rsidP="00B307DB">
            <w:pPr>
              <w:spacing w:after="0" w:line="240" w:lineRule="auto"/>
              <w:jc w:val="both"/>
              <w:rPr>
                <w:rFonts w:ascii="Times New Roman" w:eastAsia="Times New Roman" w:hAnsi="Times New Roman" w:cs="Times New Roman"/>
                <w:szCs w:val="20"/>
                <w:lang w:eastAsia="pt-BR"/>
              </w:rPr>
            </w:pPr>
            <w:r w:rsidRPr="00A939A1">
              <w:rPr>
                <w:rFonts w:ascii="Times New Roman" w:eastAsia="Times New Roman" w:hAnsi="Times New Roman" w:cs="Times New Roman"/>
                <w:szCs w:val="20"/>
                <w:lang w:eastAsia="pt-BR"/>
              </w:rPr>
              <w:t>3.3.90.40.01.00.00 – LOCAÇÃO DE EQUIPAMEMTOS E SOFTWARES</w:t>
            </w:r>
          </w:p>
        </w:tc>
      </w:tr>
    </w:tbl>
    <w:p w14:paraId="4E409893" w14:textId="77777777" w:rsidR="00B307DB" w:rsidRDefault="00B307DB" w:rsidP="00B307DB">
      <w:pPr>
        <w:pStyle w:val="Ttulo1"/>
        <w:spacing w:before="0" w:line="240" w:lineRule="auto"/>
        <w:ind w:right="-568"/>
        <w:rPr>
          <w:rFonts w:ascii="Times New Roman" w:eastAsia="Times New Roman" w:hAnsi="Times New Roman" w:cs="Times New Roman"/>
          <w:sz w:val="22"/>
          <w:szCs w:val="22"/>
          <w:lang w:eastAsia="pt-BR"/>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47"/>
        <w:gridCol w:w="5253"/>
        <w:gridCol w:w="1567"/>
      </w:tblGrid>
      <w:tr w:rsidR="00B307DB" w:rsidRPr="00AC5F53" w14:paraId="6CE2E82B"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tcPr>
          <w:p w14:paraId="1F2A12BA" w14:textId="77777777" w:rsidR="00B307DB" w:rsidRPr="00AC5F53" w:rsidRDefault="00B307DB" w:rsidP="00B307DB">
            <w:pPr>
              <w:ind w:right="104"/>
              <w:jc w:val="center"/>
              <w:rPr>
                <w:rFonts w:ascii="Times New Roman" w:hAnsi="Times New Roman"/>
              </w:rPr>
            </w:pPr>
            <w:r w:rsidRPr="00AC5F53">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tcPr>
          <w:p w14:paraId="2C1D1C73" w14:textId="77777777" w:rsidR="00B307DB" w:rsidRPr="00AC5F53" w:rsidRDefault="00B307DB" w:rsidP="00B307DB">
            <w:pPr>
              <w:ind w:right="-567"/>
              <w:jc w:val="center"/>
              <w:rPr>
                <w:rFonts w:ascii="Times New Roman" w:hAnsi="Times New Roman"/>
              </w:rPr>
            </w:pPr>
            <w:r w:rsidRPr="00AC5F53">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73D92810" w14:textId="77777777" w:rsidR="00B307DB" w:rsidRPr="00AC5F53" w:rsidRDefault="00B307DB" w:rsidP="00B307DB">
            <w:pPr>
              <w:ind w:left="79" w:right="-567"/>
              <w:rPr>
                <w:rFonts w:ascii="Times New Roman" w:hAnsi="Times New Roman"/>
              </w:rPr>
            </w:pPr>
            <w:r w:rsidRPr="00AC5F53">
              <w:rPr>
                <w:rFonts w:ascii="Times New Roman" w:hAnsi="Times New Roman"/>
                <w:b/>
                <w:i/>
              </w:rPr>
              <w:t xml:space="preserve">CÓDIGO </w:t>
            </w:r>
          </w:p>
        </w:tc>
      </w:tr>
      <w:tr w:rsidR="00B307DB" w:rsidRPr="00AC5F53" w14:paraId="626D5746"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tcPr>
          <w:p w14:paraId="57F1AB49" w14:textId="77777777" w:rsidR="00B307DB" w:rsidRPr="00AC5F53" w:rsidRDefault="00B307DB" w:rsidP="00B307DB">
            <w:pPr>
              <w:jc w:val="right"/>
              <w:rPr>
                <w:rFonts w:ascii="Times New Roman" w:hAnsi="Times New Roman"/>
              </w:rPr>
            </w:pPr>
            <w:r w:rsidRPr="00AC5F53">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tcPr>
          <w:p w14:paraId="6D44FE7C" w14:textId="77777777" w:rsidR="00B307DB" w:rsidRPr="00AC5F53" w:rsidRDefault="00B307DB" w:rsidP="00B307DB">
            <w:pPr>
              <w:ind w:right="-567"/>
              <w:rPr>
                <w:rFonts w:ascii="Times New Roman" w:hAnsi="Times New Roman"/>
              </w:rPr>
            </w:pPr>
            <w:r w:rsidRPr="00AC5F53">
              <w:rPr>
                <w:rFonts w:ascii="Times New Roman" w:hAnsi="Times New Roman"/>
              </w:rPr>
              <w:t>Câmara  Municipal de Vereadores</w:t>
            </w:r>
          </w:p>
        </w:tc>
        <w:tc>
          <w:tcPr>
            <w:tcW w:w="1567" w:type="dxa"/>
            <w:tcBorders>
              <w:top w:val="single" w:sz="4" w:space="0" w:color="000000"/>
              <w:left w:val="single" w:sz="4" w:space="0" w:color="000000"/>
              <w:bottom w:val="single" w:sz="4" w:space="0" w:color="000000"/>
              <w:right w:val="single" w:sz="4" w:space="0" w:color="000000"/>
            </w:tcBorders>
          </w:tcPr>
          <w:p w14:paraId="0AE3DBA1" w14:textId="77777777" w:rsidR="00B307DB" w:rsidRPr="00AC5F53" w:rsidRDefault="00B307DB" w:rsidP="00B307DB">
            <w:pPr>
              <w:jc w:val="right"/>
              <w:rPr>
                <w:rFonts w:ascii="Times New Roman" w:hAnsi="Times New Roman"/>
              </w:rPr>
            </w:pPr>
            <w:r w:rsidRPr="00AC5F53">
              <w:rPr>
                <w:rFonts w:ascii="Times New Roman" w:hAnsi="Times New Roman"/>
              </w:rPr>
              <w:t>01</w:t>
            </w:r>
          </w:p>
        </w:tc>
      </w:tr>
      <w:tr w:rsidR="00B307DB" w:rsidRPr="00AC5F53" w14:paraId="76D03DC9"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tcPr>
          <w:p w14:paraId="17BA0394" w14:textId="77777777" w:rsidR="00B307DB" w:rsidRPr="00AC5F53" w:rsidRDefault="00B307DB" w:rsidP="00B307DB">
            <w:pPr>
              <w:jc w:val="right"/>
              <w:rPr>
                <w:rFonts w:ascii="Times New Roman" w:hAnsi="Times New Roman"/>
              </w:rPr>
            </w:pPr>
            <w:r w:rsidRPr="00AC5F53">
              <w:rPr>
                <w:rFonts w:ascii="Times New Roman" w:hAnsi="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tcPr>
          <w:p w14:paraId="562814DD" w14:textId="77777777" w:rsidR="00B307DB" w:rsidRPr="00AC5F53" w:rsidRDefault="00B307DB" w:rsidP="00B307DB">
            <w:pPr>
              <w:ind w:right="-567"/>
              <w:rPr>
                <w:rFonts w:ascii="Times New Roman" w:hAnsi="Times New Roman"/>
              </w:rPr>
            </w:pPr>
            <w:r w:rsidRPr="00AC5F53">
              <w:rPr>
                <w:rFonts w:ascii="Times New Roman" w:hAnsi="Times New Roman"/>
              </w:rPr>
              <w:t>Câmara Municipal de Vereadores</w:t>
            </w:r>
          </w:p>
        </w:tc>
        <w:tc>
          <w:tcPr>
            <w:tcW w:w="1567" w:type="dxa"/>
            <w:tcBorders>
              <w:top w:val="single" w:sz="4" w:space="0" w:color="000000"/>
              <w:left w:val="single" w:sz="4" w:space="0" w:color="000000"/>
              <w:bottom w:val="single" w:sz="4" w:space="0" w:color="000000"/>
              <w:right w:val="single" w:sz="4" w:space="0" w:color="000000"/>
            </w:tcBorders>
          </w:tcPr>
          <w:p w14:paraId="5AB542CB" w14:textId="77777777" w:rsidR="00B307DB" w:rsidRPr="00AC5F53" w:rsidRDefault="00B307DB" w:rsidP="00B307DB">
            <w:pPr>
              <w:jc w:val="right"/>
              <w:rPr>
                <w:rFonts w:ascii="Times New Roman" w:hAnsi="Times New Roman"/>
              </w:rPr>
            </w:pPr>
            <w:r w:rsidRPr="00AC5F53">
              <w:rPr>
                <w:rFonts w:ascii="Times New Roman" w:hAnsi="Times New Roman"/>
              </w:rPr>
              <w:t>01</w:t>
            </w:r>
          </w:p>
        </w:tc>
      </w:tr>
      <w:tr w:rsidR="00B307DB" w:rsidRPr="00AC5F53" w14:paraId="75263515"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tcPr>
          <w:p w14:paraId="2DDF3245" w14:textId="77777777" w:rsidR="00B307DB" w:rsidRPr="00AC5F53" w:rsidRDefault="00B307DB" w:rsidP="00B307DB">
            <w:pPr>
              <w:jc w:val="right"/>
              <w:rPr>
                <w:rFonts w:ascii="Times New Roman" w:hAnsi="Times New Roman"/>
              </w:rPr>
            </w:pPr>
            <w:r w:rsidRPr="00AC5F53">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tcPr>
          <w:p w14:paraId="66984A6B" w14:textId="77777777" w:rsidR="00B307DB" w:rsidRPr="00AC5F53" w:rsidRDefault="00B307DB" w:rsidP="00B307DB">
            <w:pPr>
              <w:ind w:right="-567"/>
              <w:rPr>
                <w:rFonts w:ascii="Times New Roman" w:hAnsi="Times New Roman"/>
              </w:rPr>
            </w:pPr>
            <w:r w:rsidRPr="00AC5F53">
              <w:rPr>
                <w:rFonts w:ascii="Times New Roman" w:hAnsi="Times New Roman"/>
              </w:rPr>
              <w:t>Legislativa</w:t>
            </w:r>
          </w:p>
        </w:tc>
        <w:tc>
          <w:tcPr>
            <w:tcW w:w="1567" w:type="dxa"/>
            <w:tcBorders>
              <w:top w:val="single" w:sz="4" w:space="0" w:color="000000"/>
              <w:left w:val="single" w:sz="4" w:space="0" w:color="000000"/>
              <w:bottom w:val="single" w:sz="4" w:space="0" w:color="000000"/>
              <w:right w:val="single" w:sz="4" w:space="0" w:color="000000"/>
            </w:tcBorders>
          </w:tcPr>
          <w:p w14:paraId="7B6BE467" w14:textId="77777777" w:rsidR="00B307DB" w:rsidRPr="00AC5F53" w:rsidRDefault="00B307DB" w:rsidP="00B307DB">
            <w:pPr>
              <w:jc w:val="right"/>
              <w:rPr>
                <w:rFonts w:ascii="Times New Roman" w:hAnsi="Times New Roman"/>
              </w:rPr>
            </w:pPr>
            <w:r w:rsidRPr="00AC5F53">
              <w:rPr>
                <w:rFonts w:ascii="Times New Roman" w:hAnsi="Times New Roman"/>
              </w:rPr>
              <w:t>01</w:t>
            </w:r>
          </w:p>
        </w:tc>
      </w:tr>
      <w:tr w:rsidR="00B307DB" w:rsidRPr="00AC5F53" w14:paraId="40D60104"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tcPr>
          <w:p w14:paraId="55CF5599" w14:textId="77777777" w:rsidR="00B307DB" w:rsidRPr="00AC5F53" w:rsidRDefault="00B307DB" w:rsidP="00B307DB">
            <w:pPr>
              <w:jc w:val="right"/>
              <w:rPr>
                <w:rFonts w:ascii="Times New Roman" w:hAnsi="Times New Roman"/>
              </w:rPr>
            </w:pPr>
            <w:r w:rsidRPr="00AC5F53">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tcPr>
          <w:p w14:paraId="0E13A8E0" w14:textId="77777777" w:rsidR="00B307DB" w:rsidRPr="00AC5F53" w:rsidRDefault="00B307DB" w:rsidP="00B307DB">
            <w:pPr>
              <w:ind w:right="-567"/>
              <w:rPr>
                <w:rFonts w:ascii="Times New Roman" w:hAnsi="Times New Roman"/>
              </w:rPr>
            </w:pPr>
            <w:r w:rsidRPr="00AC5F53">
              <w:rPr>
                <w:rFonts w:ascii="Times New Roman" w:hAnsi="Times New Roman"/>
              </w:rPr>
              <w:t>Ação Legislativa</w:t>
            </w:r>
          </w:p>
        </w:tc>
        <w:tc>
          <w:tcPr>
            <w:tcW w:w="1567" w:type="dxa"/>
            <w:tcBorders>
              <w:top w:val="single" w:sz="4" w:space="0" w:color="000000"/>
              <w:left w:val="single" w:sz="4" w:space="0" w:color="000000"/>
              <w:bottom w:val="single" w:sz="4" w:space="0" w:color="000000"/>
              <w:right w:val="single" w:sz="4" w:space="0" w:color="000000"/>
            </w:tcBorders>
          </w:tcPr>
          <w:p w14:paraId="23424822" w14:textId="77777777" w:rsidR="00B307DB" w:rsidRPr="00AC5F53" w:rsidRDefault="00B307DB" w:rsidP="00B307DB">
            <w:pPr>
              <w:jc w:val="right"/>
              <w:rPr>
                <w:rFonts w:ascii="Times New Roman" w:hAnsi="Times New Roman"/>
              </w:rPr>
            </w:pPr>
            <w:r w:rsidRPr="00AC5F53">
              <w:rPr>
                <w:rFonts w:ascii="Times New Roman" w:hAnsi="Times New Roman"/>
              </w:rPr>
              <w:t>031</w:t>
            </w:r>
          </w:p>
        </w:tc>
      </w:tr>
      <w:tr w:rsidR="00B307DB" w:rsidRPr="00AC5F53" w14:paraId="77319B96"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tcPr>
          <w:p w14:paraId="6CF1C6EC" w14:textId="77777777" w:rsidR="00B307DB" w:rsidRPr="00AC5F53" w:rsidRDefault="00B307DB" w:rsidP="00B307DB">
            <w:pPr>
              <w:jc w:val="right"/>
              <w:rPr>
                <w:rFonts w:ascii="Times New Roman" w:hAnsi="Times New Roman"/>
              </w:rPr>
            </w:pPr>
            <w:r w:rsidRPr="00AC5F53">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tcPr>
          <w:p w14:paraId="12694F16" w14:textId="77777777" w:rsidR="00B307DB" w:rsidRPr="00AC5F53" w:rsidRDefault="00B307DB" w:rsidP="00B307DB">
            <w:pPr>
              <w:ind w:right="-567"/>
              <w:rPr>
                <w:rFonts w:ascii="Times New Roman" w:hAnsi="Times New Roman"/>
              </w:rPr>
            </w:pPr>
            <w:r w:rsidRPr="00AC5F53">
              <w:rPr>
                <w:rFonts w:ascii="Times New Roman" w:hAnsi="Times New Roman"/>
              </w:rPr>
              <w:t>PROCESSO LEGISLATIVO</w:t>
            </w:r>
          </w:p>
        </w:tc>
        <w:tc>
          <w:tcPr>
            <w:tcW w:w="1567" w:type="dxa"/>
            <w:tcBorders>
              <w:top w:val="single" w:sz="4" w:space="0" w:color="000000"/>
              <w:left w:val="single" w:sz="4" w:space="0" w:color="000000"/>
              <w:bottom w:val="single" w:sz="4" w:space="0" w:color="000000"/>
              <w:right w:val="single" w:sz="4" w:space="0" w:color="000000"/>
            </w:tcBorders>
          </w:tcPr>
          <w:p w14:paraId="6D0BC280" w14:textId="77777777" w:rsidR="00B307DB" w:rsidRPr="00AC5F53" w:rsidRDefault="00B307DB" w:rsidP="00B307DB">
            <w:pPr>
              <w:jc w:val="right"/>
              <w:rPr>
                <w:rFonts w:ascii="Times New Roman" w:hAnsi="Times New Roman"/>
              </w:rPr>
            </w:pPr>
            <w:r w:rsidRPr="00AC5F53">
              <w:rPr>
                <w:rFonts w:ascii="Times New Roman" w:hAnsi="Times New Roman"/>
              </w:rPr>
              <w:t>0001</w:t>
            </w:r>
          </w:p>
        </w:tc>
      </w:tr>
      <w:tr w:rsidR="00B307DB" w:rsidRPr="00AC5F53" w14:paraId="2192A5F8"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tcPr>
          <w:p w14:paraId="452AC9B2" w14:textId="77777777" w:rsidR="00B307DB" w:rsidRPr="00AC5F53" w:rsidRDefault="00B307DB" w:rsidP="00B307DB">
            <w:pPr>
              <w:jc w:val="right"/>
              <w:rPr>
                <w:rFonts w:ascii="Times New Roman" w:hAnsi="Times New Roman"/>
              </w:rPr>
            </w:pPr>
            <w:r w:rsidRPr="00AC5F53">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tcPr>
          <w:p w14:paraId="1588836A" w14:textId="77777777" w:rsidR="00B307DB" w:rsidRPr="00AC5F53" w:rsidRDefault="00B307DB" w:rsidP="00B307DB">
            <w:pPr>
              <w:ind w:right="-567"/>
              <w:rPr>
                <w:rFonts w:ascii="Times New Roman" w:hAnsi="Times New Roman"/>
              </w:rPr>
            </w:pPr>
            <w:r w:rsidRPr="00AC5F53">
              <w:rPr>
                <w:rFonts w:ascii="Times New Roman" w:hAnsi="Times New Roman"/>
              </w:rPr>
              <w:t>Manutenção das Atividades da Câmara de Vereadores</w:t>
            </w:r>
          </w:p>
        </w:tc>
        <w:tc>
          <w:tcPr>
            <w:tcW w:w="1567" w:type="dxa"/>
            <w:tcBorders>
              <w:top w:val="single" w:sz="4" w:space="0" w:color="000000"/>
              <w:left w:val="single" w:sz="4" w:space="0" w:color="000000"/>
              <w:bottom w:val="single" w:sz="4" w:space="0" w:color="000000"/>
              <w:right w:val="single" w:sz="4" w:space="0" w:color="000000"/>
            </w:tcBorders>
          </w:tcPr>
          <w:p w14:paraId="31263381" w14:textId="77777777" w:rsidR="00B307DB" w:rsidRPr="00AC5F53" w:rsidRDefault="00B307DB" w:rsidP="00B307DB">
            <w:pPr>
              <w:jc w:val="right"/>
              <w:rPr>
                <w:rFonts w:ascii="Times New Roman" w:hAnsi="Times New Roman"/>
              </w:rPr>
            </w:pPr>
            <w:r w:rsidRPr="00AC5F53">
              <w:rPr>
                <w:rFonts w:ascii="Times New Roman" w:hAnsi="Times New Roman"/>
              </w:rPr>
              <w:t>2.001</w:t>
            </w:r>
          </w:p>
        </w:tc>
      </w:tr>
      <w:tr w:rsidR="00B307DB" w:rsidRPr="00AC5F53" w14:paraId="10C5672A"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tcPr>
          <w:p w14:paraId="11F5E739" w14:textId="77777777" w:rsidR="00B307DB" w:rsidRPr="00AC5F53" w:rsidRDefault="00B307DB" w:rsidP="00B307DB">
            <w:pPr>
              <w:jc w:val="right"/>
              <w:rPr>
                <w:rFonts w:ascii="Times New Roman" w:hAnsi="Times New Roman"/>
              </w:rPr>
            </w:pPr>
            <w:r w:rsidRPr="00AC5F53">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tcPr>
          <w:p w14:paraId="21B43E2A" w14:textId="77777777" w:rsidR="00B307DB" w:rsidRPr="00AC5F53" w:rsidRDefault="00B307DB" w:rsidP="00B307DB">
            <w:pPr>
              <w:ind w:right="-567"/>
              <w:rPr>
                <w:rFonts w:ascii="Times New Roman" w:hAnsi="Times New Roman"/>
              </w:rPr>
            </w:pPr>
            <w:r w:rsidRPr="00AC5F53">
              <w:rPr>
                <w:rFonts w:ascii="Times New Roman" w:hAnsi="Times New Roman"/>
              </w:rPr>
              <w:t xml:space="preserve">APLICAÇÕES DIRETAS </w:t>
            </w:r>
          </w:p>
        </w:tc>
        <w:tc>
          <w:tcPr>
            <w:tcW w:w="1567" w:type="dxa"/>
            <w:tcBorders>
              <w:top w:val="single" w:sz="4" w:space="0" w:color="000000"/>
              <w:left w:val="single" w:sz="4" w:space="0" w:color="000000"/>
              <w:bottom w:val="single" w:sz="4" w:space="0" w:color="000000"/>
              <w:right w:val="single" w:sz="4" w:space="0" w:color="000000"/>
            </w:tcBorders>
          </w:tcPr>
          <w:p w14:paraId="1AC19D8A" w14:textId="77777777" w:rsidR="00B307DB" w:rsidRPr="00AC5F53" w:rsidRDefault="00B307DB" w:rsidP="00B307DB">
            <w:pPr>
              <w:jc w:val="right"/>
              <w:rPr>
                <w:rFonts w:ascii="Times New Roman" w:hAnsi="Times New Roman"/>
              </w:rPr>
            </w:pPr>
            <w:r w:rsidRPr="00AC5F53">
              <w:rPr>
                <w:rFonts w:ascii="Times New Roman" w:hAnsi="Times New Roman"/>
              </w:rPr>
              <w:t>102</w:t>
            </w:r>
          </w:p>
        </w:tc>
      </w:tr>
      <w:tr w:rsidR="00B307DB" w:rsidRPr="00AC5F53" w14:paraId="06476664"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0137A4C" w14:textId="77777777" w:rsidR="00B307DB" w:rsidRPr="00AC5F53" w:rsidRDefault="00B307DB" w:rsidP="00B307DB">
            <w:pPr>
              <w:ind w:right="-567"/>
              <w:rPr>
                <w:rFonts w:ascii="Times New Roman" w:hAnsi="Times New Roman"/>
              </w:rPr>
            </w:pPr>
            <w:r w:rsidRPr="00AC5F53">
              <w:rPr>
                <w:rFonts w:ascii="Times New Roman" w:hAnsi="Times New Roman"/>
                <w:b/>
              </w:rPr>
              <w:t>II – CARACTERIZAÇÃO DO PROJETO/ATIVIDADE</w:t>
            </w:r>
          </w:p>
        </w:tc>
      </w:tr>
      <w:tr w:rsidR="00B307DB" w:rsidRPr="00AC5F53" w14:paraId="4FFE76BD"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C2FC751" w14:textId="77777777" w:rsidR="00B307DB" w:rsidRPr="00AC5F53" w:rsidRDefault="00B307DB" w:rsidP="00B307DB">
            <w:pPr>
              <w:ind w:right="-567"/>
              <w:rPr>
                <w:rFonts w:ascii="Times New Roman" w:hAnsi="Times New Roman"/>
              </w:rPr>
            </w:pPr>
            <w:r w:rsidRPr="00AC5F53">
              <w:rPr>
                <w:rFonts w:ascii="Times New Roman" w:hAnsi="Times New Roman"/>
              </w:rPr>
              <w:t>3.3.90.40.02.00.00 – Desenvolvimento e Manutenção de Software</w:t>
            </w:r>
          </w:p>
        </w:tc>
      </w:tr>
    </w:tbl>
    <w:p w14:paraId="701E124A" w14:textId="77777777" w:rsidR="00B307DB" w:rsidRPr="00697070" w:rsidRDefault="00B307DB" w:rsidP="00B307DB">
      <w:pPr>
        <w:rPr>
          <w:lang w:eastAsia="pt-BR"/>
        </w:rPr>
      </w:pPr>
    </w:p>
    <w:p w14:paraId="4CB094B9"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eastAsia="Times New Roman" w:hAnsi="Times New Roman" w:cs="Times New Roman"/>
          <w:sz w:val="22"/>
          <w:szCs w:val="22"/>
          <w:lang w:eastAsia="pt-BR"/>
        </w:rPr>
      </w:pPr>
      <w:r w:rsidRPr="00D84571">
        <w:rPr>
          <w:rFonts w:ascii="Times New Roman" w:eastAsia="Times New Roman" w:hAnsi="Times New Roman" w:cs="Times New Roman"/>
          <w:sz w:val="22"/>
          <w:szCs w:val="22"/>
          <w:lang w:eastAsia="pt-BR"/>
        </w:rPr>
        <w:lastRenderedPageBreak/>
        <w:t>4 IMPUGNAÇÃO E PEDIDO DE ESCLARECIMENTO</w:t>
      </w:r>
    </w:p>
    <w:p w14:paraId="2D46502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4.1</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b/>
          <w:lang w:eastAsia="pt-BR"/>
        </w:rPr>
        <w:t>Qualquer pessoa</w:t>
      </w:r>
      <w:r w:rsidRPr="00D84571">
        <w:rPr>
          <w:rFonts w:ascii="Times New Roman" w:eastAsia="Times New Roman" w:hAnsi="Times New Roman" w:cs="Times New Roman"/>
          <w:lang w:eastAsia="pt-BR"/>
        </w:rPr>
        <w:t xml:space="preserve"> é parte legítima para </w:t>
      </w:r>
      <w:r w:rsidRPr="00D84571">
        <w:rPr>
          <w:rFonts w:ascii="Times New Roman" w:eastAsia="Times New Roman" w:hAnsi="Times New Roman" w:cs="Times New Roman"/>
          <w:b/>
          <w:lang w:eastAsia="pt-BR"/>
        </w:rPr>
        <w:t>impugnar</w:t>
      </w:r>
      <w:r w:rsidRPr="00D84571">
        <w:rPr>
          <w:rFonts w:ascii="Times New Roman" w:eastAsia="Times New Roman" w:hAnsi="Times New Roman" w:cs="Times New Roman"/>
          <w:lang w:eastAsia="pt-BR"/>
        </w:rPr>
        <w:t xml:space="preserve"> edital de licitação por irregularidade na aplicação da legislação vigente </w:t>
      </w:r>
      <w:r w:rsidRPr="00D84571">
        <w:rPr>
          <w:rFonts w:ascii="Times New Roman" w:eastAsia="Times New Roman" w:hAnsi="Times New Roman" w:cs="Times New Roman"/>
          <w:b/>
          <w:lang w:eastAsia="pt-BR"/>
        </w:rPr>
        <w:t>ou para solicitar esclarecimento</w:t>
      </w:r>
      <w:r w:rsidRPr="00D84571">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8" w:anchor="art164" w:history="1">
        <w:r w:rsidRPr="00D84571">
          <w:rPr>
            <w:rStyle w:val="Hyperlink"/>
            <w:rFonts w:ascii="Times New Roman" w:eastAsia="Times New Roman" w:hAnsi="Times New Roman" w:cs="Times New Roman"/>
            <w:lang w:eastAsia="pt-BR"/>
          </w:rPr>
          <w:t>art. 164</w:t>
        </w:r>
      </w:hyperlink>
      <w:r w:rsidRPr="00D84571">
        <w:rPr>
          <w:rStyle w:val="Hyperlink"/>
          <w:rFonts w:ascii="Times New Roman" w:eastAsia="Times New Roman" w:hAnsi="Times New Roman" w:cs="Times New Roman"/>
          <w:lang w:eastAsia="pt-BR"/>
        </w:rPr>
        <w:t xml:space="preserve"> da Lei nº 14.133/2021</w:t>
      </w:r>
      <w:r w:rsidRPr="00D84571">
        <w:rPr>
          <w:rFonts w:ascii="Times New Roman" w:eastAsia="Times New Roman" w:hAnsi="Times New Roman" w:cs="Times New Roman"/>
          <w:lang w:eastAsia="pt-BR"/>
        </w:rPr>
        <w:t>).</w:t>
      </w:r>
    </w:p>
    <w:p w14:paraId="7D7DC4ED"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4.2</w:t>
      </w:r>
      <w:r w:rsidRPr="00D84571">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9" w:anchor="art164" w:history="1">
        <w:r w:rsidRPr="00D84571">
          <w:rPr>
            <w:rStyle w:val="Hyperlink"/>
            <w:rFonts w:ascii="Times New Roman" w:eastAsia="Times New Roman" w:hAnsi="Times New Roman" w:cs="Times New Roman"/>
            <w:lang w:eastAsia="pt-BR"/>
          </w:rPr>
          <w:t>art. 164, p. ú.</w:t>
        </w:r>
      </w:hyperlink>
      <w:r w:rsidRPr="00D84571">
        <w:rPr>
          <w:rStyle w:val="Hyperlink"/>
          <w:rFonts w:ascii="Times New Roman" w:eastAsia="Times New Roman" w:hAnsi="Times New Roman" w:cs="Times New Roman"/>
          <w:lang w:eastAsia="pt-BR"/>
        </w:rPr>
        <w:t xml:space="preserve"> da Lei nº 14.133/2021</w:t>
      </w:r>
      <w:r w:rsidRPr="00D84571">
        <w:rPr>
          <w:rFonts w:ascii="Times New Roman" w:eastAsia="Times New Roman" w:hAnsi="Times New Roman" w:cs="Times New Roman"/>
          <w:lang w:eastAsia="pt-BR"/>
        </w:rPr>
        <w:t>).</w:t>
      </w:r>
    </w:p>
    <w:p w14:paraId="5CF8B35A"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4.3</w:t>
      </w:r>
      <w:r w:rsidRPr="00D84571">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20" w:anchor="art55%C2%A71" w:history="1">
        <w:r w:rsidRPr="00D84571">
          <w:rPr>
            <w:rStyle w:val="Hyperlink"/>
            <w:rFonts w:ascii="Times New Roman" w:eastAsia="Times New Roman" w:hAnsi="Times New Roman" w:cs="Times New Roman"/>
            <w:lang w:eastAsia="pt-BR"/>
          </w:rPr>
          <w:t>art. 55, § 1º</w:t>
        </w:r>
      </w:hyperlink>
      <w:r w:rsidRPr="00D84571">
        <w:rPr>
          <w:rStyle w:val="Hyperlink"/>
          <w:rFonts w:ascii="Times New Roman" w:eastAsia="Times New Roman" w:hAnsi="Times New Roman" w:cs="Times New Roman"/>
          <w:lang w:eastAsia="pt-BR"/>
        </w:rPr>
        <w:t xml:space="preserve"> da Lei nº 14.133/2021</w:t>
      </w:r>
      <w:r w:rsidRPr="00D84571">
        <w:rPr>
          <w:rFonts w:ascii="Times New Roman" w:eastAsia="Times New Roman" w:hAnsi="Times New Roman" w:cs="Times New Roman"/>
          <w:lang w:eastAsia="pt-BR"/>
        </w:rPr>
        <w:t>).</w:t>
      </w:r>
    </w:p>
    <w:p w14:paraId="4C057C41"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097CAD6C"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5 VEDAÇÕES PARA DISPUTAR O CERTAME E PARTICIPAR DA EXECUÇÃO DO CONTRATO</w:t>
      </w:r>
    </w:p>
    <w:p w14:paraId="0F15B99E" w14:textId="77777777" w:rsidR="00B307DB" w:rsidRPr="00D84571" w:rsidRDefault="00B307DB" w:rsidP="00B307DB">
      <w:pPr>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5.1</w:t>
      </w:r>
      <w:r w:rsidRPr="00D84571">
        <w:rPr>
          <w:rFonts w:ascii="Times New Roman" w:hAnsi="Times New Roman" w:cs="Times New Roman"/>
        </w:rPr>
        <w:t xml:space="preserve"> São vedações para disputar o certame e participar da execução do contrato, direta ou indiretamente, nos termos da </w:t>
      </w:r>
      <w:hyperlink r:id="rId21" w:history="1">
        <w:r w:rsidRPr="00D84571">
          <w:rPr>
            <w:rStyle w:val="Hyperlink"/>
            <w:rFonts w:ascii="Times New Roman" w:hAnsi="Times New Roman" w:cs="Times New Roman"/>
          </w:rPr>
          <w:t>Lei nº 14.133/2021</w:t>
        </w:r>
      </w:hyperlink>
      <w:r w:rsidRPr="00D84571">
        <w:rPr>
          <w:rFonts w:ascii="Times New Roman" w:hAnsi="Times New Roman" w:cs="Times New Roman"/>
        </w:rPr>
        <w:t>:</w:t>
      </w:r>
    </w:p>
    <w:p w14:paraId="4F7E8A69" w14:textId="77777777" w:rsidR="00B307DB" w:rsidRPr="00D84571" w:rsidRDefault="00B307DB" w:rsidP="00B307DB">
      <w:pPr>
        <w:pStyle w:val="PargrafodaLista"/>
        <w:widowControl w:val="0"/>
        <w:tabs>
          <w:tab w:val="left" w:pos="284"/>
          <w:tab w:val="left" w:pos="113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2" w:anchor="art9%C2%A71" w:history="1">
        <w:r w:rsidRPr="00D84571">
          <w:rPr>
            <w:rStyle w:val="Hyperlink"/>
            <w:rFonts w:ascii="Times New Roman" w:hAnsi="Times New Roman" w:cs="Times New Roman"/>
          </w:rPr>
          <w:t>art. 9º, § 1º</w:t>
        </w:r>
      </w:hyperlink>
      <w:r w:rsidRPr="00D84571">
        <w:rPr>
          <w:rFonts w:ascii="Times New Roman" w:hAnsi="Times New Roman" w:cs="Times New Roman"/>
        </w:rPr>
        <w:t>);</w:t>
      </w:r>
    </w:p>
    <w:p w14:paraId="4490B7D5" w14:textId="77777777" w:rsidR="00B307DB" w:rsidRPr="00D84571" w:rsidRDefault="00B307DB" w:rsidP="00B307DB">
      <w:pPr>
        <w:pStyle w:val="PargrafodaLista"/>
        <w:widowControl w:val="0"/>
        <w:tabs>
          <w:tab w:val="left" w:pos="284"/>
          <w:tab w:val="left" w:pos="113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3"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4"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7EE95079" w14:textId="77777777" w:rsidR="00B307DB" w:rsidRPr="00D84571" w:rsidRDefault="00B307DB" w:rsidP="00B307DB">
      <w:pPr>
        <w:pStyle w:val="PargrafodaLista"/>
        <w:widowControl w:val="0"/>
        <w:tabs>
          <w:tab w:val="left" w:pos="284"/>
          <w:tab w:val="left" w:pos="113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5"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6"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57C139F3" w14:textId="77777777" w:rsidR="00B307DB" w:rsidRPr="00D84571" w:rsidRDefault="00B307DB" w:rsidP="00B307DB">
      <w:pPr>
        <w:pStyle w:val="PargrafodaLista"/>
        <w:widowControl w:val="0"/>
        <w:tabs>
          <w:tab w:val="left" w:pos="284"/>
          <w:tab w:val="left" w:pos="113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7"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2AD91331" w14:textId="77777777" w:rsidR="00B307DB" w:rsidRPr="00D84571" w:rsidRDefault="00B307DB" w:rsidP="00B307DB">
      <w:pPr>
        <w:pStyle w:val="PargrafodaLista"/>
        <w:tabs>
          <w:tab w:val="left" w:pos="1701"/>
        </w:tabs>
        <w:spacing w:after="0" w:line="240" w:lineRule="auto"/>
        <w:ind w:left="1843"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8"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64C21890" w14:textId="77777777" w:rsidR="00B307DB" w:rsidRPr="00D84571" w:rsidRDefault="00B307DB" w:rsidP="00B307DB">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9"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05353D62" w14:textId="77777777" w:rsidR="00B307DB" w:rsidRPr="00D84571" w:rsidRDefault="00B307DB" w:rsidP="00B307DB">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Empresas controladoras, controladas ou coligadas, nos termos da </w:t>
      </w:r>
      <w:hyperlink r:id="rId30"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31"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66808FBF" w14:textId="77777777" w:rsidR="00B307DB" w:rsidRPr="00D84571" w:rsidRDefault="00B307DB" w:rsidP="00B307DB">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g)</w:t>
      </w:r>
      <w:r>
        <w:rPr>
          <w:rFonts w:ascii="Times New Roman" w:hAnsi="Times New Roman" w:cs="Times New Roman"/>
        </w:rPr>
        <w:t xml:space="preserve"> </w:t>
      </w: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2"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6D178699" w14:textId="77777777" w:rsidR="00B307DB" w:rsidRPr="00D84571" w:rsidRDefault="00B307DB" w:rsidP="00B307DB">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h)</w:t>
      </w:r>
      <w:r>
        <w:rPr>
          <w:rFonts w:ascii="Times New Roman" w:hAnsi="Times New Roman" w:cs="Times New Roman"/>
        </w:rPr>
        <w:t xml:space="preserve"> </w:t>
      </w:r>
      <w:r w:rsidRPr="00D8457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3"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3A939138" w14:textId="77777777" w:rsidR="00B307DB" w:rsidRPr="00D84571" w:rsidRDefault="00B307DB" w:rsidP="00B307DB">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i)</w:t>
      </w:r>
      <w:r>
        <w:rPr>
          <w:rFonts w:ascii="Times New Roman" w:hAnsi="Times New Roman" w:cs="Times New Roman"/>
        </w:rPr>
        <w:t xml:space="preserve"> </w:t>
      </w:r>
      <w:r w:rsidRPr="00D84571">
        <w:rPr>
          <w:rFonts w:ascii="Times New Roman" w:hAnsi="Times New Roman" w:cs="Times New Roman"/>
        </w:rPr>
        <w:t>É impedida a empresa consorciada participar, na mesma licitação, de mais de um consórcio ou de forma isolada (</w:t>
      </w:r>
      <w:hyperlink r:id="rId34"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4A36F213" w14:textId="77777777" w:rsidR="00B307DB" w:rsidRPr="00D84571" w:rsidRDefault="00B307DB" w:rsidP="00B307DB">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 xml:space="preserve">j) </w:t>
      </w:r>
      <w:r w:rsidRPr="00D84571">
        <w:rPr>
          <w:rFonts w:ascii="Times New Roman" w:hAnsi="Times New Roman" w:cs="Times New Roman"/>
        </w:rPr>
        <w:t xml:space="preserve">Durante a vigência do contrato, é vedado ao contratado contratar cônjuge, companheiro ou parente em linha reta, colateral ou por afinidade, até o terceiro grau, de dirigente do </w:t>
      </w:r>
      <w:r w:rsidRPr="00D84571">
        <w:rPr>
          <w:rFonts w:ascii="Times New Roman" w:hAnsi="Times New Roman" w:cs="Times New Roman"/>
        </w:rPr>
        <w:lastRenderedPageBreak/>
        <w:t>órgão ou entidade contratante ou de agente público que desempenhe função na licitação ou atue na fiscalização ou na gestão do contrato (</w:t>
      </w:r>
      <w:hyperlink r:id="rId35"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38F1AFD9" w14:textId="77777777" w:rsidR="00B307DB" w:rsidRDefault="00B307DB" w:rsidP="00B307DB">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873AC8">
        <w:rPr>
          <w:rFonts w:ascii="Times New Roman" w:hAnsi="Times New Roman" w:cs="Times New Roman"/>
          <w:b/>
        </w:rPr>
        <w:t>k)</w:t>
      </w:r>
      <w:r>
        <w:rPr>
          <w:rFonts w:ascii="Times New Roman" w:hAnsi="Times New Roman" w:cs="Times New Roman"/>
        </w:rPr>
        <w:t xml:space="preserve"> </w:t>
      </w:r>
      <w:r w:rsidRPr="00D84571">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6" w:anchor="art122%C2%A73" w:history="1">
        <w:r w:rsidRPr="00D84571">
          <w:rPr>
            <w:rStyle w:val="Hyperlink"/>
            <w:rFonts w:ascii="Times New Roman" w:hAnsi="Times New Roman" w:cs="Times New Roman"/>
          </w:rPr>
          <w:t>art. 122, § 3º</w:t>
        </w:r>
      </w:hyperlink>
      <w:r>
        <w:rPr>
          <w:rFonts w:ascii="Times New Roman" w:hAnsi="Times New Roman" w:cs="Times New Roman"/>
        </w:rPr>
        <w:t>);</w:t>
      </w:r>
    </w:p>
    <w:p w14:paraId="2AF3F5B8" w14:textId="77777777" w:rsidR="00B307DB" w:rsidRPr="00D84571" w:rsidRDefault="00B307DB" w:rsidP="00B307DB">
      <w:pPr>
        <w:pStyle w:val="PargrafodaLista"/>
        <w:widowControl w:val="0"/>
        <w:tabs>
          <w:tab w:val="left" w:pos="284"/>
        </w:tabs>
        <w:adjustRightInd w:val="0"/>
        <w:spacing w:after="0" w:line="240" w:lineRule="auto"/>
        <w:ind w:left="1134" w:right="-568"/>
        <w:contextualSpacing w:val="0"/>
        <w:jc w:val="both"/>
        <w:textAlignment w:val="baseline"/>
        <w:rPr>
          <w:rFonts w:ascii="Times New Roman" w:hAnsi="Times New Roman" w:cs="Times New Roman"/>
        </w:rPr>
      </w:pPr>
      <w:r w:rsidRPr="00D15D71">
        <w:rPr>
          <w:rFonts w:ascii="Times New Roman" w:hAnsi="Times New Roman" w:cs="Times New Roman"/>
          <w:b/>
        </w:rPr>
        <w:t xml:space="preserve">l) </w:t>
      </w:r>
      <w:r w:rsidRPr="00D15D71">
        <w:rPr>
          <w:rFonts w:ascii="Times New Roman" w:hAnsi="Times New Roman" w:cs="Times New Roman"/>
        </w:rPr>
        <w:t>As Organizações</w:t>
      </w:r>
      <w:r>
        <w:rPr>
          <w:rFonts w:ascii="Times New Roman" w:hAnsi="Times New Roman" w:cs="Times New Roman"/>
        </w:rPr>
        <w:t xml:space="preserve"> da Sociedade Civil de Interesse Público (OSCIPS), as instituições sem fins lucrativos e as organizações sociais não podem participar de procedimento licitatório em geral, uma vez que somente podem concorrer em procedimentos específicos, visando a celebração de termo de parceria ou contrato de gestão.</w:t>
      </w:r>
    </w:p>
    <w:p w14:paraId="6C265E2C" w14:textId="77777777" w:rsidR="00B307DB" w:rsidRPr="00D84571" w:rsidRDefault="00B307DB" w:rsidP="00B307DB">
      <w:pPr>
        <w:shd w:val="clear" w:color="auto" w:fill="FFFFFF" w:themeFill="background1"/>
        <w:tabs>
          <w:tab w:val="left" w:pos="1701"/>
        </w:tabs>
        <w:spacing w:after="0" w:line="240" w:lineRule="auto"/>
        <w:ind w:right="-568"/>
        <w:jc w:val="both"/>
        <w:rPr>
          <w:rFonts w:ascii="Times New Roman" w:hAnsi="Times New Roman" w:cs="Times New Roman"/>
        </w:rPr>
      </w:pPr>
      <w:r w:rsidRPr="00D84571">
        <w:rPr>
          <w:rFonts w:ascii="Times New Roman" w:hAnsi="Times New Roman" w:cs="Times New Roman"/>
          <w:b/>
        </w:rPr>
        <w:t>5.2</w:t>
      </w:r>
      <w:r w:rsidRPr="00D84571">
        <w:rPr>
          <w:rFonts w:ascii="Times New Roman" w:hAnsi="Times New Roman" w:cs="Times New Roman"/>
        </w:rPr>
        <w:t xml:space="preserve"> O licitante </w:t>
      </w:r>
      <w:r w:rsidRPr="00D84571">
        <w:rPr>
          <w:rFonts w:ascii="Times New Roman" w:hAnsi="Times New Roman" w:cs="Times New Roman"/>
          <w:b/>
        </w:rPr>
        <w:t>deverá</w:t>
      </w:r>
      <w:r w:rsidRPr="00D84571">
        <w:rPr>
          <w:rFonts w:ascii="Times New Roman" w:hAnsi="Times New Roman" w:cs="Times New Roman"/>
        </w:rPr>
        <w:t xml:space="preserve"> apresentar declaração que não incorre nos </w:t>
      </w:r>
      <w:r w:rsidRPr="00597AAA">
        <w:rPr>
          <w:rFonts w:ascii="Times New Roman" w:hAnsi="Times New Roman" w:cs="Times New Roman"/>
        </w:rPr>
        <w:t xml:space="preserve">impedimentos </w:t>
      </w:r>
      <w:r w:rsidRPr="00BA164D">
        <w:rPr>
          <w:rFonts w:ascii="Times New Roman" w:hAnsi="Times New Roman" w:cs="Times New Roman"/>
        </w:rPr>
        <w:t>(</w:t>
      </w:r>
      <w:r w:rsidRPr="00BA164D">
        <w:rPr>
          <w:rFonts w:ascii="Times New Roman" w:hAnsi="Times New Roman" w:cs="Times New Roman"/>
          <w:shd w:val="clear" w:color="auto" w:fill="D9D9D9" w:themeFill="background1" w:themeFillShade="D9"/>
        </w:rPr>
        <w:t>ANEXO IV</w:t>
      </w:r>
      <w:r w:rsidRPr="00BA164D">
        <w:rPr>
          <w:rFonts w:ascii="Times New Roman" w:hAnsi="Times New Roman" w:cs="Times New Roman"/>
        </w:rPr>
        <w:t>).</w:t>
      </w:r>
    </w:p>
    <w:p w14:paraId="16F79F05"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49C3EFC"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eastAsia="Times New Roman" w:hAnsi="Times New Roman" w:cs="Times New Roman"/>
          <w:sz w:val="22"/>
          <w:szCs w:val="22"/>
          <w:lang w:eastAsia="pt-BR"/>
        </w:rPr>
      </w:pPr>
      <w:r w:rsidRPr="00D84571">
        <w:rPr>
          <w:rFonts w:ascii="Times New Roman" w:eastAsia="Times New Roman" w:hAnsi="Times New Roman" w:cs="Times New Roman"/>
          <w:sz w:val="22"/>
          <w:szCs w:val="22"/>
          <w:lang w:eastAsia="pt-BR"/>
        </w:rPr>
        <w:t xml:space="preserve">6 CUMPRIMENTO DA </w:t>
      </w:r>
      <w:hyperlink r:id="rId37" w:history="1">
        <w:r w:rsidRPr="00D84571">
          <w:rPr>
            <w:rFonts w:ascii="Times New Roman" w:eastAsia="Times New Roman" w:hAnsi="Times New Roman" w:cs="Times New Roman"/>
            <w:color w:val="0563C1" w:themeColor="hyperlink"/>
            <w:sz w:val="22"/>
            <w:szCs w:val="22"/>
            <w:u w:val="single"/>
            <w:lang w:eastAsia="pt-BR"/>
          </w:rPr>
          <w:t>LEI GERAL DE PROTEÇÃO DE DADOS – LGPD (LEI Nº 13.709/2018)</w:t>
        </w:r>
      </w:hyperlink>
    </w:p>
    <w:p w14:paraId="69291DEA"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6.1</w:t>
      </w:r>
      <w:r w:rsidRPr="00D84571">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Pr="00D84571">
        <w:rPr>
          <w:rFonts w:ascii="Times New Roman" w:eastAsia="Times New Roman" w:hAnsi="Times New Roman" w:cs="Times New Roman"/>
          <w:iCs/>
          <w:lang w:eastAsia="pt-BR"/>
        </w:rPr>
        <w:t>zelará e responsabilizar-se-á pela proteção de dados e privacidade.</w:t>
      </w:r>
    </w:p>
    <w:p w14:paraId="696D8813"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6.2</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O </w:t>
      </w:r>
      <w:r w:rsidRPr="00D84571">
        <w:rPr>
          <w:rFonts w:ascii="Times New Roman" w:eastAsia="Times New Roman" w:hAnsi="Times New Roman" w:cs="Times New Roman"/>
          <w:lang w:eastAsia="pt-BR"/>
        </w:rPr>
        <w:t>LICITANTE</w:t>
      </w:r>
      <w:r w:rsidRPr="00D84571">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8"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iCs/>
          <w:lang w:eastAsia="pt-BR"/>
        </w:rPr>
        <w:t xml:space="preserve">, </w:t>
      </w:r>
      <w:r w:rsidRPr="00D84571">
        <w:rPr>
          <w:rFonts w:ascii="Times New Roman" w:eastAsia="Times New Roman" w:hAnsi="Times New Roman" w:cs="Times New Roman"/>
          <w:lang w:eastAsia="pt-BR"/>
        </w:rPr>
        <w:t>empenhando-se em proceder a todo tratamento de dados pessoais que venha a mostrar-se necessário,</w:t>
      </w:r>
      <w:r w:rsidRPr="00D84571">
        <w:rPr>
          <w:rFonts w:ascii="Times New Roman" w:eastAsia="Times New Roman" w:hAnsi="Times New Roman" w:cs="Times New Roman"/>
          <w:iCs/>
          <w:lang w:eastAsia="pt-BR"/>
        </w:rPr>
        <w:t xml:space="preserve"> em conformidade com este edital.</w:t>
      </w:r>
    </w:p>
    <w:p w14:paraId="2A0A3A96"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6.3</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9"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iCs/>
          <w:lang w:eastAsia="pt-BR"/>
        </w:rPr>
        <w:t>, e para propósitos legítimos, específicos, explícitos e informados ao titular.</w:t>
      </w:r>
    </w:p>
    <w:p w14:paraId="657665BB" w14:textId="77777777" w:rsidR="00B307DB" w:rsidRPr="00D84571" w:rsidRDefault="00B307DB" w:rsidP="00B307DB">
      <w:pPr>
        <w:widowControl w:val="0"/>
        <w:shd w:val="clear" w:color="auto" w:fill="FFFFFF" w:themeFill="background1"/>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6.4</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O LICITANTE declara que tem ciência da existência da </w:t>
      </w:r>
      <w:hyperlink r:id="rId40"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w:t>
      </w:r>
      <w:r w:rsidRPr="00597AAA">
        <w:rPr>
          <w:rFonts w:ascii="Times New Roman" w:eastAsia="Times New Roman" w:hAnsi="Times New Roman" w:cs="Times New Roman"/>
          <w:iCs/>
          <w:lang w:eastAsia="pt-BR"/>
        </w:rPr>
        <w:t>causar</w:t>
      </w:r>
      <w:r>
        <w:rPr>
          <w:rFonts w:ascii="Times New Roman" w:eastAsia="Times New Roman" w:hAnsi="Times New Roman" w:cs="Times New Roman"/>
          <w:iCs/>
          <w:lang w:eastAsia="pt-BR"/>
        </w:rPr>
        <w:t xml:space="preserve"> (</w:t>
      </w:r>
      <w:r w:rsidRPr="00282286">
        <w:rPr>
          <w:rFonts w:ascii="Times New Roman" w:eastAsia="Times New Roman" w:hAnsi="Times New Roman" w:cs="Times New Roman"/>
          <w:iCs/>
          <w:shd w:val="clear" w:color="auto" w:fill="D9D9D9" w:themeFill="background1" w:themeFillShade="D9"/>
          <w:lang w:eastAsia="pt-BR"/>
        </w:rPr>
        <w:t>ANEXO V</w:t>
      </w:r>
      <w:r w:rsidRPr="00282286">
        <w:rPr>
          <w:rFonts w:ascii="Times New Roman" w:eastAsia="Times New Roman" w:hAnsi="Times New Roman" w:cs="Times New Roman"/>
          <w:iCs/>
          <w:lang w:eastAsia="pt-BR"/>
        </w:rPr>
        <w:t>).</w:t>
      </w:r>
    </w:p>
    <w:p w14:paraId="0A299D97"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6.5</w:t>
      </w:r>
      <w:r w:rsidRPr="00D84571">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Pr="00D84571">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798F577C"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6.6 </w:t>
      </w:r>
      <w:r w:rsidRPr="00D84571">
        <w:rPr>
          <w:rFonts w:ascii="Times New Roman" w:eastAsia="Times New Roman" w:hAnsi="Times New Roman" w:cs="Times New Roman"/>
          <w:lang w:eastAsia="pt-BR"/>
        </w:rPr>
        <w:t xml:space="preserve">O LICITANTE fica obrigada a notificar o MUNICÍPIO, em até 24 (vinte e quatro) horas, </w:t>
      </w:r>
      <w:r w:rsidRPr="00D84571">
        <w:rPr>
          <w:rFonts w:ascii="Times New Roman" w:eastAsia="Times New Roman" w:hAnsi="Times New Roman" w:cs="Times New Roman"/>
          <w:iCs/>
          <w:lang w:eastAsia="pt-BR"/>
        </w:rPr>
        <w:t>a respeito de</w:t>
      </w:r>
      <w:r w:rsidRPr="00D84571">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Pr="00D84571">
        <w:rPr>
          <w:rFonts w:ascii="Times New Roman" w:eastAsia="Times New Roman" w:hAnsi="Times New Roman" w:cs="Times New Roman"/>
          <w:iCs/>
          <w:lang w:eastAsia="pt-BR"/>
        </w:rPr>
        <w:t xml:space="preserve">ualquer não cumprimento (ainda que suspeito) das disposições legais relativas à proteção de dados pessoais </w:t>
      </w:r>
      <w:r w:rsidRPr="00D84571">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1"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lang w:eastAsia="pt-BR"/>
        </w:rPr>
        <w:t xml:space="preserve">. </w:t>
      </w:r>
    </w:p>
    <w:p w14:paraId="0B1C21A4"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6.7</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51435224"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6.8</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D84571">
        <w:rPr>
          <w:rFonts w:ascii="Times New Roman" w:eastAsia="Times New Roman" w:hAnsi="Times New Roman" w:cs="Times New Roman"/>
          <w:b/>
          <w:bCs/>
          <w:iCs/>
          <w:lang w:eastAsia="pt-BR"/>
        </w:rPr>
        <w:t xml:space="preserve"> </w:t>
      </w:r>
      <w:r w:rsidRPr="00D84571">
        <w:rPr>
          <w:rFonts w:ascii="Times New Roman" w:eastAsia="Times New Roman" w:hAnsi="Times New Roman" w:cs="Times New Roman"/>
          <w:iCs/>
          <w:lang w:eastAsia="pt-BR"/>
        </w:rPr>
        <w:t>de qualquer das cláusulas previstas neste edital quanto a proteção e uso dos dados pessoais.</w:t>
      </w:r>
    </w:p>
    <w:p w14:paraId="1EB30672"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D84571">
        <w:rPr>
          <w:rFonts w:ascii="Times New Roman" w:eastAsia="Times New Roman" w:hAnsi="Times New Roman" w:cs="Times New Roman"/>
          <w:b/>
          <w:lang w:eastAsia="pt-BR"/>
        </w:rPr>
        <w:t>6.9</w:t>
      </w:r>
      <w:r w:rsidRPr="00D84571">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2" w:history="1">
        <w:r w:rsidRPr="00D84571">
          <w:rPr>
            <w:rStyle w:val="Hyperlink"/>
            <w:rFonts w:ascii="Times New Roman" w:eastAsia="Times New Roman" w:hAnsi="Times New Roman" w:cs="Times New Roman"/>
            <w:iCs/>
            <w:lang w:eastAsia="pt-BR"/>
          </w:rPr>
          <w:t>Lei nº 13.709/2018 (LGPD)</w:t>
        </w:r>
      </w:hyperlink>
      <w:r w:rsidRPr="00D84571">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550B154F"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6.10</w:t>
      </w:r>
      <w:r w:rsidRPr="00D84571">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53D65FF"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6.11</w:t>
      </w:r>
      <w:r w:rsidRPr="00D84571">
        <w:rPr>
          <w:rFonts w:ascii="Times New Roman" w:eastAsia="Times New Roman" w:hAnsi="Times New Roman" w:cs="Times New Roman"/>
          <w:lang w:eastAsia="pt-BR"/>
        </w:rPr>
        <w:t xml:space="preserve"> Por ocasião da assinatura do contrato, o(s) LICITANTE(S) vencedor(es) do certame, deverão seguir </w:t>
      </w:r>
      <w:r w:rsidRPr="00D84571">
        <w:rPr>
          <w:rFonts w:ascii="Times New Roman" w:eastAsia="Times New Roman" w:hAnsi="Times New Roman" w:cs="Times New Roman"/>
          <w:lang w:eastAsia="pt-BR"/>
        </w:rPr>
        <w:lastRenderedPageBreak/>
        <w:t>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3F7EA980"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b/>
          <w:lang w:eastAsia="pt-BR"/>
        </w:rPr>
        <w:t xml:space="preserve">6.12 </w:t>
      </w:r>
      <w:r w:rsidRPr="00D84571">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79396060"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lang w:eastAsia="pt-BR"/>
        </w:rPr>
        <w:t>6.13</w:t>
      </w:r>
      <w:r w:rsidRPr="00D84571">
        <w:rPr>
          <w:rFonts w:ascii="Times New Roman" w:eastAsia="Times New Roman" w:hAnsi="Times New Roman" w:cs="Times New Roman"/>
          <w:lang w:eastAsia="pt-BR"/>
        </w:rPr>
        <w:t xml:space="preserve"> </w:t>
      </w:r>
      <w:r w:rsidRPr="00D84571">
        <w:rPr>
          <w:rFonts w:ascii="Times New Roman" w:eastAsia="Times New Roman" w:hAnsi="Times New Roman" w:cs="Times New Roman"/>
          <w:iCs/>
          <w:lang w:eastAsia="pt-BR"/>
        </w:rPr>
        <w:t xml:space="preserve">A LICITANTE para ter conhecimento da política de privacidade do MUNICÍPIO, deverá acessar o </w:t>
      </w:r>
      <w:r w:rsidRPr="00D84571">
        <w:rPr>
          <w:rFonts w:ascii="Times New Roman" w:eastAsia="Times New Roman" w:hAnsi="Times New Roman" w:cs="Times New Roman"/>
          <w:i/>
          <w:iCs/>
          <w:lang w:eastAsia="pt-BR"/>
        </w:rPr>
        <w:t>link https://riqueza.sc.gov.br/lgpd/</w:t>
      </w:r>
      <w:r w:rsidRPr="00D84571">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3" w:history="1">
        <w:r w:rsidRPr="00D84571">
          <w:rPr>
            <w:rStyle w:val="Hyperlink"/>
            <w:rFonts w:ascii="Times New Roman" w:hAnsi="Times New Roman" w:cs="Times New Roman"/>
            <w:color w:val="0070C0"/>
          </w:rPr>
          <w:t>controle@riqueza.sc.gov.br</w:t>
        </w:r>
      </w:hyperlink>
      <w:r w:rsidRPr="00D84571">
        <w:rPr>
          <w:rFonts w:ascii="Times New Roman" w:eastAsia="Times New Roman" w:hAnsi="Times New Roman" w:cs="Times New Roman"/>
          <w:iCs/>
          <w:color w:val="0070C0"/>
          <w:lang w:eastAsia="pt-BR"/>
        </w:rPr>
        <w:t>.</w:t>
      </w:r>
    </w:p>
    <w:p w14:paraId="29332AA7"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p>
    <w:p w14:paraId="2AF8122D"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iCs/>
          <w:sz w:val="22"/>
          <w:szCs w:val="22"/>
        </w:rPr>
        <w:t xml:space="preserve">7 APLICAÇÃO DA </w:t>
      </w:r>
      <w:hyperlink r:id="rId44" w:history="1">
        <w:r w:rsidRPr="00D84571">
          <w:rPr>
            <w:rStyle w:val="Hyperlink"/>
            <w:rFonts w:ascii="Times New Roman" w:hAnsi="Times New Roman" w:cs="Times New Roman"/>
            <w:iCs/>
            <w:sz w:val="22"/>
            <w:szCs w:val="22"/>
          </w:rPr>
          <w:t>LEI COMPLEMENTAR Nº 123/2006</w:t>
        </w:r>
      </w:hyperlink>
    </w:p>
    <w:p w14:paraId="09DE0318"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7.1</w:t>
      </w:r>
      <w:r w:rsidRPr="00D84571">
        <w:rPr>
          <w:rFonts w:ascii="Times New Roman" w:hAnsi="Times New Roman" w:cs="Times New Roman"/>
          <w:iCs/>
        </w:rPr>
        <w:t xml:space="preserve"> Conforme </w:t>
      </w:r>
      <w:hyperlink r:id="rId45" w:anchor="art4" w:history="1">
        <w:r w:rsidRPr="00D84571">
          <w:rPr>
            <w:rStyle w:val="Hyperlink"/>
            <w:rFonts w:ascii="Times New Roman" w:hAnsi="Times New Roman" w:cs="Times New Roman"/>
            <w:iCs/>
          </w:rPr>
          <w:t>art. 4º da Lei nº 14.133/2021</w:t>
        </w:r>
      </w:hyperlink>
      <w:r w:rsidRPr="00D84571">
        <w:rPr>
          <w:rFonts w:ascii="Times New Roman" w:hAnsi="Times New Roman" w:cs="Times New Roman"/>
          <w:iCs/>
        </w:rPr>
        <w:t xml:space="preserve">, aplicam-se as disposições constantes dos </w:t>
      </w:r>
      <w:hyperlink r:id="rId46" w:anchor="art42" w:history="1">
        <w:r w:rsidRPr="00D84571">
          <w:rPr>
            <w:rStyle w:val="Hyperlink"/>
            <w:rFonts w:ascii="Times New Roman" w:hAnsi="Times New Roman" w:cs="Times New Roman"/>
            <w:iCs/>
          </w:rPr>
          <w:t>arts. 42 a 49 da Lei Complementar nº 123/2006</w:t>
        </w:r>
      </w:hyperlink>
      <w:r w:rsidRPr="00D84571">
        <w:rPr>
          <w:rFonts w:ascii="Times New Roman" w:hAnsi="Times New Roman" w:cs="Times New Roman"/>
          <w:iCs/>
        </w:rPr>
        <w:t>, exceto (</w:t>
      </w:r>
      <w:hyperlink r:id="rId47" w:anchor="art4%C2%A71" w:history="1">
        <w:r w:rsidRPr="00D84571">
          <w:rPr>
            <w:rStyle w:val="Hyperlink"/>
            <w:rFonts w:ascii="Times New Roman" w:hAnsi="Times New Roman" w:cs="Times New Roman"/>
            <w:iCs/>
          </w:rPr>
          <w:t>art. 4º, § 1º da Lei nº 14.133/2021</w:t>
        </w:r>
      </w:hyperlink>
      <w:r w:rsidRPr="00D84571">
        <w:rPr>
          <w:rFonts w:ascii="Times New Roman" w:hAnsi="Times New Roman" w:cs="Times New Roman"/>
          <w:iCs/>
        </w:rPr>
        <w:t>):</w:t>
      </w:r>
    </w:p>
    <w:p w14:paraId="252972C8"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 xml:space="preserve">No caso de licitação para </w:t>
      </w:r>
      <w:r w:rsidRPr="00D84571">
        <w:rPr>
          <w:rFonts w:ascii="Times New Roman" w:hAnsi="Times New Roman" w:cs="Times New Roman"/>
          <w:iCs/>
          <w:u w:val="single"/>
        </w:rPr>
        <w:t>aquisição de bens ou contratação de serviços em geral</w:t>
      </w:r>
      <w:r w:rsidRPr="00D84571">
        <w:rPr>
          <w:rFonts w:ascii="Times New Roman" w:hAnsi="Times New Roman" w:cs="Times New Roman"/>
          <w:iCs/>
        </w:rPr>
        <w:t xml:space="preserve">, ao </w:t>
      </w:r>
      <w:r w:rsidRPr="00D84571">
        <w:rPr>
          <w:rFonts w:ascii="Times New Roman" w:hAnsi="Times New Roman" w:cs="Times New Roman"/>
          <w:iCs/>
          <w:u w:val="single"/>
        </w:rPr>
        <w:t>item</w:t>
      </w:r>
      <w:r w:rsidRPr="00D84571">
        <w:rPr>
          <w:rFonts w:ascii="Times New Roman" w:hAnsi="Times New Roman" w:cs="Times New Roman"/>
          <w:iCs/>
        </w:rPr>
        <w:t xml:space="preserve"> cujo valor estimado for superior à receita bruta máxima admitida para fins de enquadramento como empresa de pequeno porte;</w:t>
      </w:r>
    </w:p>
    <w:p w14:paraId="42252BF0"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 xml:space="preserve">No caso de </w:t>
      </w:r>
      <w:r w:rsidRPr="00D84571">
        <w:rPr>
          <w:rFonts w:ascii="Times New Roman" w:hAnsi="Times New Roman" w:cs="Times New Roman"/>
          <w:iCs/>
          <w:u w:val="single"/>
        </w:rPr>
        <w:t>contratação de obras e serviços de engenharia</w:t>
      </w:r>
      <w:r w:rsidRPr="00D84571">
        <w:rPr>
          <w:rFonts w:ascii="Times New Roman" w:hAnsi="Times New Roman" w:cs="Times New Roman"/>
          <w:iCs/>
        </w:rPr>
        <w:t>, às licitações cujo valor estimado for superior à receita bruta máxima admitida para fins de enquadramento como empresa de pequeno porte.</w:t>
      </w:r>
    </w:p>
    <w:p w14:paraId="27136264"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7.2</w:t>
      </w:r>
      <w:r w:rsidRPr="00D84571">
        <w:rPr>
          <w:rFonts w:ascii="Times New Roman" w:hAnsi="Times New Roman" w:cs="Times New Roman"/>
          <w:iCs/>
        </w:rPr>
        <w:t xml:space="preserve"> Para os efeitos da </w:t>
      </w:r>
      <w:hyperlink r:id="rId48" w:history="1">
        <w:r w:rsidRPr="00D84571">
          <w:rPr>
            <w:rStyle w:val="Hyperlink"/>
            <w:rFonts w:ascii="Times New Roman" w:hAnsi="Times New Roman" w:cs="Times New Roman"/>
            <w:iCs/>
          </w:rPr>
          <w:t>Lei Complementar nº 123/2006</w:t>
        </w:r>
      </w:hyperlink>
      <w:r w:rsidRPr="00D84571">
        <w:rPr>
          <w:rFonts w:ascii="Times New Roman" w:hAnsi="Times New Roman" w:cs="Times New Roman"/>
          <w:iCs/>
        </w:rPr>
        <w:t xml:space="preserve">, consideram-se </w:t>
      </w:r>
      <w:r w:rsidRPr="00D84571">
        <w:rPr>
          <w:rFonts w:ascii="Times New Roman" w:hAnsi="Times New Roman" w:cs="Times New Roman"/>
          <w:iCs/>
          <w:u w:val="single"/>
        </w:rPr>
        <w:t>microempresas ou empresas de pequeno porte</w:t>
      </w:r>
      <w:r w:rsidRPr="00D84571">
        <w:rPr>
          <w:rFonts w:ascii="Times New Roman" w:hAnsi="Times New Roman" w:cs="Times New Roman"/>
          <w:iCs/>
        </w:rPr>
        <w:t xml:space="preserve"> (</w:t>
      </w:r>
      <w:hyperlink r:id="rId49" w:anchor="art3" w:history="1">
        <w:r w:rsidRPr="00D84571">
          <w:rPr>
            <w:rStyle w:val="Hyperlink"/>
            <w:rFonts w:ascii="Times New Roman" w:hAnsi="Times New Roman" w:cs="Times New Roman"/>
            <w:iCs/>
          </w:rPr>
          <w:t>art. 3º</w:t>
        </w:r>
      </w:hyperlink>
      <w:r w:rsidRPr="00D84571">
        <w:rPr>
          <w:rFonts w:ascii="Times New Roman" w:hAnsi="Times New Roman" w:cs="Times New Roman"/>
          <w:iCs/>
        </w:rPr>
        <w:t>):</w:t>
      </w:r>
    </w:p>
    <w:p w14:paraId="2DB265C1" w14:textId="77777777" w:rsidR="00B307DB" w:rsidRPr="00D84571" w:rsidRDefault="00B307DB" w:rsidP="00B307DB">
      <w:pPr>
        <w:pStyle w:val="PargrafodaLista"/>
        <w:widowControl w:val="0"/>
        <w:tabs>
          <w:tab w:val="left" w:pos="284"/>
          <w:tab w:val="left" w:pos="851"/>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Sociedade empresária;</w:t>
      </w:r>
    </w:p>
    <w:p w14:paraId="2FF66545" w14:textId="77777777" w:rsidR="00B307DB" w:rsidRPr="00D01E32" w:rsidRDefault="00B307DB" w:rsidP="00B307DB">
      <w:pPr>
        <w:widowControl w:val="0"/>
        <w:tabs>
          <w:tab w:val="left" w:pos="284"/>
          <w:tab w:val="left" w:pos="426"/>
          <w:tab w:val="left" w:pos="851"/>
          <w:tab w:val="left" w:pos="993"/>
        </w:tabs>
        <w:adjustRightInd w:val="0"/>
        <w:spacing w:after="0" w:line="240" w:lineRule="auto"/>
        <w:ind w:left="567" w:right="-568"/>
        <w:jc w:val="both"/>
        <w:textAlignment w:val="baseline"/>
        <w:rPr>
          <w:rFonts w:ascii="Times New Roman" w:hAnsi="Times New Roman" w:cs="Times New Roman"/>
          <w:iCs/>
        </w:rPr>
      </w:pPr>
      <w:r w:rsidRPr="00D01E32">
        <w:rPr>
          <w:rFonts w:ascii="Times New Roman" w:hAnsi="Times New Roman" w:cs="Times New Roman"/>
          <w:b/>
          <w:iCs/>
        </w:rPr>
        <w:t>II -</w:t>
      </w:r>
      <w:r>
        <w:rPr>
          <w:rFonts w:ascii="Times New Roman" w:hAnsi="Times New Roman" w:cs="Times New Roman"/>
          <w:iCs/>
        </w:rPr>
        <w:t xml:space="preserve"> </w:t>
      </w:r>
      <w:r w:rsidRPr="00D01E32">
        <w:rPr>
          <w:rFonts w:ascii="Times New Roman" w:hAnsi="Times New Roman" w:cs="Times New Roman"/>
          <w:iCs/>
        </w:rPr>
        <w:t>Sociedade simples;</w:t>
      </w:r>
    </w:p>
    <w:p w14:paraId="1A97DED6" w14:textId="77777777" w:rsidR="00B307DB" w:rsidRPr="00D84571" w:rsidRDefault="00B307DB" w:rsidP="00B307DB">
      <w:pPr>
        <w:pStyle w:val="PargrafodaLista"/>
        <w:widowControl w:val="0"/>
        <w:tabs>
          <w:tab w:val="left" w:pos="284"/>
          <w:tab w:val="left" w:pos="426"/>
          <w:tab w:val="left" w:pos="851"/>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Empresa individual de responsabilidade limitada – EIRELI;</w:t>
      </w:r>
    </w:p>
    <w:p w14:paraId="4F4C7841" w14:textId="77777777" w:rsidR="00B307DB" w:rsidRPr="00D84571" w:rsidRDefault="00B307DB" w:rsidP="00B307DB">
      <w:pPr>
        <w:pStyle w:val="PargrafodaLista"/>
        <w:widowControl w:val="0"/>
        <w:tabs>
          <w:tab w:val="left" w:pos="284"/>
          <w:tab w:val="left" w:pos="426"/>
          <w:tab w:val="left" w:pos="709"/>
          <w:tab w:val="left" w:pos="851"/>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D01E32">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Empresário a que se refere o </w:t>
      </w:r>
      <w:hyperlink r:id="rId50" w:anchor="art966" w:history="1">
        <w:r w:rsidRPr="00D84571">
          <w:rPr>
            <w:rStyle w:val="Hyperlink"/>
            <w:rFonts w:ascii="Times New Roman" w:hAnsi="Times New Roman" w:cs="Times New Roman"/>
            <w:iCs/>
          </w:rPr>
          <w:t>art. 966 do Código Civil</w:t>
        </w:r>
      </w:hyperlink>
      <w:r w:rsidRPr="00D84571">
        <w:rPr>
          <w:rFonts w:ascii="Times New Roman" w:hAnsi="Times New Roman" w:cs="Times New Roman"/>
          <w:iCs/>
        </w:rPr>
        <w:t>:</w:t>
      </w:r>
    </w:p>
    <w:p w14:paraId="43AE3E83" w14:textId="77777777" w:rsidR="00B307DB" w:rsidRPr="00D84571" w:rsidRDefault="00B307DB" w:rsidP="00B307DB">
      <w:pPr>
        <w:pStyle w:val="PargrafodaLista"/>
        <w:widowControl w:val="0"/>
        <w:tabs>
          <w:tab w:val="left" w:pos="567"/>
        </w:tabs>
        <w:adjustRightInd w:val="0"/>
        <w:spacing w:after="0" w:line="240" w:lineRule="auto"/>
        <w:ind w:left="1134" w:right="-568"/>
        <w:contextualSpacing w:val="0"/>
        <w:jc w:val="both"/>
        <w:textAlignment w:val="baseline"/>
        <w:rPr>
          <w:rFonts w:ascii="Times New Roman" w:hAnsi="Times New Roman" w:cs="Times New Roman"/>
          <w:iCs/>
        </w:rPr>
      </w:pPr>
      <w:r w:rsidRPr="00D01E32">
        <w:rPr>
          <w:rFonts w:ascii="Times New Roman" w:hAnsi="Times New Roman" w:cs="Times New Roman"/>
          <w:b/>
          <w:iCs/>
        </w:rPr>
        <w:t>a)</w:t>
      </w:r>
      <w:r>
        <w:rPr>
          <w:rFonts w:ascii="Times New Roman" w:hAnsi="Times New Roman" w:cs="Times New Roman"/>
          <w:iCs/>
        </w:rPr>
        <w:t xml:space="preserve"> </w:t>
      </w:r>
      <w:r w:rsidRPr="00D84571">
        <w:rPr>
          <w:rFonts w:ascii="Times New Roman" w:hAnsi="Times New Roman" w:cs="Times New Roman"/>
          <w:iCs/>
        </w:rPr>
        <w:t>Quem exerce profissionalmente atividade econômica organizada para a produção ou a circulação de bens ou de serviços;</w:t>
      </w:r>
    </w:p>
    <w:p w14:paraId="0EA10CD2" w14:textId="77777777" w:rsidR="00B307DB" w:rsidRPr="00D84571" w:rsidRDefault="00B307DB" w:rsidP="00B307DB">
      <w:pPr>
        <w:pStyle w:val="PargrafodaLista"/>
        <w:widowControl w:val="0"/>
        <w:tabs>
          <w:tab w:val="left" w:pos="567"/>
        </w:tabs>
        <w:adjustRightInd w:val="0"/>
        <w:spacing w:after="0" w:line="240" w:lineRule="auto"/>
        <w:ind w:left="1134" w:right="-568"/>
        <w:contextualSpacing w:val="0"/>
        <w:jc w:val="both"/>
        <w:textAlignment w:val="baseline"/>
        <w:rPr>
          <w:rFonts w:ascii="Times New Roman" w:hAnsi="Times New Roman" w:cs="Times New Roman"/>
          <w:iCs/>
        </w:rPr>
      </w:pPr>
      <w:r w:rsidRPr="00D01E32">
        <w:rPr>
          <w:rFonts w:ascii="Times New Roman" w:hAnsi="Times New Roman" w:cs="Times New Roman"/>
          <w:b/>
          <w:iCs/>
        </w:rPr>
        <w:t>b)</w:t>
      </w:r>
      <w:r>
        <w:rPr>
          <w:rFonts w:ascii="Times New Roman" w:hAnsi="Times New Roman" w:cs="Times New Roman"/>
          <w:iCs/>
        </w:rPr>
        <w:t xml:space="preserve"> </w:t>
      </w:r>
      <w:r w:rsidRPr="00D84571">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537596F9" w14:textId="77777777" w:rsidR="00B307DB" w:rsidRPr="00B71841" w:rsidRDefault="00B307DB" w:rsidP="00B307DB">
      <w:pPr>
        <w:tabs>
          <w:tab w:val="left" w:pos="567"/>
        </w:tabs>
        <w:spacing w:after="0" w:line="240" w:lineRule="auto"/>
        <w:ind w:right="-568"/>
        <w:jc w:val="both"/>
        <w:rPr>
          <w:rFonts w:ascii="Times New Roman" w:hAnsi="Times New Roman" w:cs="Times New Roman"/>
          <w:iCs/>
        </w:rPr>
      </w:pPr>
      <w:r>
        <w:rPr>
          <w:rFonts w:ascii="Times New Roman" w:hAnsi="Times New Roman" w:cs="Times New Roman"/>
          <w:b/>
          <w:iCs/>
        </w:rPr>
        <w:t xml:space="preserve">7.3 </w:t>
      </w:r>
      <w:r w:rsidRPr="00B71841">
        <w:rPr>
          <w:rFonts w:ascii="Times New Roman" w:hAnsi="Times New Roman" w:cs="Times New Roman"/>
          <w:iCs/>
        </w:rPr>
        <w:t xml:space="preserve">Os efeitos da </w:t>
      </w:r>
      <w:hyperlink r:id="rId51" w:history="1">
        <w:r w:rsidRPr="00B71841">
          <w:rPr>
            <w:rStyle w:val="Hyperlink"/>
            <w:rFonts w:ascii="Times New Roman" w:hAnsi="Times New Roman" w:cs="Times New Roman"/>
            <w:iCs/>
          </w:rPr>
          <w:t>Lei Complementar nº 123/2006</w:t>
        </w:r>
      </w:hyperlink>
      <w:r w:rsidRPr="00B71841">
        <w:rPr>
          <w:rFonts w:ascii="Times New Roman" w:hAnsi="Times New Roman" w:cs="Times New Roman"/>
          <w:iCs/>
        </w:rPr>
        <w:t xml:space="preserve"> também se aplicam:</w:t>
      </w:r>
    </w:p>
    <w:p w14:paraId="612DC19F" w14:textId="77777777" w:rsidR="00B307DB" w:rsidRPr="00D84571" w:rsidRDefault="00B307DB" w:rsidP="00B307DB">
      <w:pPr>
        <w:pStyle w:val="PargrafodaLista"/>
        <w:tabs>
          <w:tab w:val="left" w:pos="284"/>
          <w:tab w:val="left" w:pos="567"/>
          <w:tab w:val="left" w:pos="993"/>
        </w:tabs>
        <w:spacing w:after="0" w:line="240" w:lineRule="auto"/>
        <w:ind w:left="567" w:right="-568"/>
        <w:contextualSpacing w:val="0"/>
        <w:jc w:val="both"/>
        <w:rPr>
          <w:rFonts w:ascii="Times New Roman" w:hAnsi="Times New Roman" w:cs="Times New Roman"/>
          <w:iCs/>
        </w:rPr>
      </w:pPr>
      <w:r w:rsidRPr="00D01E32">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 xml:space="preserve">Ao </w:t>
      </w:r>
      <w:r w:rsidRPr="00D84571">
        <w:rPr>
          <w:rFonts w:ascii="Times New Roman" w:hAnsi="Times New Roman" w:cs="Times New Roman"/>
          <w:iCs/>
          <w:u w:val="single"/>
        </w:rPr>
        <w:t>Microempreendedor Individual – MEI</w:t>
      </w:r>
      <w:r w:rsidRPr="00D84571">
        <w:rPr>
          <w:rFonts w:ascii="Times New Roman" w:hAnsi="Times New Roman" w:cs="Times New Roman"/>
          <w:iCs/>
        </w:rPr>
        <w:t xml:space="preserve"> nos termos do </w:t>
      </w:r>
      <w:hyperlink r:id="rId52" w:anchor="art18a%C2%A71" w:history="1">
        <w:r w:rsidRPr="00D84571">
          <w:rPr>
            <w:rStyle w:val="Hyperlink"/>
            <w:rFonts w:ascii="Times New Roman" w:hAnsi="Times New Roman" w:cs="Times New Roman"/>
            <w:iCs/>
          </w:rPr>
          <w:t>art. 18-A, § 1º da Lei Complementar nº 123/2006</w:t>
        </w:r>
      </w:hyperlink>
      <w:r w:rsidRPr="00D84571">
        <w:rPr>
          <w:rFonts w:ascii="Times New Roman" w:hAnsi="Times New Roman" w:cs="Times New Roman"/>
          <w:iCs/>
        </w:rPr>
        <w:t>;</w:t>
      </w:r>
    </w:p>
    <w:p w14:paraId="3369D192" w14:textId="77777777" w:rsidR="00B307DB" w:rsidRPr="00D84571" w:rsidRDefault="00B307DB" w:rsidP="00B307DB">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iCs/>
        </w:rPr>
      </w:pPr>
      <w:r w:rsidRPr="00D01E32">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 xml:space="preserve">Às </w:t>
      </w:r>
      <w:r w:rsidRPr="00D84571">
        <w:rPr>
          <w:rFonts w:ascii="Times New Roman" w:hAnsi="Times New Roman" w:cs="Times New Roman"/>
          <w:iCs/>
          <w:u w:val="single"/>
        </w:rPr>
        <w:t>sociedades cooperativas</w:t>
      </w:r>
      <w:r w:rsidRPr="00D84571">
        <w:rPr>
          <w:rFonts w:ascii="Times New Roman" w:hAnsi="Times New Roman" w:cs="Times New Roman"/>
          <w:iCs/>
        </w:rPr>
        <w:t xml:space="preserve"> que tenham auferido, no ano-calendário anterior, receita bruta até o limite definido no </w:t>
      </w:r>
      <w:hyperlink r:id="rId53" w:anchor="art3ii" w:history="1">
        <w:r w:rsidRPr="00D84571">
          <w:rPr>
            <w:rStyle w:val="Hyperlink"/>
            <w:rFonts w:ascii="Times New Roman" w:hAnsi="Times New Roman" w:cs="Times New Roman"/>
            <w:iCs/>
          </w:rPr>
          <w:t>inciso II do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do art. 3º da Lei Complementar n</w:t>
        </w:r>
        <w:r w:rsidRPr="00D84571">
          <w:rPr>
            <w:rStyle w:val="Hyperlink"/>
            <w:rFonts w:ascii="Times New Roman" w:hAnsi="Times New Roman" w:cs="Times New Roman"/>
            <w:iCs/>
            <w:vertAlign w:val="superscript"/>
          </w:rPr>
          <w:t>o</w:t>
        </w:r>
        <w:r w:rsidRPr="00D84571">
          <w:rPr>
            <w:rStyle w:val="Hyperlink"/>
            <w:rFonts w:ascii="Times New Roman" w:hAnsi="Times New Roman" w:cs="Times New Roman"/>
            <w:iCs/>
          </w:rPr>
          <w:t> 123/2006</w:t>
        </w:r>
      </w:hyperlink>
      <w:r w:rsidRPr="00D84571">
        <w:rPr>
          <w:rFonts w:ascii="Times New Roman" w:hAnsi="Times New Roman" w:cs="Times New Roman"/>
          <w:iCs/>
        </w:rPr>
        <w:t xml:space="preserve"> (</w:t>
      </w:r>
      <w:hyperlink r:id="rId54" w:anchor="art34" w:history="1">
        <w:r w:rsidRPr="00D84571">
          <w:rPr>
            <w:rStyle w:val="Hyperlink"/>
            <w:rFonts w:ascii="Times New Roman" w:hAnsi="Times New Roman" w:cs="Times New Roman"/>
            <w:iCs/>
          </w:rPr>
          <w:t>Lei nº 11.488/2007, art. 34</w:t>
        </w:r>
      </w:hyperlink>
      <w:r w:rsidRPr="00D84571">
        <w:rPr>
          <w:rFonts w:ascii="Times New Roman" w:hAnsi="Times New Roman" w:cs="Times New Roman"/>
          <w:iCs/>
        </w:rPr>
        <w:t>).</w:t>
      </w:r>
    </w:p>
    <w:p w14:paraId="7D999B96"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7.4</w:t>
      </w:r>
      <w:r w:rsidRPr="00D84571">
        <w:rPr>
          <w:rFonts w:ascii="Times New Roman" w:hAnsi="Times New Roman" w:cs="Times New Roman"/>
          <w:iCs/>
        </w:rPr>
        <w:t xml:space="preserve"> Para obtenção dos benefícios, conforme </w:t>
      </w:r>
      <w:hyperlink r:id="rId55" w:anchor="art4%C2%A72" w:history="1">
        <w:r w:rsidRPr="00D84571">
          <w:rPr>
            <w:rStyle w:val="Hyperlink"/>
            <w:rFonts w:ascii="Times New Roman" w:hAnsi="Times New Roman" w:cs="Times New Roman"/>
            <w:iCs/>
          </w:rPr>
          <w:t>art. 4º, § 2º da Lei nº 14.133/2021</w:t>
        </w:r>
      </w:hyperlink>
      <w:r w:rsidRPr="00D84571">
        <w:rPr>
          <w:rFonts w:ascii="Times New Roman" w:hAnsi="Times New Roman" w:cs="Times New Roman"/>
          <w:iCs/>
        </w:rPr>
        <w:t xml:space="preserve">, o licitante deverá apresentar </w:t>
      </w:r>
      <w:r w:rsidRPr="00282286">
        <w:rPr>
          <w:rFonts w:ascii="Times New Roman" w:hAnsi="Times New Roman" w:cs="Times New Roman"/>
          <w:iCs/>
          <w:shd w:val="clear" w:color="auto" w:fill="FFFFFF" w:themeFill="background1"/>
        </w:rPr>
        <w:t>declaração (</w:t>
      </w:r>
      <w:r w:rsidRPr="00282286">
        <w:rPr>
          <w:rFonts w:ascii="Times New Roman" w:hAnsi="Times New Roman" w:cs="Times New Roman"/>
          <w:iCs/>
          <w:shd w:val="clear" w:color="auto" w:fill="D9D9D9" w:themeFill="background1" w:themeFillShade="D9"/>
        </w:rPr>
        <w:t>ANEXO VI</w:t>
      </w:r>
      <w:r w:rsidRPr="00282286">
        <w:rPr>
          <w:rFonts w:ascii="Times New Roman" w:hAnsi="Times New Roman" w:cs="Times New Roman"/>
          <w:iCs/>
          <w:shd w:val="clear" w:color="auto" w:fill="FFFFFF" w:themeFill="background1"/>
        </w:rPr>
        <w:t>) que</w:t>
      </w:r>
      <w:r w:rsidRPr="005A2973">
        <w:rPr>
          <w:rFonts w:ascii="Times New Roman" w:hAnsi="Times New Roman" w:cs="Times New Roman"/>
          <w:iCs/>
          <w:shd w:val="clear" w:color="auto" w:fill="FFFFFF" w:themeFill="background1"/>
        </w:rPr>
        <w:t>,</w:t>
      </w:r>
      <w:r w:rsidRPr="00D84571">
        <w:rPr>
          <w:rFonts w:ascii="Times New Roman" w:hAnsi="Times New Roman" w:cs="Times New Roman"/>
          <w:iCs/>
        </w:rPr>
        <w:t xml:space="preserve"> no ano-calendário de realização da licitação, ainda não celebrou contratos com a Administração Pública cujos valores somados extrapolem a receita bruta máxima admitida para fins de enquadramento como empresa de pequeno porte (</w:t>
      </w:r>
      <w:hyperlink r:id="rId56" w:anchor="art3ii" w:history="1">
        <w:r w:rsidRPr="00D84571">
          <w:rPr>
            <w:rStyle w:val="Hyperlink"/>
            <w:rFonts w:ascii="Times New Roman" w:hAnsi="Times New Roman" w:cs="Times New Roman"/>
            <w:iCs/>
          </w:rPr>
          <w:t>Lei Complementar nº 123/2006, art. 3º, II</w:t>
        </w:r>
      </w:hyperlink>
      <w:r w:rsidRPr="00D84571">
        <w:rPr>
          <w:rFonts w:ascii="Times New Roman" w:hAnsi="Times New Roman" w:cs="Times New Roman"/>
          <w:iCs/>
        </w:rPr>
        <w:t>).</w:t>
      </w:r>
    </w:p>
    <w:p w14:paraId="08F2C9A0"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7.5</w:t>
      </w:r>
      <w:r w:rsidRPr="00D84571">
        <w:rPr>
          <w:rFonts w:ascii="Times New Roman" w:hAnsi="Times New Roman" w:cs="Times New Roman"/>
          <w:iCs/>
        </w:rPr>
        <w:t xml:space="preserve"> Nas contratações com prazo de vigência superior a 1 (um) ano será considerado o valor anual do contrato na aplicação dos limites previstos no </w:t>
      </w:r>
      <w:hyperlink r:id="rId57" w:anchor="art4%C2%A71" w:history="1">
        <w:r w:rsidRPr="00D84571">
          <w:rPr>
            <w:rStyle w:val="Hyperlink"/>
            <w:rFonts w:ascii="Times New Roman" w:hAnsi="Times New Roman" w:cs="Times New Roman"/>
            <w:iCs/>
          </w:rPr>
          <w:t>art. 4º, §§ 1º e 2º da Lei nº 14.133/2021</w:t>
        </w:r>
      </w:hyperlink>
      <w:r w:rsidRPr="00D84571">
        <w:rPr>
          <w:rFonts w:ascii="Times New Roman" w:hAnsi="Times New Roman" w:cs="Times New Roman"/>
          <w:iCs/>
        </w:rPr>
        <w:t>.</w:t>
      </w:r>
    </w:p>
    <w:p w14:paraId="652DA39D"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2EAA97C"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8 PARTICIPAÇÃO DE CONSÓRCIOS</w:t>
      </w:r>
    </w:p>
    <w:p w14:paraId="1F74BFA8" w14:textId="77777777" w:rsidR="00B307DB" w:rsidRPr="00D84571" w:rsidRDefault="00B307DB" w:rsidP="00B307DB">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8.1</w:t>
      </w:r>
      <w:r w:rsidRPr="00D84571">
        <w:rPr>
          <w:rFonts w:ascii="Times New Roman" w:hAnsi="Times New Roman" w:cs="Times New Roman"/>
          <w:iCs/>
        </w:rPr>
        <w:t xml:space="preserve"> É impedida a </w:t>
      </w:r>
      <w:r w:rsidRPr="00D84571">
        <w:rPr>
          <w:rFonts w:ascii="Times New Roman" w:hAnsi="Times New Roman" w:cs="Times New Roman"/>
        </w:rPr>
        <w:t>empresa consorciada participar, na mesma licitação, de mais de um consórcio ou de forma isolada (</w:t>
      </w:r>
      <w:hyperlink r:id="rId58" w:anchor="art15iv" w:history="1">
        <w:r w:rsidRPr="00D84571">
          <w:rPr>
            <w:rStyle w:val="Hyperlink"/>
            <w:rFonts w:ascii="Times New Roman" w:hAnsi="Times New Roman" w:cs="Times New Roman"/>
          </w:rPr>
          <w:t>art. 15, IV da Lei nº 14.133/2021</w:t>
        </w:r>
      </w:hyperlink>
      <w:r w:rsidRPr="00D84571">
        <w:rPr>
          <w:rFonts w:ascii="Times New Roman" w:hAnsi="Times New Roman" w:cs="Times New Roman"/>
        </w:rPr>
        <w:t>).</w:t>
      </w:r>
    </w:p>
    <w:p w14:paraId="5CE9600E" w14:textId="77777777" w:rsidR="00B307DB" w:rsidRPr="00D84571" w:rsidRDefault="00B307DB" w:rsidP="00B307DB">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iCs/>
        </w:rPr>
        <w:t>8.2</w:t>
      </w:r>
      <w:r w:rsidRPr="00D84571">
        <w:rPr>
          <w:rFonts w:ascii="Times New Roman" w:hAnsi="Times New Roman" w:cs="Times New Roman"/>
          <w:iCs/>
        </w:rPr>
        <w:t xml:space="preserve"> </w:t>
      </w:r>
      <w:r w:rsidRPr="00D84571">
        <w:rPr>
          <w:rFonts w:ascii="Times New Roman" w:hAnsi="Times New Roman" w:cs="Times New Roman"/>
        </w:rPr>
        <w:t>A responsabilidade dos integrantes é solidária pelos atos praticados em consórcio, tanto na fase de licitação quanto na de execução do contrato (</w:t>
      </w:r>
      <w:hyperlink r:id="rId59" w:anchor="art15v" w:history="1">
        <w:r w:rsidRPr="00D84571">
          <w:rPr>
            <w:rStyle w:val="Hyperlink"/>
            <w:rFonts w:ascii="Times New Roman" w:hAnsi="Times New Roman" w:cs="Times New Roman"/>
          </w:rPr>
          <w:t>art. 15, V da Lei nº 14.133/2021</w:t>
        </w:r>
      </w:hyperlink>
      <w:r w:rsidRPr="00D84571">
        <w:rPr>
          <w:rFonts w:ascii="Times New Roman" w:hAnsi="Times New Roman" w:cs="Times New Roman"/>
        </w:rPr>
        <w:t>).</w:t>
      </w:r>
    </w:p>
    <w:p w14:paraId="0016D2A1" w14:textId="77777777" w:rsidR="00B307DB" w:rsidRPr="00D84571" w:rsidRDefault="00B307DB" w:rsidP="00B307DB">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8.3</w:t>
      </w:r>
      <w:r w:rsidRPr="00D84571">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60" w:anchor="art15%C2%A75" w:history="1">
        <w:r w:rsidRPr="00D84571">
          <w:rPr>
            <w:rStyle w:val="Hyperlink"/>
            <w:rFonts w:ascii="Times New Roman" w:hAnsi="Times New Roman" w:cs="Times New Roman"/>
          </w:rPr>
          <w:t>art. 15, § 5º da Lei nº 14.133/2021</w:t>
        </w:r>
      </w:hyperlink>
      <w:r w:rsidRPr="00D84571">
        <w:rPr>
          <w:rFonts w:ascii="Times New Roman" w:hAnsi="Times New Roman" w:cs="Times New Roman"/>
        </w:rPr>
        <w:t>).</w:t>
      </w:r>
    </w:p>
    <w:p w14:paraId="069B204A" w14:textId="47B2E062" w:rsidR="00B307DB" w:rsidRPr="00C1647F" w:rsidRDefault="00B307DB" w:rsidP="00C1647F">
      <w:pPr>
        <w:pStyle w:val="PargrafodaLista"/>
        <w:numPr>
          <w:ilvl w:val="1"/>
          <w:numId w:val="251"/>
        </w:numPr>
        <w:tabs>
          <w:tab w:val="left" w:pos="567"/>
        </w:tabs>
        <w:spacing w:after="0" w:line="240" w:lineRule="auto"/>
        <w:ind w:right="-568"/>
        <w:jc w:val="both"/>
        <w:rPr>
          <w:rFonts w:ascii="Times New Roman" w:hAnsi="Times New Roman" w:cs="Times New Roman"/>
        </w:rPr>
      </w:pPr>
      <w:r w:rsidRPr="00C1647F">
        <w:rPr>
          <w:rFonts w:ascii="Times New Roman" w:hAnsi="Times New Roman" w:cs="Times New Roman"/>
        </w:rPr>
        <w:t>Na fase de habilitação:</w:t>
      </w:r>
    </w:p>
    <w:p w14:paraId="08327A66"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823F4">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TÉCNICA: é admitido o somatório dos quantitativos de cada consorciado (</w:t>
      </w:r>
      <w:hyperlink r:id="rId61" w:anchor="art15iii" w:history="1">
        <w:r w:rsidRPr="00D84571">
          <w:rPr>
            <w:rStyle w:val="Hyperlink"/>
            <w:rFonts w:ascii="Times New Roman" w:hAnsi="Times New Roman" w:cs="Times New Roman"/>
          </w:rPr>
          <w:t xml:space="preserve">art. 15, III – </w:t>
        </w:r>
        <w:r w:rsidRPr="00D84571">
          <w:rPr>
            <w:rStyle w:val="Hyperlink"/>
            <w:rFonts w:ascii="Times New Roman" w:hAnsi="Times New Roman" w:cs="Times New Roman"/>
          </w:rPr>
          <w:lastRenderedPageBreak/>
          <w:t>primeira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138E4F14"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823F4">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 xml:space="preserve">ECONÔMICO-FINANCEIRA: </w:t>
      </w:r>
    </w:p>
    <w:p w14:paraId="557C6024" w14:textId="77777777" w:rsidR="00B307DB" w:rsidRPr="00D84571" w:rsidRDefault="00B307DB" w:rsidP="00B307DB">
      <w:pPr>
        <w:pStyle w:val="PargrafodaLista"/>
        <w:widowControl w:val="0"/>
        <w:adjustRightInd w:val="0"/>
        <w:spacing w:after="0" w:line="240" w:lineRule="auto"/>
        <w:ind w:left="1134" w:right="-568"/>
        <w:contextualSpacing w:val="0"/>
        <w:jc w:val="both"/>
        <w:textAlignment w:val="baseline"/>
        <w:rPr>
          <w:rFonts w:ascii="Times New Roman" w:hAnsi="Times New Roman" w:cs="Times New Roman"/>
        </w:rPr>
      </w:pPr>
      <w:r w:rsidRPr="006823F4">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Admissão do somatório dos valores de cada consorciado (</w:t>
      </w:r>
      <w:hyperlink r:id="rId62" w:anchor="art15iii" w:history="1">
        <w:r w:rsidRPr="00D84571">
          <w:rPr>
            <w:rStyle w:val="Hyperlink"/>
            <w:rFonts w:ascii="Times New Roman" w:hAnsi="Times New Roman" w:cs="Times New Roman"/>
          </w:rPr>
          <w:t>art. 15, III – segunda parte</w:t>
        </w:r>
      </w:hyperlink>
      <w:r w:rsidRPr="00D84571">
        <w:rPr>
          <w:rStyle w:val="Hyperlink"/>
          <w:rFonts w:ascii="Times New Roman" w:hAnsi="Times New Roman" w:cs="Times New Roman"/>
        </w:rPr>
        <w:t>, da Lei nº 14.133/2021</w:t>
      </w:r>
      <w:r w:rsidRPr="00D84571">
        <w:rPr>
          <w:rFonts w:ascii="Times New Roman" w:hAnsi="Times New Roman" w:cs="Times New Roman"/>
        </w:rPr>
        <w:t>);</w:t>
      </w:r>
    </w:p>
    <w:p w14:paraId="1F811D5D" w14:textId="77777777" w:rsidR="00B307DB" w:rsidRPr="00D84571" w:rsidRDefault="00B307DB" w:rsidP="00B307DB">
      <w:pPr>
        <w:pStyle w:val="PargrafodaLista"/>
        <w:widowControl w:val="0"/>
        <w:adjustRightInd w:val="0"/>
        <w:spacing w:after="0" w:line="240" w:lineRule="auto"/>
        <w:ind w:left="1134" w:right="-568"/>
        <w:contextualSpacing w:val="0"/>
        <w:jc w:val="both"/>
        <w:textAlignment w:val="baseline"/>
        <w:rPr>
          <w:rFonts w:ascii="Times New Roman" w:hAnsi="Times New Roman" w:cs="Times New Roman"/>
        </w:rPr>
      </w:pPr>
      <w:r w:rsidRPr="006823F4">
        <w:rPr>
          <w:rFonts w:ascii="Times New Roman" w:hAnsi="Times New Roman" w:cs="Times New Roman"/>
          <w:b/>
        </w:rPr>
        <w:t xml:space="preserve">b) </w:t>
      </w:r>
      <w:r w:rsidRPr="00D84571">
        <w:rPr>
          <w:rFonts w:ascii="Times New Roman" w:hAnsi="Times New Roman" w:cs="Times New Roman"/>
        </w:rPr>
        <w:t>Acréscimo de 10% (dez por cento) a 30% (trinta por cento) sobre o valor exigido de licitante individual para a habilitação econômico-financeira, salvo justificação (</w:t>
      </w:r>
      <w:hyperlink r:id="rId63" w:anchor="art15%C2%A71" w:history="1">
        <w:r w:rsidRPr="00D84571">
          <w:rPr>
            <w:rStyle w:val="Hyperlink"/>
            <w:rFonts w:ascii="Times New Roman" w:hAnsi="Times New Roman" w:cs="Times New Roman"/>
          </w:rPr>
          <w:t>art. 15, § 1º da Lei nº 14.133/2021</w:t>
        </w:r>
      </w:hyperlink>
      <w:r w:rsidRPr="00D84571">
        <w:rPr>
          <w:rFonts w:ascii="Times New Roman" w:hAnsi="Times New Roman" w:cs="Times New Roman"/>
        </w:rPr>
        <w:t>); o referido acréscimo não se aplica aos consórcios compostos, em sua totalidade, de microempresas e pequenas empresas, assim definidas em lei (</w:t>
      </w:r>
      <w:hyperlink r:id="rId64" w:anchor="art15%C2%A72" w:history="1">
        <w:r w:rsidRPr="00D84571">
          <w:rPr>
            <w:rStyle w:val="Hyperlink"/>
            <w:rFonts w:ascii="Times New Roman" w:hAnsi="Times New Roman" w:cs="Times New Roman"/>
          </w:rPr>
          <w:t>art. 15, § 2º da Lei nº 14.133/2021</w:t>
        </w:r>
      </w:hyperlink>
      <w:r w:rsidRPr="00D84571">
        <w:rPr>
          <w:rFonts w:ascii="Times New Roman" w:hAnsi="Times New Roman" w:cs="Times New Roman"/>
        </w:rPr>
        <w:t>).</w:t>
      </w:r>
    </w:p>
    <w:p w14:paraId="375049B5" w14:textId="504F7208" w:rsidR="00B307DB" w:rsidRPr="00C1647F" w:rsidRDefault="00B307DB" w:rsidP="00C1647F">
      <w:pPr>
        <w:pStyle w:val="PargrafodaLista"/>
        <w:numPr>
          <w:ilvl w:val="1"/>
          <w:numId w:val="251"/>
        </w:numPr>
        <w:tabs>
          <w:tab w:val="left" w:pos="567"/>
        </w:tabs>
        <w:spacing w:after="0" w:line="240" w:lineRule="auto"/>
        <w:ind w:right="-568"/>
        <w:jc w:val="both"/>
        <w:rPr>
          <w:rFonts w:ascii="Times New Roman" w:hAnsi="Times New Roman" w:cs="Times New Roman"/>
          <w:iCs/>
        </w:rPr>
      </w:pPr>
      <w:r w:rsidRPr="00C1647F">
        <w:rPr>
          <w:rFonts w:ascii="Times New Roman" w:hAnsi="Times New Roman" w:cs="Times New Roman"/>
          <w:iCs/>
        </w:rPr>
        <w:t>A assinatura do contrato será condicionada à (</w:t>
      </w:r>
      <w:hyperlink r:id="rId65" w:anchor="art15%C2%A73" w:history="1">
        <w:r w:rsidRPr="00C1647F">
          <w:rPr>
            <w:rStyle w:val="Hyperlink"/>
            <w:rFonts w:ascii="Times New Roman" w:hAnsi="Times New Roman" w:cs="Times New Roman"/>
            <w:iCs/>
          </w:rPr>
          <w:t>art. 15, § 3º da Lei nº 14.133/2021</w:t>
        </w:r>
      </w:hyperlink>
      <w:r w:rsidRPr="00C1647F">
        <w:rPr>
          <w:rFonts w:ascii="Times New Roman" w:hAnsi="Times New Roman" w:cs="Times New Roman"/>
          <w:iCs/>
        </w:rPr>
        <w:t>):</w:t>
      </w:r>
    </w:p>
    <w:p w14:paraId="1E288530"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916C0B">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Comprovação de compromisso público ou particular de constituição de consórcio, subscrito pelos consorciados (</w:t>
      </w:r>
      <w:hyperlink r:id="rId66" w:anchor="art15i" w:history="1">
        <w:r w:rsidRPr="00D84571">
          <w:rPr>
            <w:rStyle w:val="Hyperlink"/>
            <w:rFonts w:ascii="Times New Roman" w:hAnsi="Times New Roman" w:cs="Times New Roman"/>
          </w:rPr>
          <w:t>art. 15, I da Lei nº 14.133/2021</w:t>
        </w:r>
      </w:hyperlink>
      <w:r w:rsidRPr="00D84571">
        <w:rPr>
          <w:rFonts w:ascii="Times New Roman" w:hAnsi="Times New Roman" w:cs="Times New Roman"/>
        </w:rPr>
        <w:t>);</w:t>
      </w:r>
    </w:p>
    <w:p w14:paraId="138A5383"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916C0B">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Indicação da empresa líder do consórcio, que será responsável por sua representação perante a Administração (</w:t>
      </w:r>
      <w:hyperlink r:id="rId67" w:anchor="art15ii" w:history="1">
        <w:r w:rsidRPr="00D84571">
          <w:rPr>
            <w:rStyle w:val="Hyperlink"/>
            <w:rFonts w:ascii="Times New Roman" w:hAnsi="Times New Roman" w:cs="Times New Roman"/>
          </w:rPr>
          <w:t>art. 15, II da Lei nº 14.133/2021</w:t>
        </w:r>
      </w:hyperlink>
      <w:r w:rsidRPr="00D84571">
        <w:rPr>
          <w:rFonts w:ascii="Times New Roman" w:hAnsi="Times New Roman" w:cs="Times New Roman"/>
        </w:rPr>
        <w:t>).</w:t>
      </w:r>
    </w:p>
    <w:p w14:paraId="3CB29099"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962066A"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9 PARTICIPAÇÃO DE COOPERATIVA</w:t>
      </w:r>
    </w:p>
    <w:p w14:paraId="309CD944"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9.1</w:t>
      </w:r>
      <w:r w:rsidRPr="00D84571">
        <w:rPr>
          <w:rFonts w:ascii="Times New Roman" w:hAnsi="Times New Roman" w:cs="Times New Roman"/>
          <w:iCs/>
        </w:rPr>
        <w:t xml:space="preserve"> Conforme </w:t>
      </w:r>
      <w:hyperlink r:id="rId68" w:anchor="art16" w:history="1">
        <w:r w:rsidRPr="00D84571">
          <w:rPr>
            <w:rStyle w:val="Hyperlink"/>
            <w:rFonts w:ascii="Times New Roman" w:hAnsi="Times New Roman" w:cs="Times New Roman"/>
            <w:iCs/>
          </w:rPr>
          <w:t>art. 16 da Lei nº 14.133/2021</w:t>
        </w:r>
      </w:hyperlink>
      <w:r w:rsidRPr="00D84571">
        <w:rPr>
          <w:rFonts w:ascii="Times New Roman" w:hAnsi="Times New Roman" w:cs="Times New Roman"/>
          <w:iCs/>
        </w:rPr>
        <w:t>, os profissionais organizados sob a forma de cooperativa poderão participar de licitação quando:</w:t>
      </w:r>
    </w:p>
    <w:p w14:paraId="0C47C77E" w14:textId="77777777" w:rsidR="00B307DB" w:rsidRPr="00D84571" w:rsidRDefault="00B307DB" w:rsidP="00B307DB">
      <w:pPr>
        <w:pStyle w:val="PargrafodaLista"/>
        <w:widowControl w:val="0"/>
        <w:tabs>
          <w:tab w:val="left" w:pos="284"/>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2F774F">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A constituição e o funcionamento da cooperativa observarem as regras estabelecidas na legislação aplicável, em especial:</w:t>
      </w:r>
    </w:p>
    <w:p w14:paraId="38BCF2AF" w14:textId="77777777" w:rsidR="00B307DB" w:rsidRPr="004D2798" w:rsidRDefault="00D52F36" w:rsidP="00C1647F">
      <w:pPr>
        <w:pStyle w:val="PargrafodaLista"/>
        <w:widowControl w:val="0"/>
        <w:numPr>
          <w:ilvl w:val="0"/>
          <w:numId w:val="252"/>
        </w:numPr>
        <w:tabs>
          <w:tab w:val="left" w:pos="567"/>
        </w:tabs>
        <w:adjustRightInd w:val="0"/>
        <w:spacing w:after="0" w:line="240" w:lineRule="auto"/>
        <w:ind w:left="1134" w:right="-568" w:firstLine="0"/>
        <w:jc w:val="both"/>
        <w:textAlignment w:val="baseline"/>
        <w:rPr>
          <w:rFonts w:ascii="Times New Roman" w:hAnsi="Times New Roman" w:cs="Times New Roman"/>
        </w:rPr>
      </w:pPr>
      <w:hyperlink r:id="rId69" w:history="1">
        <w:r w:rsidR="00B307DB" w:rsidRPr="004D2798">
          <w:rPr>
            <w:rStyle w:val="Hyperlink"/>
            <w:rFonts w:ascii="Times New Roman" w:hAnsi="Times New Roman" w:cs="Times New Roman"/>
          </w:rPr>
          <w:t>Lei nº 5.764, de 16 de dezembro de 1971</w:t>
        </w:r>
      </w:hyperlink>
      <w:r w:rsidR="00B307DB" w:rsidRPr="004D2798">
        <w:rPr>
          <w:rFonts w:ascii="Times New Roman" w:hAnsi="Times New Roman" w:cs="Times New Roman"/>
        </w:rPr>
        <w:t xml:space="preserve"> – </w:t>
      </w:r>
      <w:r w:rsidR="00B307DB" w:rsidRPr="004D2798">
        <w:rPr>
          <w:rFonts w:ascii="Times New Roman" w:hAnsi="Times New Roman" w:cs="Times New Roman"/>
          <w:i/>
          <w:iCs/>
        </w:rPr>
        <w:t>Define a Política Nacional de Cooperativismo, institui o regime jurídico das sociedades cooperativas, e dá outras providências</w:t>
      </w:r>
      <w:r w:rsidR="00B307DB" w:rsidRPr="004D2798">
        <w:rPr>
          <w:rFonts w:ascii="Times New Roman" w:hAnsi="Times New Roman" w:cs="Times New Roman"/>
        </w:rPr>
        <w:t>;</w:t>
      </w:r>
    </w:p>
    <w:p w14:paraId="43B6E91C" w14:textId="77777777" w:rsidR="00B307DB" w:rsidRPr="004D2798" w:rsidRDefault="00D52F36" w:rsidP="00C1647F">
      <w:pPr>
        <w:pStyle w:val="PargrafodaLista"/>
        <w:widowControl w:val="0"/>
        <w:numPr>
          <w:ilvl w:val="0"/>
          <w:numId w:val="252"/>
        </w:numPr>
        <w:tabs>
          <w:tab w:val="left" w:pos="567"/>
        </w:tabs>
        <w:adjustRightInd w:val="0"/>
        <w:spacing w:after="0" w:line="240" w:lineRule="auto"/>
        <w:ind w:left="1134" w:right="-568" w:firstLine="0"/>
        <w:jc w:val="both"/>
        <w:textAlignment w:val="baseline"/>
        <w:rPr>
          <w:rFonts w:ascii="Times New Roman" w:hAnsi="Times New Roman" w:cs="Times New Roman"/>
        </w:rPr>
      </w:pPr>
      <w:hyperlink r:id="rId70" w:history="1">
        <w:r w:rsidR="00B307DB" w:rsidRPr="004D2798">
          <w:rPr>
            <w:rStyle w:val="Hyperlink"/>
            <w:rFonts w:ascii="Times New Roman" w:hAnsi="Times New Roman" w:cs="Times New Roman"/>
          </w:rPr>
          <w:t>Lei nº 12.690, de 19 de julho de 2012</w:t>
        </w:r>
      </w:hyperlink>
      <w:r w:rsidR="00B307DB" w:rsidRPr="004D2798">
        <w:rPr>
          <w:rFonts w:ascii="Times New Roman" w:hAnsi="Times New Roman" w:cs="Times New Roman"/>
        </w:rPr>
        <w:t xml:space="preserve"> – </w:t>
      </w:r>
      <w:r w:rsidR="00B307DB" w:rsidRPr="004D2798">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B307DB" w:rsidRPr="004D2798">
        <w:rPr>
          <w:rFonts w:ascii="Times New Roman" w:hAnsi="Times New Roman" w:cs="Times New Roman"/>
        </w:rPr>
        <w:t>;</w:t>
      </w:r>
    </w:p>
    <w:p w14:paraId="5B19A03A" w14:textId="77777777" w:rsidR="00B307DB" w:rsidRPr="004D2798" w:rsidRDefault="00D52F36" w:rsidP="00C1647F">
      <w:pPr>
        <w:pStyle w:val="PargrafodaLista"/>
        <w:widowControl w:val="0"/>
        <w:numPr>
          <w:ilvl w:val="0"/>
          <w:numId w:val="252"/>
        </w:numPr>
        <w:tabs>
          <w:tab w:val="left" w:pos="567"/>
        </w:tabs>
        <w:adjustRightInd w:val="0"/>
        <w:spacing w:after="0" w:line="240" w:lineRule="auto"/>
        <w:ind w:left="1134" w:right="-568" w:firstLine="0"/>
        <w:jc w:val="both"/>
        <w:textAlignment w:val="baseline"/>
        <w:rPr>
          <w:rFonts w:ascii="Times New Roman" w:hAnsi="Times New Roman" w:cs="Times New Roman"/>
        </w:rPr>
      </w:pPr>
      <w:hyperlink r:id="rId71" w:history="1">
        <w:r w:rsidR="00B307DB" w:rsidRPr="004D2798">
          <w:rPr>
            <w:rStyle w:val="Hyperlink"/>
            <w:rFonts w:ascii="Times New Roman" w:hAnsi="Times New Roman" w:cs="Times New Roman"/>
          </w:rPr>
          <w:t>Lei Complementar nº 130, de 17 de abril de 2009</w:t>
        </w:r>
      </w:hyperlink>
      <w:r w:rsidR="00B307DB" w:rsidRPr="004D2798">
        <w:rPr>
          <w:rFonts w:ascii="Times New Roman" w:hAnsi="Times New Roman" w:cs="Times New Roman"/>
        </w:rPr>
        <w:t xml:space="preserve"> – </w:t>
      </w:r>
      <w:r w:rsidR="00B307DB" w:rsidRPr="004D2798">
        <w:rPr>
          <w:rFonts w:ascii="Times New Roman" w:hAnsi="Times New Roman" w:cs="Times New Roman"/>
          <w:i/>
          <w:iCs/>
        </w:rPr>
        <w:t>Dispõe sobre o Sistema Nacional de Crédito Cooperativo e revoga dispositivos das Leis n</w:t>
      </w:r>
      <w:r w:rsidR="00B307DB" w:rsidRPr="004D2798">
        <w:rPr>
          <w:rFonts w:ascii="Times New Roman" w:hAnsi="Times New Roman" w:cs="Times New Roman"/>
          <w:i/>
          <w:iCs/>
          <w:u w:val="single"/>
          <w:vertAlign w:val="superscript"/>
        </w:rPr>
        <w:t>os</w:t>
      </w:r>
      <w:r w:rsidR="00B307DB" w:rsidRPr="004D2798">
        <w:rPr>
          <w:rFonts w:ascii="Times New Roman" w:hAnsi="Times New Roman" w:cs="Times New Roman"/>
          <w:i/>
          <w:iCs/>
        </w:rPr>
        <w:t> 4.595, de 31 de dezembro de 1964, e 5.764, de 16 de dezembro de 1971</w:t>
      </w:r>
      <w:r w:rsidR="00B307DB" w:rsidRPr="004D2798">
        <w:rPr>
          <w:rFonts w:ascii="Times New Roman" w:hAnsi="Times New Roman" w:cs="Times New Roman"/>
        </w:rPr>
        <w:t>.</w:t>
      </w:r>
    </w:p>
    <w:p w14:paraId="0124AEBC" w14:textId="77777777" w:rsidR="00B307DB" w:rsidRPr="00D84571" w:rsidRDefault="00B307DB" w:rsidP="00B307DB">
      <w:pPr>
        <w:pStyle w:val="PargrafodaLista"/>
        <w:widowControl w:val="0"/>
        <w:tabs>
          <w:tab w:val="left" w:pos="426"/>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 cooperativa apresentar demonstrativo de atuação em regime cooperado, com repartição de receitas e despesas entre os cooperados;</w:t>
      </w:r>
    </w:p>
    <w:p w14:paraId="775017B8" w14:textId="77777777" w:rsidR="00B307DB" w:rsidRPr="00D84571" w:rsidRDefault="00B307DB" w:rsidP="00B307DB">
      <w:pPr>
        <w:pStyle w:val="PargrafodaLista"/>
        <w:widowControl w:val="0"/>
        <w:tabs>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Qualquer cooperado, com igual qualificação, for capaz de executar o objeto contratado, vedado à Administração indicar nominalmente pessoas;</w:t>
      </w:r>
    </w:p>
    <w:p w14:paraId="56AADB3D" w14:textId="77777777" w:rsidR="00B307DB" w:rsidRPr="00D84571" w:rsidRDefault="00B307DB" w:rsidP="00B307DB">
      <w:pPr>
        <w:pStyle w:val="PargrafodaLista"/>
        <w:widowControl w:val="0"/>
        <w:tabs>
          <w:tab w:val="left" w:pos="426"/>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O objeto da licitação referir-se, em se tratando de cooperativas enquadradas na </w:t>
      </w:r>
      <w:hyperlink r:id="rId72" w:history="1">
        <w:r w:rsidRPr="00D84571">
          <w:rPr>
            <w:rStyle w:val="Hyperlink"/>
            <w:rFonts w:ascii="Times New Roman" w:hAnsi="Times New Roman" w:cs="Times New Roman"/>
          </w:rPr>
          <w:t>Lei nº 12.690, de 19 de julho de 2012</w:t>
        </w:r>
      </w:hyperlink>
      <w:r w:rsidRPr="00D84571">
        <w:rPr>
          <w:rFonts w:ascii="Times New Roman" w:hAnsi="Times New Roman" w:cs="Times New Roman"/>
        </w:rPr>
        <w:t>, a serviços especializados constantes do objeto social da cooperativa, a serem executados de forma complementar à sua atuação.</w:t>
      </w:r>
    </w:p>
    <w:p w14:paraId="73A9A007"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9.2</w:t>
      </w:r>
      <w:r w:rsidRPr="00D84571">
        <w:rPr>
          <w:rFonts w:ascii="Times New Roman" w:hAnsi="Times New Roman" w:cs="Times New Roman"/>
          <w:iCs/>
        </w:rPr>
        <w:t xml:space="preserve"> Conforme </w:t>
      </w:r>
      <w:hyperlink r:id="rId73" w:anchor="art34" w:history="1">
        <w:r w:rsidRPr="00D84571">
          <w:rPr>
            <w:rStyle w:val="Hyperlink"/>
            <w:rFonts w:ascii="Times New Roman" w:hAnsi="Times New Roman" w:cs="Times New Roman"/>
            <w:iCs/>
          </w:rPr>
          <w:t>art. 34 da Lei nº 11.488/2007</w:t>
        </w:r>
      </w:hyperlink>
      <w:r w:rsidRPr="00D84571">
        <w:rPr>
          <w:rFonts w:ascii="Times New Roman" w:hAnsi="Times New Roman" w:cs="Times New Roman"/>
          <w:iCs/>
        </w:rPr>
        <w:t>, aplica-se às sociedades cooperativas que tenham auferido, no ano-calendário anterior, receita bruta até o limite definido no </w:t>
      </w:r>
      <w:hyperlink r:id="rId74" w:anchor="art3ii" w:history="1">
        <w:r w:rsidRPr="00D84571">
          <w:rPr>
            <w:rStyle w:val="Hyperlink"/>
            <w:rFonts w:ascii="Times New Roman" w:hAnsi="Times New Roman" w:cs="Times New Roman"/>
            <w:iCs/>
          </w:rPr>
          <w:t>inciso II do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do art. 3º da Lei Complementar n</w:t>
        </w:r>
        <w:r w:rsidRPr="00D84571">
          <w:rPr>
            <w:rStyle w:val="Hyperlink"/>
            <w:rFonts w:ascii="Times New Roman" w:hAnsi="Times New Roman" w:cs="Times New Roman"/>
            <w:iCs/>
            <w:vertAlign w:val="superscript"/>
          </w:rPr>
          <w:t>o</w:t>
        </w:r>
        <w:r w:rsidRPr="00D84571">
          <w:rPr>
            <w:rStyle w:val="Hyperlink"/>
            <w:rFonts w:ascii="Times New Roman" w:hAnsi="Times New Roman" w:cs="Times New Roman"/>
            <w:iCs/>
          </w:rPr>
          <w:t> 123/2006</w:t>
        </w:r>
      </w:hyperlink>
      <w:r w:rsidRPr="00D84571">
        <w:rPr>
          <w:rFonts w:ascii="Times New Roman" w:hAnsi="Times New Roman" w:cs="Times New Roman"/>
          <w:iCs/>
        </w:rPr>
        <w:t>, nela incluídos os atos cooperados e não-cooperados, o disposto nos Capítulos V a X (</w:t>
      </w:r>
      <w:hyperlink r:id="rId75" w:anchor="art42" w:history="1">
        <w:r w:rsidRPr="00D84571">
          <w:rPr>
            <w:rStyle w:val="Hyperlink"/>
            <w:rFonts w:ascii="Times New Roman" w:hAnsi="Times New Roman" w:cs="Times New Roman"/>
            <w:iCs/>
          </w:rPr>
          <w:t>art. 42 ao 67-A</w:t>
        </w:r>
      </w:hyperlink>
      <w:r w:rsidRPr="00D84571">
        <w:rPr>
          <w:rFonts w:ascii="Times New Roman" w:hAnsi="Times New Roman" w:cs="Times New Roman"/>
          <w:iCs/>
        </w:rPr>
        <w:t>), na Seção IV do Capítulo XI (</w:t>
      </w:r>
      <w:hyperlink r:id="rId76" w:anchor="art73" w:history="1">
        <w:r w:rsidRPr="00D84571">
          <w:rPr>
            <w:rStyle w:val="Hyperlink"/>
            <w:rFonts w:ascii="Times New Roman" w:hAnsi="Times New Roman" w:cs="Times New Roman"/>
            <w:iCs/>
          </w:rPr>
          <w:t>art. 73 e 73-A</w:t>
        </w:r>
      </w:hyperlink>
      <w:r w:rsidRPr="00D84571">
        <w:rPr>
          <w:rFonts w:ascii="Times New Roman" w:hAnsi="Times New Roman" w:cs="Times New Roman"/>
          <w:iCs/>
        </w:rPr>
        <w:t>), e no Capítulo XII (</w:t>
      </w:r>
      <w:hyperlink r:id="rId77" w:anchor="art74" w:history="1">
        <w:r w:rsidRPr="00D84571">
          <w:rPr>
            <w:rStyle w:val="Hyperlink"/>
            <w:rFonts w:ascii="Times New Roman" w:hAnsi="Times New Roman" w:cs="Times New Roman"/>
            <w:iCs/>
          </w:rPr>
          <w:t>art. 74 ao 75-B</w:t>
        </w:r>
      </w:hyperlink>
      <w:r w:rsidRPr="00D84571">
        <w:rPr>
          <w:rFonts w:ascii="Times New Roman" w:hAnsi="Times New Roman" w:cs="Times New Roman"/>
          <w:iCs/>
        </w:rPr>
        <w:t>) da referida Lei Complementar.</w:t>
      </w:r>
    </w:p>
    <w:p w14:paraId="4D6D29D3" w14:textId="77777777" w:rsidR="00B307DB" w:rsidRPr="00D84571" w:rsidRDefault="00B307DB" w:rsidP="00B307DB">
      <w:pPr>
        <w:widowControl w:val="0"/>
        <w:adjustRightInd w:val="0"/>
        <w:spacing w:after="0" w:line="240" w:lineRule="auto"/>
        <w:ind w:right="-568"/>
        <w:jc w:val="both"/>
        <w:textAlignment w:val="baseline"/>
        <w:rPr>
          <w:rFonts w:ascii="Times New Roman" w:hAnsi="Times New Roman" w:cs="Times New Roman"/>
        </w:rPr>
      </w:pPr>
    </w:p>
    <w:p w14:paraId="6FEA521A"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Pr>
          <w:rFonts w:ascii="Times New Roman" w:hAnsi="Times New Roman" w:cs="Times New Roman"/>
          <w:sz w:val="22"/>
          <w:szCs w:val="22"/>
        </w:rPr>
        <w:t>10 R</w:t>
      </w:r>
      <w:r w:rsidRPr="00D84571">
        <w:rPr>
          <w:rFonts w:ascii="Times New Roman" w:hAnsi="Times New Roman" w:cs="Times New Roman"/>
          <w:sz w:val="22"/>
          <w:szCs w:val="22"/>
        </w:rPr>
        <w:t>EGRAS GERAIS PARA DOCUMENTAÇÃO</w:t>
      </w:r>
    </w:p>
    <w:p w14:paraId="0B5C901B" w14:textId="77777777" w:rsidR="00B307DB" w:rsidRPr="00EB4B51" w:rsidRDefault="00B307DB" w:rsidP="00B307DB">
      <w:pPr>
        <w:tabs>
          <w:tab w:val="left" w:pos="567"/>
        </w:tabs>
        <w:spacing w:after="0" w:line="240" w:lineRule="auto"/>
        <w:ind w:right="-568"/>
        <w:jc w:val="both"/>
        <w:rPr>
          <w:rFonts w:ascii="Times New Roman" w:hAnsi="Times New Roman" w:cs="Times New Roman"/>
          <w:iCs/>
        </w:rPr>
      </w:pPr>
      <w:r w:rsidRPr="00EB4B51">
        <w:rPr>
          <w:rFonts w:ascii="Times New Roman" w:hAnsi="Times New Roman" w:cs="Times New Roman"/>
          <w:b/>
          <w:iCs/>
        </w:rPr>
        <w:t>10.1</w:t>
      </w:r>
      <w:r>
        <w:rPr>
          <w:rFonts w:ascii="Times New Roman" w:hAnsi="Times New Roman" w:cs="Times New Roman"/>
          <w:iCs/>
        </w:rPr>
        <w:t xml:space="preserve"> </w:t>
      </w:r>
      <w:r w:rsidRPr="00EB4B51">
        <w:rPr>
          <w:rFonts w:ascii="Times New Roman" w:hAnsi="Times New Roman" w:cs="Times New Roman"/>
          <w:iCs/>
        </w:rPr>
        <w:t xml:space="preserve">Conforme </w:t>
      </w:r>
      <w:hyperlink r:id="rId78" w:anchor="art12" w:history="1">
        <w:r w:rsidRPr="00EB4B51">
          <w:rPr>
            <w:rStyle w:val="Hyperlink"/>
            <w:rFonts w:ascii="Times New Roman" w:hAnsi="Times New Roman" w:cs="Times New Roman"/>
            <w:iCs/>
          </w:rPr>
          <w:t>art. 12 da Lei nº 14.133/2021</w:t>
        </w:r>
      </w:hyperlink>
      <w:r w:rsidRPr="00EB4B51">
        <w:rPr>
          <w:rFonts w:ascii="Times New Roman" w:hAnsi="Times New Roman" w:cs="Times New Roman"/>
          <w:iCs/>
        </w:rPr>
        <w:t>:</w:t>
      </w:r>
    </w:p>
    <w:p w14:paraId="79111B92"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9A1E2C">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Os documentos serão produzidos por escrito, com data e local de sua realização e assinatura dos responsáveis;</w:t>
      </w:r>
    </w:p>
    <w:p w14:paraId="205B9FFC"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9A1E2C">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Os valores, os preços e os custos utilizados terão como expressão monetária a moeda corrente nacional, ressalvado o disposto no </w:t>
      </w:r>
      <w:hyperlink r:id="rId79" w:anchor="art52" w:history="1">
        <w:r w:rsidRPr="00D84571">
          <w:rPr>
            <w:rStyle w:val="Hyperlink"/>
            <w:rFonts w:ascii="Times New Roman" w:hAnsi="Times New Roman" w:cs="Times New Roman"/>
            <w:iCs/>
          </w:rPr>
          <w:t>art. 52 da Lei nº 14.133/2021</w:t>
        </w:r>
      </w:hyperlink>
      <w:r w:rsidRPr="00D84571">
        <w:rPr>
          <w:rFonts w:ascii="Times New Roman" w:hAnsi="Times New Roman" w:cs="Times New Roman"/>
          <w:iCs/>
        </w:rPr>
        <w:t xml:space="preserve"> (licitações internacionais);</w:t>
      </w:r>
    </w:p>
    <w:p w14:paraId="76154868" w14:textId="77777777" w:rsidR="00B307DB" w:rsidRPr="00D84571" w:rsidRDefault="00B307DB" w:rsidP="00B307DB">
      <w:pPr>
        <w:pStyle w:val="PargrafodaLista"/>
        <w:widowControl w:val="0"/>
        <w:tabs>
          <w:tab w:val="left" w:pos="426"/>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color w:val="FF0000"/>
        </w:rPr>
      </w:pPr>
      <w:r w:rsidRPr="009A1E2C">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2987B106" w14:textId="77777777" w:rsidR="00B307DB" w:rsidRPr="00D84571" w:rsidRDefault="00B307DB" w:rsidP="00B307DB">
      <w:pPr>
        <w:pStyle w:val="PargrafodaLista"/>
        <w:widowControl w:val="0"/>
        <w:tabs>
          <w:tab w:val="left" w:pos="426"/>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 xml:space="preserve">IV - </w:t>
      </w:r>
      <w:r w:rsidRPr="009A1E2C">
        <w:rPr>
          <w:rFonts w:ascii="Times New Roman" w:hAnsi="Times New Roman" w:cs="Times New Roman"/>
        </w:rPr>
        <w:t>A</w:t>
      </w:r>
      <w:r w:rsidRPr="00D84571">
        <w:rPr>
          <w:rFonts w:ascii="Times New Roman" w:hAnsi="Times New Roman" w:cs="Times New Roman"/>
        </w:rPr>
        <w:t xml:space="preserve"> prova de autenticidade de cópia de documento público ou particular poderá ser feita perante agente da Administração Pública Municipal, mediante apresentação de original ou de declaração de autenticidade por advogado, sob sua responsabilidade pessoal;</w:t>
      </w:r>
    </w:p>
    <w:p w14:paraId="559EF4BE"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 xml:space="preserve">O reconhecimento de firma somente será exigido quando houver dúvida de autenticidade, </w:t>
      </w:r>
      <w:r w:rsidRPr="00D84571">
        <w:rPr>
          <w:rFonts w:ascii="Times New Roman" w:hAnsi="Times New Roman" w:cs="Times New Roman"/>
        </w:rPr>
        <w:lastRenderedPageBreak/>
        <w:t>salvo imposição legal;</w:t>
      </w:r>
    </w:p>
    <w:p w14:paraId="4E1FF464" w14:textId="77777777" w:rsidR="00B307DB" w:rsidRPr="00D84571" w:rsidRDefault="00B307DB" w:rsidP="00B307DB">
      <w:pPr>
        <w:pStyle w:val="PargrafodaLista"/>
        <w:widowControl w:val="0"/>
        <w:tabs>
          <w:tab w:val="left" w:pos="426"/>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Os atos serão preferencialmente digitais, de forma a permitir que sejam produzidos, comunicados, armazenados e validados por meio eletrônico;</w:t>
      </w:r>
    </w:p>
    <w:p w14:paraId="3AEF723A" w14:textId="77777777" w:rsidR="00B307DB" w:rsidRPr="00D84571" w:rsidRDefault="00B307DB" w:rsidP="00B307DB">
      <w:pPr>
        <w:pStyle w:val="PargrafodaLista"/>
        <w:widowControl w:val="0"/>
        <w:tabs>
          <w:tab w:val="left" w:pos="426"/>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9A1E2C">
        <w:rPr>
          <w:rFonts w:ascii="Times New Roman" w:hAnsi="Times New Roman" w:cs="Times New Roman"/>
          <w:b/>
        </w:rPr>
        <w:t>VII -</w:t>
      </w:r>
      <w:r>
        <w:rPr>
          <w:rFonts w:ascii="Times New Roman" w:hAnsi="Times New Roman" w:cs="Times New Roman"/>
        </w:rPr>
        <w:t xml:space="preserve"> </w:t>
      </w:r>
      <w:r w:rsidRPr="00D84571">
        <w:rPr>
          <w:rFonts w:ascii="Times New Roman" w:hAnsi="Times New Roman" w:cs="Times New Roman"/>
        </w:rPr>
        <w:t>É permitida a identificação e assinatura digital por pessoa física ou jurídica em meio eletrônico, mediante certificado digital emitido em âmbito da Infraestrutura de Chaves Públicas Brasileira (ICP-Brasil).</w:t>
      </w:r>
    </w:p>
    <w:p w14:paraId="0EFDE301"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CFA5F3A" w14:textId="77777777" w:rsidR="00B307DB" w:rsidRPr="00D84571" w:rsidRDefault="00B307DB" w:rsidP="00B307DB">
      <w:pPr>
        <w:pStyle w:val="Ttulo1"/>
        <w:shd w:val="clear" w:color="auto" w:fill="BFBFBF" w:themeFill="background1" w:themeFillShade="BF"/>
        <w:tabs>
          <w:tab w:val="left" w:pos="6048"/>
        </w:tabs>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11 FASES DE PROPOSTA E HABILITAÇÃO</w:t>
      </w:r>
      <w:r>
        <w:rPr>
          <w:rFonts w:ascii="Times New Roman" w:hAnsi="Times New Roman" w:cs="Times New Roman"/>
          <w:sz w:val="22"/>
          <w:szCs w:val="22"/>
        </w:rPr>
        <w:tab/>
      </w:r>
    </w:p>
    <w:p w14:paraId="6C2400F2" w14:textId="77777777" w:rsidR="00B307DB" w:rsidRPr="00C0302D" w:rsidRDefault="00B307DB" w:rsidP="00B307DB">
      <w:pPr>
        <w:tabs>
          <w:tab w:val="left" w:pos="567"/>
        </w:tabs>
        <w:spacing w:after="0" w:line="240" w:lineRule="auto"/>
        <w:ind w:right="-568"/>
        <w:jc w:val="both"/>
        <w:rPr>
          <w:rFonts w:ascii="Times New Roman" w:hAnsi="Times New Roman" w:cs="Times New Roman"/>
          <w:iCs/>
        </w:rPr>
      </w:pPr>
      <w:r w:rsidRPr="00C0302D">
        <w:rPr>
          <w:rFonts w:ascii="Times New Roman" w:hAnsi="Times New Roman" w:cs="Times New Roman"/>
          <w:b/>
          <w:iCs/>
        </w:rPr>
        <w:t>11.1</w:t>
      </w:r>
      <w:r>
        <w:rPr>
          <w:rFonts w:ascii="Times New Roman" w:hAnsi="Times New Roman" w:cs="Times New Roman"/>
          <w:iCs/>
        </w:rPr>
        <w:t xml:space="preserve"> </w:t>
      </w:r>
      <w:r w:rsidRPr="00C0302D">
        <w:rPr>
          <w:rFonts w:ascii="Times New Roman" w:hAnsi="Times New Roman" w:cs="Times New Roman"/>
          <w:iCs/>
        </w:rPr>
        <w:t>Para este certame, a sequência das fases será (</w:t>
      </w:r>
      <w:hyperlink r:id="rId80" w:anchor="art17" w:history="1">
        <w:r w:rsidRPr="00C0302D">
          <w:rPr>
            <w:rStyle w:val="Hyperlink"/>
            <w:rFonts w:ascii="Times New Roman" w:hAnsi="Times New Roman" w:cs="Times New Roman"/>
            <w:iCs/>
          </w:rPr>
          <w:t xml:space="preserve">art. 17, </w:t>
        </w:r>
        <w:r w:rsidRPr="00C0302D">
          <w:rPr>
            <w:rStyle w:val="Hyperlink"/>
            <w:rFonts w:ascii="Times New Roman" w:hAnsi="Times New Roman" w:cs="Times New Roman"/>
            <w:i/>
            <w:iCs/>
          </w:rPr>
          <w:t>caput</w:t>
        </w:r>
        <w:r w:rsidRPr="00C0302D">
          <w:rPr>
            <w:rStyle w:val="Hyperlink"/>
            <w:rFonts w:ascii="Times New Roman" w:hAnsi="Times New Roman" w:cs="Times New Roman"/>
            <w:iCs/>
          </w:rPr>
          <w:t xml:space="preserve"> da Lei nº 14.133/2021</w:t>
        </w:r>
      </w:hyperlink>
      <w:r w:rsidRPr="00C0302D">
        <w:rPr>
          <w:rFonts w:ascii="Times New Roman" w:hAnsi="Times New Roman" w:cs="Times New Roman"/>
          <w:iCs/>
        </w:rPr>
        <w:t>):</w:t>
      </w:r>
    </w:p>
    <w:p w14:paraId="3C452BB1" w14:textId="77777777" w:rsidR="00B307DB" w:rsidRPr="00D84571" w:rsidRDefault="00B307DB" w:rsidP="00B307DB">
      <w:pPr>
        <w:pStyle w:val="PargrafodaLista"/>
        <w:tabs>
          <w:tab w:val="left" w:pos="284"/>
          <w:tab w:val="left" w:pos="851"/>
        </w:tabs>
        <w:spacing w:after="0" w:line="240" w:lineRule="auto"/>
        <w:ind w:left="567" w:right="-568"/>
        <w:contextualSpacing w:val="0"/>
        <w:jc w:val="both"/>
        <w:rPr>
          <w:rFonts w:ascii="Times New Roman" w:hAnsi="Times New Roman" w:cs="Times New Roman"/>
          <w:iCs/>
        </w:rPr>
      </w:pPr>
      <w:r>
        <w:rPr>
          <w:rFonts w:ascii="Times New Roman" w:hAnsi="Times New Roman" w:cs="Times New Roman"/>
          <w:iCs/>
        </w:rPr>
        <w:t xml:space="preserve">1º </w:t>
      </w:r>
      <w:r w:rsidRPr="00D84571">
        <w:rPr>
          <w:rFonts w:ascii="Times New Roman" w:hAnsi="Times New Roman" w:cs="Times New Roman"/>
          <w:iCs/>
        </w:rPr>
        <w:t>PROPOSTA;</w:t>
      </w:r>
    </w:p>
    <w:p w14:paraId="44A9EECE" w14:textId="77777777" w:rsidR="00B307DB" w:rsidRPr="00D84571" w:rsidRDefault="00B307DB" w:rsidP="00B307DB">
      <w:pPr>
        <w:pStyle w:val="PargrafodaLista"/>
        <w:tabs>
          <w:tab w:val="left" w:pos="284"/>
          <w:tab w:val="left" w:pos="851"/>
        </w:tabs>
        <w:spacing w:after="0" w:line="240" w:lineRule="auto"/>
        <w:ind w:left="567" w:right="-568"/>
        <w:contextualSpacing w:val="0"/>
        <w:jc w:val="both"/>
        <w:rPr>
          <w:rFonts w:ascii="Times New Roman" w:hAnsi="Times New Roman" w:cs="Times New Roman"/>
          <w:iCs/>
        </w:rPr>
      </w:pPr>
      <w:r>
        <w:rPr>
          <w:rFonts w:ascii="Times New Roman" w:hAnsi="Times New Roman" w:cs="Times New Roman"/>
          <w:iCs/>
        </w:rPr>
        <w:t xml:space="preserve">2º </w:t>
      </w:r>
      <w:r w:rsidRPr="00D84571">
        <w:rPr>
          <w:rFonts w:ascii="Times New Roman" w:hAnsi="Times New Roman" w:cs="Times New Roman"/>
          <w:iCs/>
        </w:rPr>
        <w:t>HABILITAÇÃO.</w:t>
      </w:r>
    </w:p>
    <w:p w14:paraId="463B35F1"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11.2</w:t>
      </w:r>
      <w:r w:rsidRPr="00D84571">
        <w:rPr>
          <w:rFonts w:ascii="Times New Roman" w:hAnsi="Times New Roman" w:cs="Times New Roman"/>
          <w:iCs/>
        </w:rPr>
        <w:t xml:space="preserve"> A fase RECURSAL será única (</w:t>
      </w:r>
      <w:hyperlink r:id="rId81" w:anchor="art165%C2%A71ii" w:history="1">
        <w:r w:rsidRPr="00D84571">
          <w:rPr>
            <w:rStyle w:val="Hyperlink"/>
            <w:rFonts w:ascii="Times New Roman" w:hAnsi="Times New Roman" w:cs="Times New Roman"/>
            <w:iCs/>
          </w:rPr>
          <w:t>art. 165, § 1º, II da Lei nº 14.133/2021</w:t>
        </w:r>
      </w:hyperlink>
      <w:r w:rsidRPr="00D84571">
        <w:rPr>
          <w:rFonts w:ascii="Times New Roman" w:hAnsi="Times New Roman" w:cs="Times New Roman"/>
          <w:iCs/>
        </w:rPr>
        <w:t>).</w:t>
      </w:r>
    </w:p>
    <w:p w14:paraId="689147F9"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8830B1A"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12 CRITÉRIO DE JULGAMENTO E MODO DE DISPUTA</w:t>
      </w:r>
    </w:p>
    <w:p w14:paraId="464DB0A6" w14:textId="77777777" w:rsidR="00B307DB" w:rsidRDefault="00B307DB" w:rsidP="00B307DB">
      <w:pPr>
        <w:shd w:val="clear" w:color="auto" w:fill="D9D9D9" w:themeFill="background1" w:themeFillShade="D9"/>
        <w:tabs>
          <w:tab w:val="left" w:pos="567"/>
        </w:tabs>
        <w:spacing w:after="0" w:line="240" w:lineRule="auto"/>
        <w:ind w:right="-568"/>
        <w:jc w:val="both"/>
        <w:rPr>
          <w:rFonts w:ascii="Times New Roman" w:hAnsi="Times New Roman" w:cs="Times New Roman"/>
          <w:b/>
          <w:iCs/>
          <w:color w:val="000000" w:themeColor="text1"/>
        </w:rPr>
      </w:pPr>
      <w:r>
        <w:rPr>
          <w:rFonts w:ascii="Times New Roman" w:hAnsi="Times New Roman" w:cs="Times New Roman"/>
          <w:b/>
          <w:iCs/>
          <w:color w:val="000000" w:themeColor="text1"/>
        </w:rPr>
        <w:t xml:space="preserve">12.1 </w:t>
      </w:r>
      <w:r w:rsidRPr="002B6437">
        <w:rPr>
          <w:rFonts w:ascii="Times New Roman" w:hAnsi="Times New Roman" w:cs="Times New Roman"/>
          <w:iCs/>
          <w:color w:val="000000" w:themeColor="text1"/>
        </w:rPr>
        <w:t>CRITÉRIO DE JULGAMENTO: MENOR PREÇO</w:t>
      </w:r>
      <w:r>
        <w:rPr>
          <w:rFonts w:ascii="Times New Roman" w:hAnsi="Times New Roman" w:cs="Times New Roman"/>
          <w:iCs/>
          <w:color w:val="000000" w:themeColor="text1"/>
        </w:rPr>
        <w:t xml:space="preserve"> POR LOTE</w:t>
      </w:r>
    </w:p>
    <w:p w14:paraId="2D7E9FBB" w14:textId="77777777" w:rsidR="00B307DB" w:rsidRPr="00C0302D" w:rsidRDefault="00B307DB" w:rsidP="00B307DB">
      <w:pPr>
        <w:tabs>
          <w:tab w:val="left" w:pos="567"/>
        </w:tabs>
        <w:spacing w:after="0" w:line="240" w:lineRule="auto"/>
        <w:ind w:right="-568"/>
        <w:jc w:val="both"/>
        <w:rPr>
          <w:rFonts w:ascii="Times New Roman" w:hAnsi="Times New Roman" w:cs="Times New Roman"/>
          <w:iCs/>
        </w:rPr>
      </w:pPr>
      <w:r w:rsidRPr="00C0302D">
        <w:rPr>
          <w:rFonts w:ascii="Times New Roman" w:hAnsi="Times New Roman" w:cs="Times New Roman"/>
          <w:b/>
          <w:iCs/>
        </w:rPr>
        <w:t>12.1.1</w:t>
      </w:r>
      <w:r>
        <w:rPr>
          <w:rFonts w:ascii="Times New Roman" w:hAnsi="Times New Roman" w:cs="Times New Roman"/>
          <w:iCs/>
        </w:rPr>
        <w:t xml:space="preserve"> </w:t>
      </w:r>
      <w:r w:rsidRPr="00C0302D">
        <w:rPr>
          <w:rFonts w:ascii="Times New Roman" w:hAnsi="Times New Roman" w:cs="Times New Roman"/>
          <w:iCs/>
        </w:rPr>
        <w:t>Para elaboração e apresentação das propostas o licitante deve:</w:t>
      </w:r>
    </w:p>
    <w:p w14:paraId="6DC29116" w14:textId="77777777" w:rsidR="00B307DB" w:rsidRPr="00D84571" w:rsidRDefault="00B307DB" w:rsidP="00B307DB">
      <w:pPr>
        <w:pStyle w:val="PargrafodaLista"/>
        <w:widowControl w:val="0"/>
        <w:tabs>
          <w:tab w:val="left" w:pos="284"/>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Levar em consideração o disposto neste edital e em seus anexos;</w:t>
      </w:r>
    </w:p>
    <w:p w14:paraId="5C44F61F"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Não ofertar proposta com valor superior ao indicado neste edital;</w:t>
      </w:r>
    </w:p>
    <w:p w14:paraId="5CA2EA49" w14:textId="77777777" w:rsidR="00B307DB" w:rsidRPr="00D84571" w:rsidRDefault="00B307DB" w:rsidP="00B307DB">
      <w:pPr>
        <w:pStyle w:val="PargrafodaLista"/>
        <w:widowControl w:val="0"/>
        <w:tabs>
          <w:tab w:val="left" w:pos="142"/>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Apresentar declaração 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82"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7102E95A" w14:textId="77777777" w:rsidR="00B307DB" w:rsidRPr="00D84571" w:rsidRDefault="00B307DB" w:rsidP="00B307DB">
      <w:pPr>
        <w:pStyle w:val="PargrafodaLista"/>
        <w:widowControl w:val="0"/>
        <w:tabs>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Encaminhar proposta na plataforma indicada no preâmbulo;</w:t>
      </w:r>
    </w:p>
    <w:p w14:paraId="17BF250C"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4C0197">
        <w:rPr>
          <w:rFonts w:ascii="Times New Roman" w:hAnsi="Times New Roman" w:cs="Times New Roman"/>
          <w:b/>
          <w:iCs/>
        </w:rPr>
        <w:t>V -</w:t>
      </w:r>
      <w:r>
        <w:rPr>
          <w:rFonts w:ascii="Times New Roman" w:hAnsi="Times New Roman" w:cs="Times New Roman"/>
          <w:iCs/>
        </w:rPr>
        <w:t xml:space="preserve"> </w:t>
      </w:r>
      <w:r w:rsidRPr="00D84571">
        <w:rPr>
          <w:rFonts w:ascii="Times New Roman" w:hAnsi="Times New Roman" w:cs="Times New Roman"/>
          <w:iCs/>
        </w:rPr>
        <w:t>A proposta deverá ter validade mínima de 60 (sessenta) dias, contados da data da abertura da sessão, sendo que decorrido o prazo de validade da proposta sem convocação para contratação, ficará o licitante liberado do compromisso assumido.</w:t>
      </w:r>
    </w:p>
    <w:p w14:paraId="1AFD00DF"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w:t>
      </w:r>
      <w:r w:rsidRPr="00D84571">
        <w:rPr>
          <w:rFonts w:ascii="Times New Roman" w:hAnsi="Times New Roman" w:cs="Times New Roman"/>
          <w:iCs/>
        </w:rPr>
        <w:t xml:space="preserve"> O conteúdo das propostas é sigiloso até a abertura da sessão pública (</w:t>
      </w:r>
      <w:hyperlink r:id="rId83" w:anchor="art13i" w:history="1">
        <w:r w:rsidRPr="00D84571">
          <w:rPr>
            <w:rStyle w:val="Hyperlink"/>
            <w:rFonts w:ascii="Times New Roman" w:hAnsi="Times New Roman" w:cs="Times New Roman"/>
            <w:iCs/>
          </w:rPr>
          <w:t>art. 13, I da Lei nº 14.133/2021</w:t>
        </w:r>
      </w:hyperlink>
      <w:r w:rsidRPr="00D84571">
        <w:rPr>
          <w:rFonts w:ascii="Times New Roman" w:hAnsi="Times New Roman" w:cs="Times New Roman"/>
          <w:iCs/>
        </w:rPr>
        <w:t xml:space="preserve">), sob pena de incursão no </w:t>
      </w:r>
      <w:hyperlink r:id="rId84" w:anchor="art337j" w:history="1">
        <w:r w:rsidRPr="00D84571">
          <w:rPr>
            <w:rStyle w:val="Hyperlink"/>
            <w:rFonts w:ascii="Times New Roman" w:hAnsi="Times New Roman" w:cs="Times New Roman"/>
            <w:iCs/>
          </w:rPr>
          <w:t>art. 337-J do Código Penal</w:t>
        </w:r>
      </w:hyperlink>
      <w:r w:rsidRPr="00D84571">
        <w:rPr>
          <w:rStyle w:val="Refdenotaderodap"/>
          <w:rFonts w:ascii="Times New Roman" w:hAnsi="Times New Roman" w:cs="Times New Roman"/>
          <w:iCs/>
        </w:rPr>
        <w:footnoteReference w:id="2"/>
      </w:r>
      <w:r w:rsidRPr="00D84571">
        <w:rPr>
          <w:rFonts w:ascii="Times New Roman" w:hAnsi="Times New Roman" w:cs="Times New Roman"/>
          <w:iCs/>
        </w:rPr>
        <w:t>.</w:t>
      </w:r>
    </w:p>
    <w:p w14:paraId="771737BC"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12.2.1</w:t>
      </w:r>
      <w:r w:rsidRPr="00D84571">
        <w:rPr>
          <w:rFonts w:ascii="Times New Roman" w:hAnsi="Times New Roman" w:cs="Times New Roman"/>
          <w:iCs/>
        </w:rPr>
        <w:t xml:space="preserve"> Durante a sessão pública, a comunicação entre o pregoeiro e os licitantes ocorrerá exclusivamente mediante troca de mensagens, em campo próprio do sistema eletrônico.</w:t>
      </w:r>
    </w:p>
    <w:p w14:paraId="50C22780"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12.2.2</w:t>
      </w:r>
      <w:r w:rsidRPr="00D84571">
        <w:rPr>
          <w:rFonts w:ascii="Times New Roman" w:hAnsi="Times New Roman" w:cs="Times New Roman"/>
          <w:iCs/>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43722B3F" w14:textId="77777777" w:rsidR="00B307DB" w:rsidRPr="00D84571" w:rsidRDefault="00B307DB" w:rsidP="00B307DB">
      <w:pPr>
        <w:tabs>
          <w:tab w:val="left" w:pos="567"/>
        </w:tabs>
        <w:spacing w:after="0" w:line="240" w:lineRule="auto"/>
        <w:jc w:val="both"/>
        <w:rPr>
          <w:rFonts w:ascii="Times New Roman" w:hAnsi="Times New Roman" w:cs="Times New Roman"/>
          <w:iCs/>
        </w:rPr>
      </w:pPr>
      <w:r w:rsidRPr="00D84571">
        <w:rPr>
          <w:rFonts w:ascii="Times New Roman" w:hAnsi="Times New Roman" w:cs="Times New Roman"/>
          <w:b/>
          <w:iCs/>
        </w:rPr>
        <w:t>12.2.3</w:t>
      </w:r>
      <w:r w:rsidRPr="00D84571">
        <w:rPr>
          <w:rFonts w:ascii="Times New Roman" w:hAnsi="Times New Roman" w:cs="Times New Roman"/>
          <w:iCs/>
        </w:rPr>
        <w:t xml:space="preserve"> No caso de a desconexão do </w:t>
      </w:r>
      <w:r w:rsidRPr="00D84571">
        <w:rPr>
          <w:rFonts w:ascii="Times New Roman" w:hAnsi="Times New Roman" w:cs="Times New Roman"/>
          <w:b/>
          <w:iCs/>
        </w:rPr>
        <w:t>pregoeiro</w:t>
      </w:r>
      <w:r w:rsidRPr="00D84571">
        <w:rPr>
          <w:rFonts w:ascii="Times New Roman" w:hAnsi="Times New Roman" w:cs="Times New Roman"/>
          <w:iCs/>
        </w:rPr>
        <w:t xml:space="preserve"> persistir por tempo superior a 10 (dez) minutos, a sessão será suspensa automaticamente e terá reinício somente após comunicação expressa aos participantes no sítio </w:t>
      </w:r>
      <w:hyperlink r:id="rId85" w:history="1">
        <w:r w:rsidRPr="00D84571">
          <w:rPr>
            <w:rStyle w:val="Hyperlink"/>
            <w:rFonts w:ascii="Times New Roman" w:hAnsi="Times New Roman" w:cs="Times New Roman"/>
            <w:iCs/>
          </w:rPr>
          <w:t>https://www.portaldecompraspublicas.com.br/</w:t>
        </w:r>
      </w:hyperlink>
      <w:r w:rsidRPr="00D84571">
        <w:rPr>
          <w:rFonts w:ascii="Times New Roman" w:hAnsi="Times New Roman" w:cs="Times New Roman"/>
          <w:iCs/>
        </w:rPr>
        <w:t>.</w:t>
      </w:r>
    </w:p>
    <w:p w14:paraId="0DF1F03F" w14:textId="77777777" w:rsidR="00B307DB" w:rsidRPr="00C0302D" w:rsidRDefault="00B307DB" w:rsidP="00B307DB">
      <w:pPr>
        <w:tabs>
          <w:tab w:val="left" w:pos="567"/>
        </w:tabs>
        <w:spacing w:after="0" w:line="240" w:lineRule="auto"/>
        <w:ind w:right="-568"/>
        <w:jc w:val="both"/>
        <w:rPr>
          <w:rFonts w:ascii="Times New Roman" w:hAnsi="Times New Roman" w:cs="Times New Roman"/>
          <w:iCs/>
        </w:rPr>
      </w:pPr>
      <w:r w:rsidRPr="00C0302D">
        <w:rPr>
          <w:rFonts w:ascii="Times New Roman" w:hAnsi="Times New Roman" w:cs="Times New Roman"/>
          <w:b/>
          <w:iCs/>
        </w:rPr>
        <w:t>12.3</w:t>
      </w:r>
      <w:r>
        <w:rPr>
          <w:rFonts w:ascii="Times New Roman" w:hAnsi="Times New Roman" w:cs="Times New Roman"/>
          <w:iCs/>
        </w:rPr>
        <w:t xml:space="preserve"> </w:t>
      </w:r>
      <w:r w:rsidRPr="00C0302D">
        <w:rPr>
          <w:rFonts w:ascii="Times New Roman" w:hAnsi="Times New Roman" w:cs="Times New Roman"/>
          <w:iCs/>
        </w:rPr>
        <w:t>Quanto aos lances:</w:t>
      </w:r>
    </w:p>
    <w:p w14:paraId="159A6AFE" w14:textId="77777777" w:rsidR="00B307DB" w:rsidRPr="00D84571" w:rsidRDefault="00B307DB" w:rsidP="00B307DB">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4C0197">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 xml:space="preserve">Os licitantes poderão encaminhar lances públicos e sucessivos, decrescentes, sendo que os lances deverão ser </w:t>
      </w:r>
      <w:r w:rsidRPr="00D84571">
        <w:rPr>
          <w:rFonts w:ascii="Times New Roman" w:hAnsi="Times New Roman" w:cs="Times New Roman"/>
        </w:rPr>
        <w:t>inferiores ao último ofertado por ele próprio, que incidirá tanto em relação aos lances intermediários (iguais ou superiores ao menor já ofertado) quanto em relação à proposta que cobrir a melhor oferta;</w:t>
      </w:r>
    </w:p>
    <w:p w14:paraId="60075E66" w14:textId="77777777" w:rsidR="00B307DB" w:rsidRPr="00D84571" w:rsidRDefault="00B307DB" w:rsidP="00B307DB">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4C0197">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Após a definição da melhor proposta, se a diferença em relação à proposta classificada em segundo lugar for de pelo menos 5% (cinco por cento), o pregoeiro poderá admitir o reinício da disputa.</w:t>
      </w:r>
    </w:p>
    <w:p w14:paraId="15BD5DE0" w14:textId="79DF76FE" w:rsidR="00B307DB" w:rsidRPr="00827BA6" w:rsidRDefault="00827BA6" w:rsidP="00827BA6">
      <w:pPr>
        <w:shd w:val="clear" w:color="auto" w:fill="D9D9D9" w:themeFill="background1" w:themeFillShade="D9"/>
        <w:tabs>
          <w:tab w:val="left" w:pos="426"/>
        </w:tabs>
        <w:spacing w:after="0" w:line="240" w:lineRule="auto"/>
        <w:ind w:right="-568"/>
        <w:jc w:val="both"/>
        <w:rPr>
          <w:rFonts w:ascii="Times New Roman" w:hAnsi="Times New Roman" w:cs="Times New Roman"/>
        </w:rPr>
      </w:pPr>
      <w:r>
        <w:rPr>
          <w:rFonts w:ascii="Times New Roman" w:hAnsi="Times New Roman" w:cs="Times New Roman"/>
          <w:b/>
        </w:rPr>
        <w:t xml:space="preserve">12.4 </w:t>
      </w:r>
      <w:r w:rsidR="00B307DB" w:rsidRPr="00827BA6">
        <w:rPr>
          <w:rFonts w:ascii="Times New Roman" w:hAnsi="Times New Roman" w:cs="Times New Roman"/>
        </w:rPr>
        <w:t>MODO DE DISPUTA: ABERTO</w:t>
      </w:r>
    </w:p>
    <w:p w14:paraId="1CC726A8" w14:textId="77777777" w:rsidR="00B307DB" w:rsidRPr="00D84571" w:rsidRDefault="00B307DB" w:rsidP="00B307DB">
      <w:pPr>
        <w:pStyle w:val="PargrafodaLista"/>
        <w:tabs>
          <w:tab w:val="left" w:pos="284"/>
          <w:tab w:val="left" w:pos="851"/>
        </w:tabs>
        <w:spacing w:after="0" w:line="240" w:lineRule="auto"/>
        <w:ind w:left="567" w:right="-568"/>
        <w:contextualSpacing w:val="0"/>
        <w:jc w:val="both"/>
        <w:rPr>
          <w:rFonts w:ascii="Times New Roman" w:hAnsi="Times New Roman" w:cs="Times New Roman"/>
          <w:b/>
        </w:rPr>
      </w:pPr>
      <w:r>
        <w:rPr>
          <w:rFonts w:ascii="Times New Roman" w:hAnsi="Times New Roman" w:cs="Times New Roman"/>
          <w:b/>
        </w:rPr>
        <w:t xml:space="preserve">I - </w:t>
      </w:r>
      <w:r w:rsidRPr="00D84571">
        <w:rPr>
          <w:rFonts w:ascii="Times New Roman" w:hAnsi="Times New Roman" w:cs="Times New Roman"/>
          <w:b/>
        </w:rPr>
        <w:t>ABERTO:</w:t>
      </w:r>
    </w:p>
    <w:p w14:paraId="1F22AB10" w14:textId="77777777" w:rsidR="00B307DB" w:rsidRPr="00D84571" w:rsidRDefault="00B307DB" w:rsidP="00B307DB">
      <w:pPr>
        <w:pStyle w:val="PargrafodaLista"/>
        <w:tabs>
          <w:tab w:val="left" w:pos="426"/>
          <w:tab w:val="left" w:pos="1560"/>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10 (dez) minutos de lances sucessivos e, após isso, será prorrogada automaticamente pelo sistema quando houver lance ofertado nos últimos 2 (dois) minutos;</w:t>
      </w:r>
    </w:p>
    <w:p w14:paraId="100948DA" w14:textId="77777777" w:rsidR="00B307DB" w:rsidRPr="00D84571" w:rsidRDefault="00B307DB" w:rsidP="00B307DB">
      <w:pPr>
        <w:pStyle w:val="PargrafodaLista"/>
        <w:tabs>
          <w:tab w:val="left" w:pos="426"/>
          <w:tab w:val="left" w:pos="1560"/>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A prorrogação automática será de 2 (dois) minutos e ocorrerá sucessivamente sempre que houver lances enviados nesse período de prorrogação;</w:t>
      </w:r>
    </w:p>
    <w:p w14:paraId="4F3C83F9" w14:textId="77777777" w:rsidR="00B307DB" w:rsidRPr="00D84571" w:rsidRDefault="00B307DB" w:rsidP="00B307DB">
      <w:pPr>
        <w:pStyle w:val="PargrafodaLista"/>
        <w:tabs>
          <w:tab w:val="left" w:pos="426"/>
          <w:tab w:val="left" w:pos="1560"/>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lastRenderedPageBreak/>
        <w:t>c)</w:t>
      </w:r>
      <w:r>
        <w:rPr>
          <w:rFonts w:ascii="Times New Roman" w:hAnsi="Times New Roman" w:cs="Times New Roman"/>
        </w:rPr>
        <w:t xml:space="preserve"> </w:t>
      </w:r>
      <w:r w:rsidRPr="00D84571">
        <w:rPr>
          <w:rFonts w:ascii="Times New Roman" w:hAnsi="Times New Roman" w:cs="Times New Roman"/>
        </w:rPr>
        <w:t>Não havendo novos lances nos últimos 2 (dois) minutos, a sessão pública será encerrada automaticamente;</w:t>
      </w:r>
    </w:p>
    <w:p w14:paraId="5F9FCACF" w14:textId="77777777" w:rsidR="00B307DB" w:rsidRPr="00D84571" w:rsidRDefault="00B307DB" w:rsidP="00B307DB">
      <w:pPr>
        <w:pStyle w:val="PargrafodaLista"/>
        <w:tabs>
          <w:tab w:val="left" w:pos="426"/>
          <w:tab w:val="left" w:pos="1560"/>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Encerrada a etapa de lances, com ou sem prorrogação automática pelo sistema, poderá o pregoeiro, assessorado pela equipe de apoio, justificadamente, admitir o reinício do envio de lances, em prol da consecução do melhor preço;</w:t>
      </w:r>
    </w:p>
    <w:p w14:paraId="103461DC" w14:textId="77777777" w:rsidR="00B307DB" w:rsidRPr="00D84571" w:rsidRDefault="00B307DB" w:rsidP="00B307DB">
      <w:pPr>
        <w:pStyle w:val="PargrafodaLista"/>
        <w:tabs>
          <w:tab w:val="left" w:pos="426"/>
          <w:tab w:val="left" w:pos="1418"/>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449AF5A9" w14:textId="77777777" w:rsidR="00B307DB" w:rsidRPr="00D84571" w:rsidRDefault="00B307DB" w:rsidP="00B307DB">
      <w:pPr>
        <w:pStyle w:val="PargrafodaLista"/>
        <w:tabs>
          <w:tab w:val="left" w:pos="426"/>
          <w:tab w:val="left" w:pos="1418"/>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 xml:space="preserve">Durante o envio de lances, o </w:t>
      </w:r>
      <w:r w:rsidRPr="00D84571">
        <w:rPr>
          <w:rFonts w:ascii="Times New Roman" w:hAnsi="Times New Roman" w:cs="Times New Roman"/>
          <w:b/>
        </w:rPr>
        <w:t>pregoeiro</w:t>
      </w:r>
      <w:r w:rsidRPr="00D84571">
        <w:rPr>
          <w:rFonts w:ascii="Times New Roman" w:hAnsi="Times New Roman" w:cs="Times New Roman"/>
        </w:rPr>
        <w:t xml:space="preserve"> poderá excluir, justificadamente, lance cujo valor seja manifestamente inexequível;</w:t>
      </w:r>
    </w:p>
    <w:p w14:paraId="07CF2BD7" w14:textId="77777777" w:rsidR="00B307DB" w:rsidRPr="00D84571" w:rsidRDefault="00B307DB" w:rsidP="00B307DB">
      <w:pPr>
        <w:pStyle w:val="PargrafodaLista"/>
        <w:tabs>
          <w:tab w:val="left" w:pos="426"/>
          <w:tab w:val="left" w:pos="1418"/>
        </w:tabs>
        <w:spacing w:after="0" w:line="240" w:lineRule="auto"/>
        <w:ind w:left="1134" w:right="-568"/>
        <w:contextualSpacing w:val="0"/>
        <w:jc w:val="both"/>
        <w:rPr>
          <w:rFonts w:ascii="Times New Roman" w:hAnsi="Times New Roman" w:cs="Times New Roman"/>
        </w:rPr>
      </w:pPr>
      <w:r w:rsidRPr="0089278A">
        <w:rPr>
          <w:rFonts w:ascii="Times New Roman" w:hAnsi="Times New Roman" w:cs="Times New Roman"/>
          <w:b/>
        </w:rPr>
        <w:t>g)</w:t>
      </w:r>
      <w:r>
        <w:rPr>
          <w:rFonts w:ascii="Times New Roman" w:hAnsi="Times New Roman" w:cs="Times New Roman"/>
        </w:rPr>
        <w:t xml:space="preserve"> </w:t>
      </w:r>
      <w:r w:rsidRPr="00D84571">
        <w:rPr>
          <w:rFonts w:ascii="Times New Roman" w:hAnsi="Times New Roman" w:cs="Times New Roman"/>
        </w:rPr>
        <w:t xml:space="preserve">Se ocorrer a desconexão do </w:t>
      </w:r>
      <w:r w:rsidRPr="00D84571">
        <w:rPr>
          <w:rFonts w:ascii="Times New Roman" w:hAnsi="Times New Roman" w:cs="Times New Roman"/>
          <w:b/>
        </w:rPr>
        <w:t>pregoeiro</w:t>
      </w:r>
      <w:r w:rsidRPr="00D84571">
        <w:rPr>
          <w:rFonts w:ascii="Times New Roman" w:hAnsi="Times New Roman" w:cs="Times New Roman"/>
        </w:rPr>
        <w:t xml:space="preserve"> no decorrer do envio de lances, mas o sistema eletrônico permanecer acessível aos licitantes, os lances continuarão sendo recebidos, sem prejuízo dos atos realizados.</w:t>
      </w:r>
    </w:p>
    <w:p w14:paraId="31D1899C" w14:textId="77777777" w:rsidR="00B307DB" w:rsidRPr="00D84571" w:rsidRDefault="00B307DB" w:rsidP="00B307DB">
      <w:pPr>
        <w:pStyle w:val="PargrafodaLista"/>
        <w:tabs>
          <w:tab w:val="left" w:pos="1134"/>
        </w:tabs>
        <w:spacing w:after="0" w:line="240" w:lineRule="auto"/>
        <w:ind w:left="567" w:right="-568"/>
        <w:contextualSpacing w:val="0"/>
        <w:jc w:val="both"/>
        <w:rPr>
          <w:rFonts w:ascii="Times New Roman" w:hAnsi="Times New Roman" w:cs="Times New Roman"/>
          <w:b/>
          <w:color w:val="FF0000"/>
        </w:rPr>
      </w:pPr>
    </w:p>
    <w:p w14:paraId="4E98E97B"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13 VERIFICAÇÃO DE IMPEDIMENTOS NO CEIS E CNEP</w:t>
      </w:r>
    </w:p>
    <w:p w14:paraId="5B41FC48" w14:textId="77777777" w:rsidR="00B307DB" w:rsidRPr="00AD6E1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bCs/>
          <w:iCs/>
        </w:rPr>
        <w:t>13.1</w:t>
      </w:r>
      <w:r w:rsidRPr="00D84571">
        <w:rPr>
          <w:rFonts w:ascii="Times New Roman" w:hAnsi="Times New Roman" w:cs="Times New Roman"/>
          <w:bCs/>
          <w:iCs/>
        </w:rPr>
        <w:t xml:space="preserve"> Tão logo o Município tenha conhecimento fornecedor interessado em participar do certame, será verificada a </w:t>
      </w:r>
      <w:r w:rsidRPr="00D84571">
        <w:rPr>
          <w:rFonts w:ascii="Times New Roman" w:hAnsi="Times New Roman" w:cs="Times New Roman"/>
          <w:iCs/>
        </w:rPr>
        <w:t>existência de sanção que impeça a participação no certame ou futura contratação, mediante consulta a</w:t>
      </w:r>
      <w:r w:rsidRPr="00AD6E11">
        <w:rPr>
          <w:rFonts w:ascii="Times New Roman" w:hAnsi="Times New Roman" w:cs="Times New Roman"/>
          <w:iCs/>
        </w:rPr>
        <w:t xml:space="preserve">os seguintes cadastros mantidos pela </w:t>
      </w:r>
      <w:hyperlink r:id="rId86" w:history="1">
        <w:r w:rsidRPr="00AD6E11">
          <w:rPr>
            <w:rStyle w:val="Hyperlink"/>
            <w:rFonts w:ascii="Times New Roman" w:hAnsi="Times New Roman" w:cs="Times New Roman"/>
            <w:iCs/>
          </w:rPr>
          <w:t>Controladoria-Geral da União (CGU)</w:t>
        </w:r>
      </w:hyperlink>
      <w:r w:rsidRPr="00AD6E11">
        <w:rPr>
          <w:rFonts w:ascii="Times New Roman" w:hAnsi="Times New Roman" w:cs="Times New Roman"/>
          <w:iCs/>
        </w:rPr>
        <w:t>:</w:t>
      </w:r>
    </w:p>
    <w:p w14:paraId="0D7845E1" w14:textId="77777777" w:rsidR="00B307DB" w:rsidRPr="00AD6E11" w:rsidRDefault="00B307DB" w:rsidP="00B307DB">
      <w:pPr>
        <w:pStyle w:val="PargrafodaLista"/>
        <w:tabs>
          <w:tab w:val="left" w:pos="426"/>
          <w:tab w:val="left" w:pos="1418"/>
        </w:tabs>
        <w:spacing w:after="0" w:line="240" w:lineRule="auto"/>
        <w:ind w:left="1134" w:right="-568"/>
        <w:contextualSpacing w:val="0"/>
        <w:jc w:val="both"/>
        <w:rPr>
          <w:rFonts w:ascii="Times New Roman" w:hAnsi="Times New Roman" w:cs="Times New Roman"/>
          <w:iCs/>
        </w:rPr>
      </w:pPr>
      <w:r w:rsidRPr="00AD6E11">
        <w:rPr>
          <w:rFonts w:ascii="Times New Roman" w:hAnsi="Times New Roman" w:cs="Times New Roman"/>
          <w:b/>
        </w:rPr>
        <w:t>a)</w:t>
      </w:r>
      <w:r w:rsidRPr="00AD6E11">
        <w:rPr>
          <w:rFonts w:ascii="Times New Roman" w:hAnsi="Times New Roman" w:cs="Times New Roman"/>
        </w:rPr>
        <w:t xml:space="preserve"> </w:t>
      </w:r>
      <w:hyperlink r:id="rId87" w:history="1">
        <w:r w:rsidRPr="00AD6E11">
          <w:rPr>
            <w:rStyle w:val="Hyperlink"/>
            <w:rFonts w:ascii="Times New Roman" w:hAnsi="Times New Roman" w:cs="Times New Roman"/>
            <w:iCs/>
          </w:rPr>
          <w:t>Cadastro Nacional de Empresas Inidôneas e Suspensas (CEIS)</w:t>
        </w:r>
      </w:hyperlink>
      <w:r w:rsidRPr="00AD6E11">
        <w:rPr>
          <w:rFonts w:ascii="Times New Roman" w:hAnsi="Times New Roman" w:cs="Times New Roman"/>
          <w:iCs/>
        </w:rPr>
        <w:t>;</w:t>
      </w:r>
    </w:p>
    <w:p w14:paraId="5A1D758B" w14:textId="77777777" w:rsidR="00B307DB" w:rsidRPr="00AD6E11" w:rsidRDefault="00B307DB" w:rsidP="00B307DB">
      <w:pPr>
        <w:pStyle w:val="PargrafodaLista"/>
        <w:tabs>
          <w:tab w:val="left" w:pos="426"/>
          <w:tab w:val="left" w:pos="1418"/>
        </w:tabs>
        <w:spacing w:after="0" w:line="240" w:lineRule="auto"/>
        <w:ind w:left="1134" w:right="-568"/>
        <w:contextualSpacing w:val="0"/>
        <w:jc w:val="both"/>
        <w:rPr>
          <w:rFonts w:ascii="Times New Roman" w:hAnsi="Times New Roman" w:cs="Times New Roman"/>
          <w:iCs/>
        </w:rPr>
      </w:pPr>
      <w:r w:rsidRPr="00AD6E11">
        <w:rPr>
          <w:rFonts w:ascii="Times New Roman" w:hAnsi="Times New Roman" w:cs="Times New Roman"/>
          <w:b/>
        </w:rPr>
        <w:t>b)</w:t>
      </w:r>
      <w:r w:rsidRPr="00AD6E11">
        <w:rPr>
          <w:rFonts w:ascii="Times New Roman" w:hAnsi="Times New Roman" w:cs="Times New Roman"/>
        </w:rPr>
        <w:t xml:space="preserve"> </w:t>
      </w:r>
      <w:hyperlink r:id="rId88" w:history="1">
        <w:r w:rsidRPr="00AD6E11">
          <w:rPr>
            <w:rStyle w:val="Hyperlink"/>
            <w:rFonts w:ascii="Times New Roman" w:hAnsi="Times New Roman" w:cs="Times New Roman"/>
            <w:iCs/>
          </w:rPr>
          <w:t>Cadastro Nacional de Empresas Punidas (CNEP)</w:t>
        </w:r>
      </w:hyperlink>
      <w:r w:rsidRPr="00AD6E11">
        <w:rPr>
          <w:rFonts w:ascii="Times New Roman" w:hAnsi="Times New Roman" w:cs="Times New Roman"/>
          <w:iCs/>
        </w:rPr>
        <w:t>.</w:t>
      </w:r>
    </w:p>
    <w:p w14:paraId="3733472A" w14:textId="77777777" w:rsidR="00B307DB" w:rsidRPr="00C0302D" w:rsidRDefault="00B307DB" w:rsidP="00B307DB">
      <w:pPr>
        <w:tabs>
          <w:tab w:val="left" w:pos="567"/>
        </w:tabs>
        <w:spacing w:after="0" w:line="240" w:lineRule="auto"/>
        <w:ind w:right="-568"/>
        <w:jc w:val="both"/>
        <w:rPr>
          <w:rFonts w:ascii="Times New Roman" w:hAnsi="Times New Roman" w:cs="Times New Roman"/>
          <w:iCs/>
        </w:rPr>
      </w:pPr>
      <w:r w:rsidRPr="00C0302D">
        <w:rPr>
          <w:rFonts w:ascii="Times New Roman" w:hAnsi="Times New Roman" w:cs="Times New Roman"/>
          <w:b/>
          <w:iCs/>
        </w:rPr>
        <w:t>13.2</w:t>
      </w:r>
      <w:r>
        <w:rPr>
          <w:rFonts w:ascii="Times New Roman" w:hAnsi="Times New Roman" w:cs="Times New Roman"/>
          <w:iCs/>
        </w:rPr>
        <w:t xml:space="preserve"> </w:t>
      </w:r>
      <w:r w:rsidRPr="00C0302D">
        <w:rPr>
          <w:rFonts w:ascii="Times New Roman" w:hAnsi="Times New Roman" w:cs="Times New Roman"/>
          <w:iCs/>
        </w:rPr>
        <w:t xml:space="preserve">A consulta será feita no seguinte link: </w:t>
      </w:r>
      <w:hyperlink r:id="rId89" w:history="1">
        <w:r w:rsidRPr="00C0302D">
          <w:rPr>
            <w:rStyle w:val="Hyperlink"/>
            <w:rFonts w:ascii="Times New Roman" w:hAnsi="Times New Roman" w:cs="Times New Roman"/>
            <w:iCs/>
          </w:rPr>
          <w:t>https://certidoes.cgu.gov.br/</w:t>
        </w:r>
      </w:hyperlink>
      <w:r w:rsidRPr="00C0302D">
        <w:rPr>
          <w:rFonts w:ascii="Times New Roman" w:hAnsi="Times New Roman" w:cs="Times New Roman"/>
          <w:iCs/>
        </w:rPr>
        <w:t xml:space="preserve"> </w:t>
      </w:r>
    </w:p>
    <w:p w14:paraId="453DDECA"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rPr>
        <w:t>13.3</w:t>
      </w:r>
      <w:r w:rsidRPr="00D84571">
        <w:rPr>
          <w:rFonts w:ascii="Times New Roman" w:hAnsi="Times New Roman" w:cs="Times New Roman"/>
        </w:rPr>
        <w:t xml:space="preserve"> A consulta aos cadastros acima referidos </w:t>
      </w:r>
      <w:r w:rsidRPr="00D84571">
        <w:rPr>
          <w:rFonts w:ascii="Times New Roman" w:hAnsi="Times New Roman" w:cs="Times New Roman"/>
          <w:b/>
        </w:rPr>
        <w:t>será</w:t>
      </w:r>
      <w:r w:rsidRPr="00D84571">
        <w:rPr>
          <w:rFonts w:ascii="Times New Roman" w:hAnsi="Times New Roman" w:cs="Times New Roman"/>
        </w:rPr>
        <w:t xml:space="preserve"> realizada </w:t>
      </w:r>
      <w:r w:rsidRPr="00D84571">
        <w:rPr>
          <w:rFonts w:ascii="Times New Roman" w:hAnsi="Times New Roman" w:cs="Times New Roman"/>
          <w:b/>
        </w:rPr>
        <w:t xml:space="preserve">em nome do fornecedor </w:t>
      </w:r>
      <w:r w:rsidRPr="00D84571">
        <w:rPr>
          <w:rFonts w:ascii="Times New Roman" w:hAnsi="Times New Roman" w:cs="Times New Roman"/>
          <w:b/>
          <w:u w:val="single"/>
        </w:rPr>
        <w:t>e</w:t>
      </w:r>
      <w:r w:rsidRPr="00D84571">
        <w:rPr>
          <w:rFonts w:ascii="Times New Roman" w:hAnsi="Times New Roman" w:cs="Times New Roman"/>
          <w:b/>
        </w:rPr>
        <w:t xml:space="preserve"> também de seu sócio majoritário</w:t>
      </w:r>
      <w:r w:rsidRPr="00D84571">
        <w:rPr>
          <w:rFonts w:ascii="Times New Roman" w:hAnsi="Times New Roman" w:cs="Times New Roman"/>
        </w:rPr>
        <w:t xml:space="preserve">, por força do </w:t>
      </w:r>
      <w:hyperlink r:id="rId90" w:anchor="art12" w:history="1">
        <w:r w:rsidRPr="00D84571">
          <w:rPr>
            <w:rStyle w:val="Hyperlink"/>
            <w:rFonts w:ascii="Times New Roman" w:hAnsi="Times New Roman" w:cs="Times New Roman"/>
          </w:rPr>
          <w:t>art. 12 da Lei nº 8.429/1992</w:t>
        </w:r>
      </w:hyperlink>
      <w:r w:rsidRPr="00D84571">
        <w:rPr>
          <w:rFonts w:ascii="Times New Roman" w:hAnsi="Times New Roman" w:cs="Times New Roman"/>
        </w:rPr>
        <w:t xml:space="preserve"> (</w:t>
      </w:r>
      <w:r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D84571">
        <w:rPr>
          <w:rFonts w:ascii="Times New Roman" w:hAnsi="Times New Roman" w:cs="Times New Roman"/>
        </w:rPr>
        <w:t>).</w:t>
      </w:r>
    </w:p>
    <w:p w14:paraId="7198BEA0" w14:textId="77777777" w:rsidR="00B307DB" w:rsidRDefault="00B307DB" w:rsidP="00B307DB">
      <w:pPr>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b/>
        </w:rPr>
        <w:t>13.4</w:t>
      </w:r>
      <w:r w:rsidRPr="00D84571">
        <w:rPr>
          <w:rFonts w:ascii="Times New Roman" w:hAnsi="Times New Roman" w:cs="Times New Roman"/>
        </w:rPr>
        <w:t xml:space="preserve"> A verificação visa coibir o disposto no </w:t>
      </w:r>
      <w:hyperlink r:id="rId91" w:anchor="art337m" w:history="1">
        <w:r w:rsidRPr="00D84571">
          <w:rPr>
            <w:rStyle w:val="Hyperlink"/>
            <w:rFonts w:ascii="Times New Roman" w:hAnsi="Times New Roman" w:cs="Times New Roman"/>
          </w:rPr>
          <w:t>art. 337-M do Código Penal</w:t>
        </w:r>
      </w:hyperlink>
      <w:r w:rsidRPr="00D84571">
        <w:rPr>
          <w:rFonts w:ascii="Times New Roman" w:hAnsi="Times New Roman" w:cs="Times New Roman"/>
          <w:vertAlign w:val="superscript"/>
        </w:rPr>
        <w:footnoteReference w:id="3"/>
      </w:r>
      <w:r w:rsidRPr="00D84571">
        <w:rPr>
          <w:rFonts w:ascii="Times New Roman" w:hAnsi="Times New Roman" w:cs="Times New Roman"/>
        </w:rPr>
        <w:t>.</w:t>
      </w:r>
    </w:p>
    <w:p w14:paraId="0BD5F8C3"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p>
    <w:p w14:paraId="2AB51567" w14:textId="77777777" w:rsidR="00B307DB" w:rsidRPr="00D84571" w:rsidRDefault="00B307DB" w:rsidP="00B307DB">
      <w:pPr>
        <w:pStyle w:val="Ttulo1"/>
        <w:shd w:val="clear" w:color="auto" w:fill="BFBFBF" w:themeFill="background1" w:themeFillShade="BF"/>
        <w:tabs>
          <w:tab w:val="left" w:pos="7726"/>
        </w:tabs>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14 JULGAMENTO DAS PROPOSTAS</w:t>
      </w:r>
      <w:r>
        <w:rPr>
          <w:rFonts w:ascii="Times New Roman" w:hAnsi="Times New Roman" w:cs="Times New Roman"/>
          <w:sz w:val="22"/>
          <w:szCs w:val="22"/>
        </w:rPr>
        <w:tab/>
      </w:r>
    </w:p>
    <w:p w14:paraId="0002CB9E" w14:textId="77777777" w:rsidR="00B307DB" w:rsidRPr="00D84571" w:rsidRDefault="00B307DB" w:rsidP="00B307DB">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 xml:space="preserve">14.1 </w:t>
      </w:r>
      <w:r w:rsidRPr="00D84571">
        <w:rPr>
          <w:rFonts w:ascii="Times New Roman" w:hAnsi="Times New Roman" w:cs="Times New Roman"/>
          <w:iCs/>
        </w:rPr>
        <w:t>ANÁLISE DE PROPOSTA</w:t>
      </w:r>
    </w:p>
    <w:p w14:paraId="064A0C8C" w14:textId="77777777" w:rsidR="00B307DB" w:rsidRPr="00D00150" w:rsidRDefault="00B307DB" w:rsidP="00B307DB">
      <w:pPr>
        <w:tabs>
          <w:tab w:val="left" w:pos="567"/>
        </w:tabs>
        <w:spacing w:after="0" w:line="240" w:lineRule="auto"/>
        <w:ind w:right="-568"/>
        <w:jc w:val="both"/>
        <w:rPr>
          <w:rFonts w:ascii="Times New Roman" w:hAnsi="Times New Roman" w:cs="Times New Roman"/>
          <w:iCs/>
        </w:rPr>
      </w:pPr>
      <w:r w:rsidRPr="00D00150">
        <w:rPr>
          <w:rFonts w:ascii="Times New Roman" w:hAnsi="Times New Roman" w:cs="Times New Roman"/>
          <w:b/>
          <w:iCs/>
        </w:rPr>
        <w:t>14.1.1</w:t>
      </w:r>
      <w:r>
        <w:rPr>
          <w:rFonts w:ascii="Times New Roman" w:hAnsi="Times New Roman" w:cs="Times New Roman"/>
          <w:iCs/>
        </w:rPr>
        <w:t xml:space="preserve"> </w:t>
      </w:r>
      <w:r w:rsidRPr="00D00150">
        <w:rPr>
          <w:rFonts w:ascii="Times New Roman" w:hAnsi="Times New Roman" w:cs="Times New Roman"/>
          <w:iCs/>
        </w:rPr>
        <w:t>Serão desclassificadas as propostas que (</w:t>
      </w:r>
      <w:hyperlink r:id="rId92" w:anchor="art59" w:history="1">
        <w:r w:rsidRPr="00D00150">
          <w:rPr>
            <w:rStyle w:val="Hyperlink"/>
            <w:rFonts w:ascii="Times New Roman" w:hAnsi="Times New Roman" w:cs="Times New Roman"/>
            <w:iCs/>
          </w:rPr>
          <w:t xml:space="preserve">art. 59, </w:t>
        </w:r>
        <w:r w:rsidRPr="00D00150">
          <w:rPr>
            <w:rStyle w:val="Hyperlink"/>
            <w:rFonts w:ascii="Times New Roman" w:hAnsi="Times New Roman" w:cs="Times New Roman"/>
            <w:i/>
            <w:iCs/>
          </w:rPr>
          <w:t>caput</w:t>
        </w:r>
        <w:r w:rsidRPr="00D00150">
          <w:rPr>
            <w:rStyle w:val="Hyperlink"/>
            <w:rFonts w:ascii="Times New Roman" w:hAnsi="Times New Roman" w:cs="Times New Roman"/>
            <w:iCs/>
          </w:rPr>
          <w:t>, da Lei nº 14.133/2021</w:t>
        </w:r>
      </w:hyperlink>
      <w:r w:rsidRPr="00D00150">
        <w:rPr>
          <w:rFonts w:ascii="Times New Roman" w:hAnsi="Times New Roman" w:cs="Times New Roman"/>
          <w:iCs/>
        </w:rPr>
        <w:t>):</w:t>
      </w:r>
    </w:p>
    <w:p w14:paraId="61D0076A" w14:textId="77777777" w:rsidR="00B307DB" w:rsidRPr="00D84571" w:rsidRDefault="00B307DB" w:rsidP="00B307DB">
      <w:pPr>
        <w:pStyle w:val="PargrafodaLista"/>
        <w:widowControl w:val="0"/>
        <w:tabs>
          <w:tab w:val="left" w:pos="284"/>
          <w:tab w:val="left" w:pos="851"/>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 xml:space="preserve">I - </w:t>
      </w:r>
      <w:r w:rsidRPr="00D84571">
        <w:rPr>
          <w:rFonts w:ascii="Times New Roman" w:hAnsi="Times New Roman" w:cs="Times New Roman"/>
          <w:iCs/>
        </w:rPr>
        <w:t>Contiverem vícios insanáveis;</w:t>
      </w:r>
    </w:p>
    <w:p w14:paraId="04B949CC" w14:textId="77777777" w:rsidR="00B307DB" w:rsidRPr="00D84571" w:rsidRDefault="00B307DB" w:rsidP="00B307DB">
      <w:pPr>
        <w:pStyle w:val="PargrafodaLista"/>
        <w:widowControl w:val="0"/>
        <w:tabs>
          <w:tab w:val="left" w:pos="284"/>
          <w:tab w:val="left" w:pos="426"/>
          <w:tab w:val="left" w:pos="851"/>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Não obedecerem às especificações técnicas pormenorizadas no edital;</w:t>
      </w:r>
    </w:p>
    <w:p w14:paraId="5350BAC6" w14:textId="77777777" w:rsidR="00B307DB" w:rsidRPr="00D84571" w:rsidRDefault="00B307DB" w:rsidP="00B307DB">
      <w:pPr>
        <w:pStyle w:val="PargrafodaLista"/>
        <w:widowControl w:val="0"/>
        <w:tabs>
          <w:tab w:val="left" w:pos="284"/>
          <w:tab w:val="left" w:pos="567"/>
          <w:tab w:val="left" w:pos="851"/>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III -</w:t>
      </w:r>
      <w:r>
        <w:rPr>
          <w:rFonts w:ascii="Times New Roman" w:hAnsi="Times New Roman" w:cs="Times New Roman"/>
          <w:iCs/>
        </w:rPr>
        <w:t xml:space="preserve"> P</w:t>
      </w:r>
      <w:r w:rsidRPr="00D84571">
        <w:rPr>
          <w:rFonts w:ascii="Times New Roman" w:hAnsi="Times New Roman" w:cs="Times New Roman"/>
          <w:iCs/>
        </w:rPr>
        <w:t>ermanecerem acima do orçamento estimado para a contratação;</w:t>
      </w:r>
    </w:p>
    <w:p w14:paraId="5B1A2973" w14:textId="77777777" w:rsidR="00B307DB" w:rsidRPr="00D84571" w:rsidRDefault="00B307DB" w:rsidP="00B307DB">
      <w:pPr>
        <w:pStyle w:val="PargrafodaLista"/>
        <w:widowControl w:val="0"/>
        <w:tabs>
          <w:tab w:val="left" w:pos="284"/>
          <w:tab w:val="left" w:pos="851"/>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Não tiverem sua exequibilidade demonstrada, quando exigido pela Administração Pública Municipal;</w:t>
      </w:r>
    </w:p>
    <w:p w14:paraId="15B513B8" w14:textId="77777777" w:rsidR="00B307DB" w:rsidRPr="00D84571" w:rsidRDefault="00B307DB" w:rsidP="00B307DB">
      <w:pPr>
        <w:pStyle w:val="PargrafodaLista"/>
        <w:widowControl w:val="0"/>
        <w:tabs>
          <w:tab w:val="left" w:pos="284"/>
          <w:tab w:val="left" w:pos="426"/>
          <w:tab w:val="left" w:pos="851"/>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V -</w:t>
      </w:r>
      <w:r>
        <w:rPr>
          <w:rFonts w:ascii="Times New Roman" w:hAnsi="Times New Roman" w:cs="Times New Roman"/>
          <w:iCs/>
        </w:rPr>
        <w:t xml:space="preserve"> </w:t>
      </w:r>
      <w:r w:rsidRPr="00D84571">
        <w:rPr>
          <w:rFonts w:ascii="Times New Roman" w:hAnsi="Times New Roman" w:cs="Times New Roman"/>
          <w:iCs/>
        </w:rPr>
        <w:t>Apresentarem desconformidade com quaisquer outras exigências do edital, desde que insanável;</w:t>
      </w:r>
    </w:p>
    <w:p w14:paraId="5EC245BF" w14:textId="77777777" w:rsidR="00B307DB" w:rsidRPr="00D84571" w:rsidRDefault="00B307DB" w:rsidP="00B307DB">
      <w:pPr>
        <w:pStyle w:val="PargrafodaLista"/>
        <w:widowControl w:val="0"/>
        <w:tabs>
          <w:tab w:val="left" w:pos="284"/>
          <w:tab w:val="left" w:pos="567"/>
          <w:tab w:val="left" w:pos="851"/>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VI -</w:t>
      </w:r>
      <w:r>
        <w:rPr>
          <w:rFonts w:ascii="Times New Roman" w:hAnsi="Times New Roman" w:cs="Times New Roman"/>
          <w:iCs/>
        </w:rPr>
        <w:t xml:space="preserve"> </w:t>
      </w:r>
      <w:r w:rsidRPr="00D84571">
        <w:rPr>
          <w:rFonts w:ascii="Times New Roman" w:hAnsi="Times New Roman" w:cs="Times New Roman"/>
          <w:iCs/>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3" w:anchor="art63%C2%A71" w:history="1">
        <w:r w:rsidRPr="00D84571">
          <w:rPr>
            <w:rStyle w:val="Hyperlink"/>
            <w:rFonts w:ascii="Times New Roman" w:hAnsi="Times New Roman" w:cs="Times New Roman"/>
            <w:iCs/>
          </w:rPr>
          <w:t>art. 63, § 1º da Lei nº 14.133/2021</w:t>
        </w:r>
      </w:hyperlink>
      <w:r w:rsidRPr="00D84571">
        <w:rPr>
          <w:rFonts w:ascii="Times New Roman" w:hAnsi="Times New Roman" w:cs="Times New Roman"/>
          <w:iCs/>
        </w:rPr>
        <w:t>).</w:t>
      </w:r>
    </w:p>
    <w:p w14:paraId="5DFA8A4D" w14:textId="77777777" w:rsidR="00B307DB" w:rsidRPr="00D84571" w:rsidRDefault="00B307DB" w:rsidP="00B307DB">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14.1.2</w:t>
      </w:r>
      <w:r w:rsidRPr="00D84571">
        <w:rPr>
          <w:rFonts w:ascii="Times New Roman" w:hAnsi="Times New Roman" w:cs="Times New Roman"/>
          <w:iCs/>
        </w:rPr>
        <w:t xml:space="preserve"> A verificação da conformidade das propostas poderá ser feita exclusivamente em relação à proposta mais bem classificada (</w:t>
      </w:r>
      <w:hyperlink r:id="rId94" w:anchor="art59%C2%A71" w:history="1">
        <w:r w:rsidRPr="00D84571">
          <w:rPr>
            <w:rStyle w:val="Hyperlink"/>
            <w:rFonts w:ascii="Times New Roman" w:hAnsi="Times New Roman" w:cs="Times New Roman"/>
            <w:iCs/>
          </w:rPr>
          <w:t>art. 59, § 1º da Lei nº 14.133/2021</w:t>
        </w:r>
      </w:hyperlink>
      <w:r w:rsidRPr="00D84571">
        <w:rPr>
          <w:rFonts w:ascii="Times New Roman" w:hAnsi="Times New Roman" w:cs="Times New Roman"/>
          <w:iCs/>
        </w:rPr>
        <w:t>).</w:t>
      </w:r>
      <w:r w:rsidRPr="00D84571">
        <w:rPr>
          <w:rFonts w:ascii="Times New Roman" w:hAnsi="Times New Roman" w:cs="Times New Roman"/>
          <w:iCs/>
          <w:color w:val="FF0000"/>
        </w:rPr>
        <w:t xml:space="preserve"> </w:t>
      </w:r>
    </w:p>
    <w:p w14:paraId="6F98849C" w14:textId="77777777" w:rsidR="00B307DB" w:rsidRPr="00D84571" w:rsidRDefault="00B307DB" w:rsidP="00B307DB">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14.2</w:t>
      </w:r>
      <w:r w:rsidRPr="00D84571">
        <w:rPr>
          <w:rFonts w:ascii="Times New Roman" w:hAnsi="Times New Roman" w:cs="Times New Roman"/>
          <w:iCs/>
        </w:rPr>
        <w:t xml:space="preserve"> EXEQUIBILIDADE:</w:t>
      </w:r>
    </w:p>
    <w:p w14:paraId="4924504E"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14.2.1</w:t>
      </w:r>
      <w:r w:rsidRPr="00D84571">
        <w:rPr>
          <w:rFonts w:ascii="Times New Roman" w:hAnsi="Times New Roman" w:cs="Times New Roman"/>
          <w:iCs/>
        </w:rPr>
        <w:t xml:space="preserve"> O Município </w:t>
      </w:r>
      <w:r w:rsidRPr="00D84571">
        <w:rPr>
          <w:rFonts w:ascii="Times New Roman" w:hAnsi="Times New Roman" w:cs="Times New Roman"/>
          <w:iCs/>
          <w:u w:val="single"/>
        </w:rPr>
        <w:t>poderá</w:t>
      </w:r>
      <w:r w:rsidRPr="00D84571">
        <w:rPr>
          <w:rFonts w:ascii="Times New Roman" w:hAnsi="Times New Roman" w:cs="Times New Roman"/>
          <w:iCs/>
        </w:rPr>
        <w:t xml:space="preserve"> realizar diligências para aferir a exequibilidade das propostas ou exigir dos licitantes que ela seja demonstrada (</w:t>
      </w:r>
      <w:hyperlink r:id="rId95" w:anchor="art59%C2%A72" w:history="1">
        <w:r w:rsidRPr="00D84571">
          <w:rPr>
            <w:rStyle w:val="Hyperlink"/>
            <w:rFonts w:ascii="Times New Roman" w:hAnsi="Times New Roman" w:cs="Times New Roman"/>
            <w:iCs/>
          </w:rPr>
          <w:t>art. 59, § 2º da Lei nº 14.133/2021</w:t>
        </w:r>
      </w:hyperlink>
      <w:r w:rsidRPr="00D84571">
        <w:rPr>
          <w:rFonts w:ascii="Times New Roman" w:hAnsi="Times New Roman" w:cs="Times New Roman"/>
          <w:iCs/>
        </w:rPr>
        <w:t>).</w:t>
      </w:r>
    </w:p>
    <w:p w14:paraId="11298F17" w14:textId="77777777" w:rsidR="00B307DB" w:rsidRPr="00D84571" w:rsidRDefault="00B307DB" w:rsidP="00B307DB">
      <w:pPr>
        <w:tabs>
          <w:tab w:val="left" w:pos="567"/>
        </w:tabs>
        <w:spacing w:after="0" w:line="240" w:lineRule="auto"/>
        <w:ind w:right="-568"/>
        <w:jc w:val="both"/>
        <w:rPr>
          <w:rFonts w:ascii="Times New Roman" w:hAnsi="Times New Roman" w:cs="Times New Roman"/>
          <w:iCs/>
          <w:color w:val="FF0000"/>
        </w:rPr>
      </w:pPr>
      <w:r w:rsidRPr="00D84571">
        <w:rPr>
          <w:rFonts w:ascii="Times New Roman" w:hAnsi="Times New Roman" w:cs="Times New Roman"/>
          <w:b/>
          <w:iCs/>
        </w:rPr>
        <w:t>14.2.2</w:t>
      </w:r>
      <w:r w:rsidRPr="00D84571">
        <w:rPr>
          <w:rFonts w:ascii="Times New Roman" w:hAnsi="Times New Roman" w:cs="Times New Roman"/>
          <w:iCs/>
        </w:rPr>
        <w:t xml:space="preserve"> Serão consideradas inexequíveis as propostas cujos valores forem inferiores a: </w:t>
      </w:r>
      <w:r w:rsidRPr="00D84571">
        <w:rPr>
          <w:rFonts w:ascii="Times New Roman" w:hAnsi="Times New Roman" w:cs="Times New Roman"/>
          <w:b/>
          <w:iCs/>
        </w:rPr>
        <w:t>50%</w:t>
      </w:r>
      <w:r w:rsidRPr="00D84571">
        <w:rPr>
          <w:rFonts w:ascii="Times New Roman" w:hAnsi="Times New Roman" w:cs="Times New Roman"/>
          <w:iCs/>
        </w:rPr>
        <w:t xml:space="preserve"> do valor máximo definido pela Administração Pública Municipal. </w:t>
      </w:r>
    </w:p>
    <w:p w14:paraId="0263152A" w14:textId="77777777" w:rsidR="00B307DB" w:rsidRPr="00D84571" w:rsidRDefault="00B307DB" w:rsidP="00B307DB">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lastRenderedPageBreak/>
        <w:t>14.3</w:t>
      </w:r>
      <w:r w:rsidRPr="00D84571">
        <w:rPr>
          <w:rFonts w:ascii="Times New Roman" w:hAnsi="Times New Roman" w:cs="Times New Roman"/>
          <w:iCs/>
        </w:rPr>
        <w:t xml:space="preserve"> EMPATE: </w:t>
      </w:r>
    </w:p>
    <w:p w14:paraId="2E2F9B64"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14.3.1</w:t>
      </w:r>
      <w:r w:rsidRPr="00D84571">
        <w:rPr>
          <w:rFonts w:ascii="Times New Roman" w:hAnsi="Times New Roman" w:cs="Times New Roman"/>
          <w:iCs/>
        </w:rPr>
        <w:t xml:space="preserve"> Em caso de empate entre duas ou mais propostas, serão utilizados os seguintes critérios de desempate, nesta ordem (</w:t>
      </w:r>
      <w:hyperlink r:id="rId96" w:anchor="art60" w:history="1">
        <w:r w:rsidRPr="00D84571">
          <w:rPr>
            <w:rStyle w:val="Hyperlink"/>
            <w:rFonts w:ascii="Times New Roman" w:hAnsi="Times New Roman" w:cs="Times New Roman"/>
            <w:iCs/>
          </w:rPr>
          <w:t xml:space="preserve">art. 60,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xml:space="preserve"> da Lei nº 14.133/2021</w:t>
        </w:r>
      </w:hyperlink>
      <w:r w:rsidRPr="00D84571">
        <w:rPr>
          <w:rFonts w:ascii="Times New Roman" w:hAnsi="Times New Roman" w:cs="Times New Roman"/>
          <w:iCs/>
        </w:rPr>
        <w:t>):</w:t>
      </w:r>
    </w:p>
    <w:p w14:paraId="73690878" w14:textId="77777777" w:rsidR="00B307DB" w:rsidRPr="00D84571" w:rsidRDefault="00B307DB" w:rsidP="00B307DB">
      <w:pPr>
        <w:pStyle w:val="PargrafodaLista"/>
        <w:widowControl w:val="0"/>
        <w:tabs>
          <w:tab w:val="left" w:pos="284"/>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Disputa final, hipótese em que os licitantes empatados poderão apresentar nova proposta em ato contínuo à classificação;</w:t>
      </w:r>
    </w:p>
    <w:p w14:paraId="1F76DCD4" w14:textId="77777777" w:rsidR="00B307DB" w:rsidRPr="00D84571" w:rsidRDefault="00B307DB" w:rsidP="00B307DB">
      <w:pPr>
        <w:pStyle w:val="PargrafodaLista"/>
        <w:widowControl w:val="0"/>
        <w:tabs>
          <w:tab w:val="left" w:pos="284"/>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7"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w:t>
      </w:r>
    </w:p>
    <w:p w14:paraId="2E0286F6" w14:textId="77777777" w:rsidR="00B307DB" w:rsidRPr="00D84571" w:rsidRDefault="00B307DB" w:rsidP="00B307DB">
      <w:pPr>
        <w:pStyle w:val="PargrafodaLista"/>
        <w:widowControl w:val="0"/>
        <w:tabs>
          <w:tab w:val="left" w:pos="284"/>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Desenvolvimento pelo licitante de ações de equidade entre homens e mulheres no ambiente de trabalho;</w:t>
      </w:r>
    </w:p>
    <w:p w14:paraId="32004BF5" w14:textId="77777777" w:rsidR="00B307DB" w:rsidRDefault="00B307DB" w:rsidP="00B307DB">
      <w:pPr>
        <w:pStyle w:val="PargrafodaLista"/>
        <w:widowControl w:val="0"/>
        <w:tabs>
          <w:tab w:val="left" w:pos="284"/>
          <w:tab w:val="left" w:pos="567"/>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Desenvolvimento pelo licitante de programa de integridade, conforme orientações dos órgãos de controle, quando existir.</w:t>
      </w:r>
    </w:p>
    <w:p w14:paraId="506EBF82" w14:textId="77777777" w:rsidR="00B307DB" w:rsidRPr="00C60854" w:rsidRDefault="00B307DB" w:rsidP="00B307DB">
      <w:pPr>
        <w:pStyle w:val="PargrafodaLista"/>
        <w:widowControl w:val="0"/>
        <w:tabs>
          <w:tab w:val="left" w:pos="284"/>
          <w:tab w:val="left" w:pos="567"/>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V -</w:t>
      </w:r>
      <w:r>
        <w:rPr>
          <w:rFonts w:ascii="Times New Roman" w:hAnsi="Times New Roman" w:cs="Times New Roman"/>
          <w:iCs/>
        </w:rPr>
        <w:t xml:space="preserve"> </w:t>
      </w:r>
      <w:r w:rsidRPr="00C60854">
        <w:rPr>
          <w:rFonts w:ascii="Times New Roman" w:hAnsi="Times New Roman" w:cs="Times New Roman"/>
          <w:iCs/>
        </w:rPr>
        <w:t>Sorteio entre os participantes.</w:t>
      </w:r>
    </w:p>
    <w:p w14:paraId="43B5BF55" w14:textId="77777777" w:rsidR="00B307DB" w:rsidRPr="00D84571" w:rsidRDefault="00B307DB" w:rsidP="00B307DB">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 xml:space="preserve">14.4 </w:t>
      </w:r>
      <w:r w:rsidRPr="00D84571">
        <w:rPr>
          <w:rFonts w:ascii="Times New Roman" w:hAnsi="Times New Roman" w:cs="Times New Roman"/>
          <w:iCs/>
        </w:rPr>
        <w:t xml:space="preserve">DIREITO DE PREFERÊNCIA: </w:t>
      </w:r>
    </w:p>
    <w:p w14:paraId="2E7A094E"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14.4.1</w:t>
      </w:r>
      <w:r w:rsidRPr="00D84571">
        <w:rPr>
          <w:rFonts w:ascii="Times New Roman" w:hAnsi="Times New Roman" w:cs="Times New Roman"/>
          <w:iCs/>
        </w:rPr>
        <w:t xml:space="preserve"> Em igualdade de condições, se não houver desempate, será assegurada preferência, sucessivamente, aos bens e serviços produzidos ou prestados por (</w:t>
      </w:r>
      <w:hyperlink r:id="rId98" w:anchor="art60%C2%A71" w:history="1">
        <w:r w:rsidRPr="00D84571">
          <w:rPr>
            <w:rStyle w:val="Hyperlink"/>
            <w:rFonts w:ascii="Times New Roman" w:hAnsi="Times New Roman" w:cs="Times New Roman"/>
            <w:iCs/>
          </w:rPr>
          <w:t>art. 60, § 1º da Lei nº 14.133/2021</w:t>
        </w:r>
      </w:hyperlink>
      <w:r w:rsidRPr="00D84571">
        <w:rPr>
          <w:rFonts w:ascii="Times New Roman" w:hAnsi="Times New Roman" w:cs="Times New Roman"/>
          <w:iCs/>
        </w:rPr>
        <w:t>):</w:t>
      </w:r>
    </w:p>
    <w:p w14:paraId="1AC3BE9E"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Empresas estabelecidas no território do Estado de Santa Catarina;</w:t>
      </w:r>
    </w:p>
    <w:p w14:paraId="62747F99"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Empresas brasileiras;</w:t>
      </w:r>
    </w:p>
    <w:p w14:paraId="2A50065F" w14:textId="77777777" w:rsidR="00B307DB" w:rsidRPr="00D84571" w:rsidRDefault="00B307DB" w:rsidP="00B307DB">
      <w:pPr>
        <w:pStyle w:val="PargrafodaLista"/>
        <w:widowControl w:val="0"/>
        <w:tabs>
          <w:tab w:val="left" w:pos="426"/>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Empresas que invistam em pesquisa e no desenvolvimento de tecnologia no País;</w:t>
      </w:r>
    </w:p>
    <w:p w14:paraId="5B1132AB" w14:textId="77777777" w:rsidR="00B307DB" w:rsidRPr="00D84571" w:rsidRDefault="00B307DB" w:rsidP="00B307DB">
      <w:pPr>
        <w:pStyle w:val="PargrafodaLista"/>
        <w:widowControl w:val="0"/>
        <w:tabs>
          <w:tab w:val="left" w:pos="426"/>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867534">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Empresas que comprovem a prática de mitigação, nos termos da </w:t>
      </w:r>
      <w:hyperlink r:id="rId99" w:history="1">
        <w:r w:rsidRPr="00D84571">
          <w:rPr>
            <w:rStyle w:val="Hyperlink"/>
            <w:rFonts w:ascii="Times New Roman" w:hAnsi="Times New Roman" w:cs="Times New Roman"/>
            <w:iCs/>
          </w:rPr>
          <w:t>Lei nº 12.187, de 29 de dezembro de 2009</w:t>
        </w:r>
      </w:hyperlink>
      <w:r w:rsidRPr="00D84571">
        <w:rPr>
          <w:rFonts w:ascii="Times New Roman" w:hAnsi="Times New Roman" w:cs="Times New Roman"/>
          <w:iCs/>
        </w:rPr>
        <w:t xml:space="preserve"> (Institui a Política Nacional sobre Mudança do Clima - PNMC e dá outras providências).</w:t>
      </w:r>
    </w:p>
    <w:p w14:paraId="3DD1A0E3"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14.4.2</w:t>
      </w:r>
      <w:r w:rsidRPr="00D84571">
        <w:rPr>
          <w:rFonts w:ascii="Times New Roman" w:hAnsi="Times New Roman" w:cs="Times New Roman"/>
          <w:iCs/>
        </w:rPr>
        <w:t xml:space="preserve"> Ainda, devem ser aplicadas as regras dos </w:t>
      </w:r>
      <w:hyperlink r:id="rId100" w:anchor="art44" w:history="1">
        <w:r w:rsidRPr="00D84571">
          <w:rPr>
            <w:rStyle w:val="Hyperlink"/>
            <w:rFonts w:ascii="Times New Roman" w:hAnsi="Times New Roman" w:cs="Times New Roman"/>
            <w:iCs/>
          </w:rPr>
          <w:t>arts. 44 e 45 da Lei Complementar nº 123/2006</w:t>
        </w:r>
      </w:hyperlink>
      <w:r w:rsidRPr="00D84571">
        <w:rPr>
          <w:rFonts w:ascii="Times New Roman" w:hAnsi="Times New Roman" w:cs="Times New Roman"/>
          <w:iCs/>
        </w:rPr>
        <w:t xml:space="preserve"> (</w:t>
      </w:r>
      <w:hyperlink r:id="rId101" w:anchor="art60%C2%A72" w:history="1">
        <w:r w:rsidRPr="00D84571">
          <w:rPr>
            <w:rStyle w:val="Hyperlink"/>
            <w:rFonts w:ascii="Times New Roman" w:hAnsi="Times New Roman" w:cs="Times New Roman"/>
            <w:iCs/>
          </w:rPr>
          <w:t>art. 60, § 2º da Lei nº 14.133/2021</w:t>
        </w:r>
      </w:hyperlink>
      <w:r w:rsidRPr="00D84571">
        <w:rPr>
          <w:rFonts w:ascii="Times New Roman" w:hAnsi="Times New Roman" w:cs="Times New Roman"/>
          <w:iCs/>
        </w:rPr>
        <w:t xml:space="preserve">): se a proposta mais bem classificada não tiver sido apresentada por licitante apto a usufruir dos benefícios da </w:t>
      </w:r>
      <w:hyperlink r:id="rId102" w:history="1">
        <w:r w:rsidRPr="00D84571">
          <w:rPr>
            <w:rStyle w:val="Hyperlink"/>
            <w:rFonts w:ascii="Times New Roman" w:hAnsi="Times New Roman" w:cs="Times New Roman"/>
            <w:iCs/>
          </w:rPr>
          <w:t>Lei Complementar nº 123/2006</w:t>
        </w:r>
      </w:hyperlink>
      <w:r w:rsidRPr="00D84571">
        <w:rPr>
          <w:rFonts w:ascii="Times New Roman" w:hAnsi="Times New Roman" w:cs="Times New Roman"/>
          <w:iCs/>
        </w:rPr>
        <w:t xml:space="preserve"> e se houver proposta igual ou até 5% (cinco por cento) superior à proposta mais bem classificada, apresentada por licitante que possa usufruir dos benefícios da </w:t>
      </w:r>
      <w:hyperlink r:id="rId103" w:history="1">
        <w:r w:rsidRPr="00D84571">
          <w:rPr>
            <w:rStyle w:val="Hyperlink"/>
            <w:rFonts w:ascii="Times New Roman" w:hAnsi="Times New Roman" w:cs="Times New Roman"/>
            <w:iCs/>
          </w:rPr>
          <w:t>Lei Complementar nº 123/2006</w:t>
        </w:r>
      </w:hyperlink>
      <w:r w:rsidRPr="00D84571">
        <w:rPr>
          <w:rFonts w:ascii="Times New Roman" w:hAnsi="Times New Roman" w:cs="Times New Roman"/>
          <w:iCs/>
        </w:rPr>
        <w:t xml:space="preserve">, se procederá da seguinte forma: </w:t>
      </w:r>
    </w:p>
    <w:p w14:paraId="2E160B58" w14:textId="77777777" w:rsidR="00B307DB" w:rsidRPr="00D84571" w:rsidRDefault="00B307DB" w:rsidP="00B307DB">
      <w:pPr>
        <w:pStyle w:val="PargrafodaLista"/>
        <w:widowControl w:val="0"/>
        <w:tabs>
          <w:tab w:val="left" w:pos="426"/>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7A1B19">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 xml:space="preserve">O licitante coberto pelos </w:t>
      </w:r>
      <w:hyperlink r:id="rId104" w:anchor="art42" w:history="1">
        <w:r w:rsidRPr="00D84571">
          <w:rPr>
            <w:rStyle w:val="Hyperlink"/>
            <w:rFonts w:ascii="Times New Roman" w:hAnsi="Times New Roman" w:cs="Times New Roman"/>
            <w:iCs/>
          </w:rPr>
          <w:t>arts. 42 ao 49 da Lei Complementar nº 123/2006</w:t>
        </w:r>
      </w:hyperlink>
      <w:r w:rsidRPr="00D84571">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1EBDF182" w14:textId="77777777" w:rsidR="00B307DB" w:rsidRPr="00D84571" w:rsidRDefault="00B307DB" w:rsidP="00B307DB">
      <w:pPr>
        <w:pStyle w:val="PargrafodaLista"/>
        <w:widowControl w:val="0"/>
        <w:tabs>
          <w:tab w:val="left" w:pos="426"/>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7A1B19">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77E6C717" w14:textId="77777777" w:rsidR="00B307DB" w:rsidRPr="00D84571" w:rsidRDefault="00B307DB" w:rsidP="00B307DB">
      <w:pPr>
        <w:pStyle w:val="PargrafodaLista"/>
        <w:widowControl w:val="0"/>
        <w:tabs>
          <w:tab w:val="left" w:pos="426"/>
          <w:tab w:val="left" w:pos="1134"/>
        </w:tabs>
        <w:adjustRightInd w:val="0"/>
        <w:spacing w:after="0" w:line="240" w:lineRule="auto"/>
        <w:ind w:left="567" w:right="-568"/>
        <w:contextualSpacing w:val="0"/>
        <w:jc w:val="both"/>
        <w:textAlignment w:val="baseline"/>
        <w:rPr>
          <w:rFonts w:ascii="Times New Roman" w:hAnsi="Times New Roman" w:cs="Times New Roman"/>
          <w:iCs/>
        </w:rPr>
      </w:pPr>
      <w:r w:rsidRPr="007A1B19">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 xml:space="preserve">O convocado que não apresentar proposta dentro do prazo de 5 (cinco) minutos, decairá do direito previsto nos </w:t>
      </w:r>
      <w:hyperlink r:id="rId105" w:anchor="art44" w:history="1">
        <w:r w:rsidRPr="00D84571">
          <w:rPr>
            <w:rStyle w:val="Hyperlink"/>
            <w:rFonts w:ascii="Times New Roman" w:hAnsi="Times New Roman" w:cs="Times New Roman"/>
            <w:iCs/>
          </w:rPr>
          <w:t>arts. 44 e 45 da Lei Complementar nº 123/2006</w:t>
        </w:r>
      </w:hyperlink>
      <w:r w:rsidRPr="00D84571">
        <w:rPr>
          <w:rFonts w:ascii="Times New Roman" w:hAnsi="Times New Roman" w:cs="Times New Roman"/>
          <w:iCs/>
        </w:rPr>
        <w:t xml:space="preserve">. </w:t>
      </w:r>
    </w:p>
    <w:p w14:paraId="6B70A667" w14:textId="77777777" w:rsidR="00B307DB" w:rsidRPr="00D84571" w:rsidRDefault="00B307DB" w:rsidP="00B307DB">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4C0713">
        <w:rPr>
          <w:rFonts w:ascii="Times New Roman" w:hAnsi="Times New Roman" w:cs="Times New Roman"/>
          <w:b/>
          <w:iCs/>
        </w:rPr>
        <w:t>14.5</w:t>
      </w:r>
      <w:r w:rsidRPr="004C0713">
        <w:rPr>
          <w:rFonts w:ascii="Times New Roman" w:hAnsi="Times New Roman" w:cs="Times New Roman"/>
          <w:iCs/>
        </w:rPr>
        <w:t xml:space="preserve"> NEGOCIAÇÃO:</w:t>
      </w:r>
    </w:p>
    <w:p w14:paraId="5BACB0BB"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 xml:space="preserve">14.5.1 </w:t>
      </w:r>
      <w:r w:rsidRPr="00D84571">
        <w:rPr>
          <w:rFonts w:ascii="Times New Roman" w:hAnsi="Times New Roman" w:cs="Times New Roman"/>
          <w:iCs/>
        </w:rPr>
        <w:t>Definido o resultado do julgamento, a Administração Pública Municipal poderá negociar condições mais vantajosas com o primeiro colocado (</w:t>
      </w:r>
      <w:hyperlink r:id="rId106" w:anchor="art61" w:history="1">
        <w:r w:rsidRPr="00D84571">
          <w:rPr>
            <w:rStyle w:val="Hyperlink"/>
            <w:rFonts w:ascii="Times New Roman" w:hAnsi="Times New Roman" w:cs="Times New Roman"/>
            <w:iCs/>
          </w:rPr>
          <w:t xml:space="preserve">art. 61,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xml:space="preserve"> da Lei nº 14.133/2021</w:t>
        </w:r>
      </w:hyperlink>
      <w:r w:rsidRPr="00D84571">
        <w:rPr>
          <w:rFonts w:ascii="Times New Roman" w:hAnsi="Times New Roman" w:cs="Times New Roman"/>
          <w:iCs/>
        </w:rPr>
        <w:t>).</w:t>
      </w:r>
    </w:p>
    <w:p w14:paraId="0B04E4C2"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14.5.2</w:t>
      </w:r>
      <w:r w:rsidRPr="00D84571">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7" w:anchor="art61%C2%A71" w:history="1">
        <w:r w:rsidRPr="00D84571">
          <w:rPr>
            <w:rStyle w:val="Hyperlink"/>
            <w:rFonts w:ascii="Times New Roman" w:hAnsi="Times New Roman" w:cs="Times New Roman"/>
            <w:iCs/>
          </w:rPr>
          <w:t>art. 61, § 1º da Lei nº 14.133/2021</w:t>
        </w:r>
      </w:hyperlink>
      <w:r w:rsidRPr="00D84571">
        <w:rPr>
          <w:rFonts w:ascii="Times New Roman" w:hAnsi="Times New Roman" w:cs="Times New Roman"/>
          <w:iCs/>
        </w:rPr>
        <w:t>).</w:t>
      </w:r>
    </w:p>
    <w:p w14:paraId="55C88C64"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14.5.3</w:t>
      </w:r>
      <w:r w:rsidRPr="00D84571">
        <w:rPr>
          <w:rFonts w:ascii="Times New Roman" w:hAnsi="Times New Roman" w:cs="Times New Roman"/>
          <w:iCs/>
        </w:rPr>
        <w:t xml:space="preserve"> A negociação será conduzida pelo pregoeiro </w:t>
      </w:r>
      <w:r w:rsidRPr="00D84571">
        <w:rPr>
          <w:rFonts w:ascii="Times New Roman" w:hAnsi="Times New Roman" w:cs="Times New Roman"/>
        </w:rPr>
        <w:t>e poderá ser acompanhada pelos demais licitantes</w:t>
      </w:r>
      <w:r w:rsidRPr="00D84571">
        <w:rPr>
          <w:rFonts w:ascii="Times New Roman" w:hAnsi="Times New Roman" w:cs="Times New Roman"/>
          <w:iCs/>
        </w:rPr>
        <w:t xml:space="preserve"> (</w:t>
      </w:r>
      <w:hyperlink r:id="rId108" w:anchor="art61%C2%A72" w:history="1">
        <w:r w:rsidRPr="00D84571">
          <w:rPr>
            <w:rStyle w:val="Hyperlink"/>
            <w:rFonts w:ascii="Times New Roman" w:hAnsi="Times New Roman" w:cs="Times New Roman"/>
            <w:iCs/>
          </w:rPr>
          <w:t>art. 61, § 2º da Lei nº 14.133/2021</w:t>
        </w:r>
      </w:hyperlink>
      <w:r w:rsidRPr="00D84571">
        <w:rPr>
          <w:rFonts w:ascii="Times New Roman" w:hAnsi="Times New Roman" w:cs="Times New Roman"/>
          <w:iCs/>
        </w:rPr>
        <w:t>).</w:t>
      </w:r>
    </w:p>
    <w:p w14:paraId="09BEAEB9" w14:textId="77777777" w:rsidR="00B307DB"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14.5.4</w:t>
      </w:r>
      <w:r w:rsidRPr="00D84571">
        <w:rPr>
          <w:rFonts w:ascii="Times New Roman" w:hAnsi="Times New Roman" w:cs="Times New Roman"/>
          <w:iCs/>
        </w:rPr>
        <w:t xml:space="preserve"> Se a proposta for desclassificada o pregoeiro examinará a proposta subsequente e assim sucessivamente, na ordem de classificação, até a seleção da proposta que melhor atenda a este edital.</w:t>
      </w:r>
    </w:p>
    <w:p w14:paraId="7341B33D" w14:textId="77777777" w:rsidR="00B307DB" w:rsidRPr="00CB01BC" w:rsidRDefault="00B307DB" w:rsidP="00B307DB">
      <w:pPr>
        <w:shd w:val="clear" w:color="auto" w:fill="D9D9D9" w:themeFill="background1" w:themeFillShade="D9"/>
        <w:tabs>
          <w:tab w:val="left" w:pos="567"/>
        </w:tabs>
        <w:spacing w:after="0" w:line="240" w:lineRule="auto"/>
        <w:ind w:right="-568"/>
        <w:jc w:val="both"/>
        <w:rPr>
          <w:rFonts w:ascii="Times New Roman" w:eastAsia="Times New Roman" w:hAnsi="Times New Roman" w:cs="Times New Roman"/>
          <w:b/>
          <w:lang w:eastAsia="pt-BR"/>
        </w:rPr>
      </w:pPr>
      <w:r w:rsidRPr="00CB01BC">
        <w:rPr>
          <w:rFonts w:ascii="Times New Roman" w:hAnsi="Times New Roman" w:cs="Times New Roman"/>
          <w:b/>
          <w:iCs/>
        </w:rPr>
        <w:t xml:space="preserve">14.6 </w:t>
      </w:r>
      <w:r w:rsidRPr="00CB01BC">
        <w:rPr>
          <w:rFonts w:ascii="Times New Roman" w:hAnsi="Times New Roman" w:cs="Times New Roman"/>
          <w:iCs/>
        </w:rPr>
        <w:t>AMOSTRA DO OBJETO</w:t>
      </w:r>
    </w:p>
    <w:p w14:paraId="3A8628AA"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w:t>
      </w:r>
      <w:r w:rsidRPr="00CB01BC">
        <w:rPr>
          <w:rFonts w:ascii="Times New Roman" w:eastAsia="Times New Roman" w:hAnsi="Times New Roman" w:cs="Times New Roman"/>
          <w:lang w:eastAsia="pt-BR"/>
        </w:rPr>
        <w:t xml:space="preserve"> A Administração Pública Municipal, através da Comissão Especial de Avaliação, realizará com a empresa licitante vencedora, antes da assinatura do contrato, nos termos da Lei nº 14.133/2021 uma avaliação da AMOSTRA DO OBJETO por meio de um teste de conformidade da solução (também chamada Prova de Conceito), com o objetivo de comprovar se a mesma realmente dispõe dos requisitos mínimos obrigatórios, presentes nas Especificações Técnicas (</w:t>
      </w:r>
      <w:r w:rsidRPr="00CB01BC">
        <w:rPr>
          <w:rFonts w:ascii="Times New Roman" w:eastAsia="Times New Roman" w:hAnsi="Times New Roman" w:cs="Times New Roman"/>
          <w:shd w:val="clear" w:color="auto" w:fill="D9D9D9" w:themeFill="background1" w:themeFillShade="D9"/>
          <w:lang w:eastAsia="pt-BR"/>
        </w:rPr>
        <w:t>ANEXO III - ESPECIFICAÇÕES TÉCNICAS DA SOLUÇÃO</w:t>
      </w:r>
      <w:r w:rsidRPr="00CB01BC">
        <w:rPr>
          <w:rFonts w:ascii="Times New Roman" w:eastAsia="Times New Roman" w:hAnsi="Times New Roman" w:cs="Times New Roman"/>
          <w:lang w:eastAsia="pt-BR"/>
        </w:rPr>
        <w:t>).</w:t>
      </w:r>
    </w:p>
    <w:p w14:paraId="47D2E530"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w:t>
      </w:r>
      <w:r w:rsidRPr="00CB01BC">
        <w:rPr>
          <w:rFonts w:ascii="Times New Roman" w:eastAsia="Times New Roman" w:hAnsi="Times New Roman" w:cs="Times New Roman"/>
          <w:lang w:eastAsia="pt-BR"/>
        </w:rPr>
        <w:t xml:space="preserve"> O vencedor do certame deverá apresentar-se no Município, em local a ser designado pela Comissão Especial de Avaliação, </w:t>
      </w:r>
      <w:r w:rsidRPr="00456982">
        <w:rPr>
          <w:rFonts w:ascii="Times New Roman" w:eastAsia="Times New Roman" w:hAnsi="Times New Roman" w:cs="Times New Roman"/>
          <w:lang w:eastAsia="pt-BR"/>
        </w:rPr>
        <w:t>no 2º dia útil seguinte à divulgação do resultado, às 9 Hrs, para a realização do teste de conformidade, devendo apresentar o sistema de forma presenc</w:t>
      </w:r>
      <w:r>
        <w:rPr>
          <w:rFonts w:ascii="Times New Roman" w:eastAsia="Times New Roman" w:hAnsi="Times New Roman" w:cs="Times New Roman"/>
          <w:lang w:eastAsia="pt-BR"/>
        </w:rPr>
        <w:t>ial</w:t>
      </w:r>
      <w:r w:rsidRPr="00CB01BC">
        <w:rPr>
          <w:rFonts w:ascii="Times New Roman" w:eastAsia="Times New Roman" w:hAnsi="Times New Roman" w:cs="Times New Roman"/>
          <w:lang w:eastAsia="pt-BR"/>
        </w:rPr>
        <w:t xml:space="preserve">, em uma base </w:t>
      </w:r>
      <w:r w:rsidRPr="00CB01BC">
        <w:rPr>
          <w:rFonts w:ascii="Times New Roman" w:eastAsia="Times New Roman" w:hAnsi="Times New Roman" w:cs="Times New Roman"/>
          <w:lang w:eastAsia="pt-BR"/>
        </w:rPr>
        <w:lastRenderedPageBreak/>
        <w:t>de dados que simule as condições reais de uso, comprovando as funcionalidades requeridas no Termo de Referência e seus anexos.</w:t>
      </w:r>
    </w:p>
    <w:p w14:paraId="00AF3DB4"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14.6.3</w:t>
      </w:r>
      <w:r w:rsidRPr="00CB01BC">
        <w:rPr>
          <w:rFonts w:ascii="Times New Roman" w:eastAsia="Times New Roman" w:hAnsi="Times New Roman" w:cs="Times New Roman"/>
          <w:lang w:eastAsia="pt-BR"/>
        </w:rPr>
        <w:t xml:space="preserve"> No teste de conformidade, serão avaliados criteriosamente todos os requisitos obrigatórios (Características Gerais Obrigatórias) do sistema.</w:t>
      </w:r>
    </w:p>
    <w:p w14:paraId="5DDEDF02"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14.6.4</w:t>
      </w:r>
      <w:r w:rsidRPr="00CB01BC">
        <w:rPr>
          <w:rFonts w:ascii="Times New Roman" w:eastAsia="Times New Roman" w:hAnsi="Times New Roman" w:cs="Times New Roman"/>
          <w:lang w:eastAsia="pt-BR"/>
        </w:rPr>
        <w:t xml:space="preserve"> A proponente deverá atender 100% (cem por cento) dos requisitos testados relacionados as Características Gerais Obrigatórias (Item 1 e seus subitens do ANEXO III) sob pena de ser reprovada no teste de conformidade.</w:t>
      </w:r>
    </w:p>
    <w:p w14:paraId="4A1E278B"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14.6.5</w:t>
      </w:r>
      <w:r w:rsidRPr="00CB01BC">
        <w:rPr>
          <w:rFonts w:ascii="Times New Roman" w:eastAsia="Times New Roman" w:hAnsi="Times New Roman" w:cs="Times New Roman"/>
          <w:lang w:eastAsia="pt-BR"/>
        </w:rPr>
        <w:t xml:space="preserve"> Caso a solução ofertada não atenda 100% dos requisitos relacionados as Características Gerais Obrigatórias (item 1 e seus subitens do ANEXO III), não se passará a etapa de Avaliação dos Requisitos por módulos de Programas, sendo a proposta de solução automaticamente reprovada, por princípio de economicidade, celeridade e utilidade do procedimento.</w:t>
      </w:r>
    </w:p>
    <w:p w14:paraId="01DFE04F"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14.6.6</w:t>
      </w:r>
      <w:r w:rsidRPr="00CB01BC">
        <w:rPr>
          <w:rFonts w:ascii="Times New Roman" w:eastAsia="Times New Roman" w:hAnsi="Times New Roman" w:cs="Times New Roman"/>
          <w:lang w:eastAsia="pt-BR"/>
        </w:rPr>
        <w:t xml:space="preserve"> Aqueles requisitos obrigatórios que dependem da integração com sistemas em uso na Prefeitura não serão avaliados pela Comissão, pois o funcionamento dos mesmos poderá depender de algumas customizações da solução por parte da CONTRATADA durante a fase de implantação.</w:t>
      </w:r>
    </w:p>
    <w:p w14:paraId="04ACDDE4"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14.6.7</w:t>
      </w:r>
      <w:r w:rsidRPr="00CB01BC">
        <w:rPr>
          <w:rFonts w:ascii="Times New Roman" w:eastAsia="Times New Roman" w:hAnsi="Times New Roman" w:cs="Times New Roman"/>
          <w:lang w:eastAsia="pt-BR"/>
        </w:rPr>
        <w:t xml:space="preserve"> A Comissão Especial de Avaliação, se reserva o direito de avaliar todos os requisitos operacionais (módulos de programas) </w:t>
      </w:r>
      <w:r w:rsidRPr="009A6EFE">
        <w:rPr>
          <w:rFonts w:ascii="Times New Roman" w:eastAsia="Times New Roman" w:hAnsi="Times New Roman" w:cs="Times New Roman"/>
          <w:strike/>
          <w:color w:val="FF0000"/>
          <w:lang w:eastAsia="pt-BR"/>
        </w:rPr>
        <w:t>ou somente aqueles que julgar necessários no teste de conformidade</w:t>
      </w:r>
      <w:r w:rsidRPr="00CB01BC">
        <w:rPr>
          <w:rFonts w:ascii="Times New Roman" w:eastAsia="Times New Roman" w:hAnsi="Times New Roman" w:cs="Times New Roman"/>
          <w:lang w:eastAsia="pt-BR"/>
        </w:rPr>
        <w:t>.</w:t>
      </w:r>
    </w:p>
    <w:p w14:paraId="76C9273A"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14.6.8</w:t>
      </w:r>
      <w:r w:rsidRPr="00CB01BC">
        <w:rPr>
          <w:rFonts w:ascii="Times New Roman" w:eastAsia="Times New Roman" w:hAnsi="Times New Roman" w:cs="Times New Roman"/>
          <w:lang w:eastAsia="pt-BR"/>
        </w:rPr>
        <w:t xml:space="preserve"> A solução proposta deve atender no mínimo 90% (noventa por cento) dos requisitos avaliados relacionados aos módulos (Item 2 do Anexo III), sob pena de ser reprovada. Para dirimir dúvidas, todos os itens listados nos módulos de programas poderão ser avaliados.</w:t>
      </w:r>
    </w:p>
    <w:p w14:paraId="1DF2E422"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14.6.9</w:t>
      </w:r>
      <w:r w:rsidRPr="00CB01BC">
        <w:rPr>
          <w:rFonts w:ascii="Times New Roman" w:eastAsia="Times New Roman" w:hAnsi="Times New Roman" w:cs="Times New Roman"/>
          <w:lang w:eastAsia="pt-BR"/>
        </w:rPr>
        <w:t xml:space="preserve"> A apresentação deve ser realizada na ordem em que os itens estão relacionados, devendo a EMPRESA VENCEDORA apresentá-los de forma objetiva, sem ajustes e sem contato externo. Não será permitido desenvolver, editar, corrigir ou ajustar os softwares durante a apresentação.</w:t>
      </w:r>
    </w:p>
    <w:p w14:paraId="0A26B1AA"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14.6.10</w:t>
      </w:r>
      <w:r w:rsidRPr="00CB01BC">
        <w:rPr>
          <w:rFonts w:ascii="Times New Roman" w:eastAsia="Times New Roman" w:hAnsi="Times New Roman" w:cs="Times New Roman"/>
          <w:lang w:eastAsia="pt-BR"/>
        </w:rPr>
        <w:t xml:space="preserve"> A avaliação dos módulos poderá ser realizada de forma simultânea, desde que previamente acordado com a Comissão de Avaliação e a licitadora dispor de pessoal e locais disponíveis da data e horários estabelecidos.</w:t>
      </w:r>
    </w:p>
    <w:p w14:paraId="097A7AE9"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14.6.11</w:t>
      </w:r>
      <w:r w:rsidRPr="00CB01BC">
        <w:rPr>
          <w:rFonts w:ascii="Times New Roman" w:eastAsia="Times New Roman" w:hAnsi="Times New Roman" w:cs="Times New Roman"/>
          <w:lang w:eastAsia="pt-BR"/>
        </w:rPr>
        <w:t xml:space="preserve"> A Comissão Especial avaliadora e seus membros realizarão seus debates em ambiente reservado, sem a presença dos licitantes, de modo a não prejudicar os trabalhos de julgamento.</w:t>
      </w:r>
    </w:p>
    <w:p w14:paraId="3ACA004E"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14.6.12</w:t>
      </w:r>
      <w:r w:rsidRPr="00CB01BC">
        <w:rPr>
          <w:rFonts w:ascii="Times New Roman" w:eastAsia="Times New Roman" w:hAnsi="Times New Roman" w:cs="Times New Roman"/>
          <w:lang w:eastAsia="pt-BR"/>
        </w:rPr>
        <w:t xml:space="preserve"> Após seus debates, a Comissão Especial avaliadora especialmente nomeada e designada, registrará em Ata os resultados e conclusões e encaminhará ao Pregoeiro.</w:t>
      </w:r>
    </w:p>
    <w:p w14:paraId="727A8AFF"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14.6.13</w:t>
      </w:r>
      <w:r w:rsidRPr="00CB01BC">
        <w:rPr>
          <w:rFonts w:ascii="Times New Roman" w:eastAsia="Times New Roman" w:hAnsi="Times New Roman" w:cs="Times New Roman"/>
          <w:lang w:eastAsia="pt-BR"/>
        </w:rPr>
        <w:t xml:space="preserve"> Constatado o atendimento pleno às exigências fixadas neste edital e consequente aprovação no teste de conformidade, a licitante será declarada vencedora, sendo-lhe adjudicado o presente objeto, para o qual apresentou proposta. Caso a solução da licitante não seja aprovada no teste de conformidade, a mesma será reprovada e rejeitada, sendo convocadas para a realização deste teste as demais licitantes, por ordem de classificação, repetindo-se os procedimentos.</w:t>
      </w:r>
    </w:p>
    <w:p w14:paraId="62335098"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14.6.14</w:t>
      </w:r>
      <w:r w:rsidRPr="00CB01BC">
        <w:rPr>
          <w:rFonts w:ascii="Times New Roman" w:eastAsia="Times New Roman" w:hAnsi="Times New Roman" w:cs="Times New Roman"/>
          <w:lang w:eastAsia="pt-BR"/>
        </w:rPr>
        <w:t xml:space="preserve"> A responsabilidade de providenciar todos os equipamentos necessários para a realização do teste de conformidade, inclusive conexão à internet (tecnologia 3G ou outros) é da CONTRATADA, ficando a CONTRATANTE responsável somente pela disponibilização do espaço e fonte de energia para realização do mesmo.</w:t>
      </w:r>
    </w:p>
    <w:p w14:paraId="65A7D013"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14.6.15</w:t>
      </w:r>
      <w:r w:rsidRPr="00CB01BC">
        <w:rPr>
          <w:rFonts w:ascii="Times New Roman" w:eastAsia="Times New Roman" w:hAnsi="Times New Roman" w:cs="Times New Roman"/>
          <w:lang w:eastAsia="pt-BR"/>
        </w:rPr>
        <w:t xml:space="preserve"> A PROPONENTE que convocada para avaliação e não comparecer em dia e hora previamente agendados para a sua realização, será automaticamente reprovada pela Comissão avaliadora.</w:t>
      </w:r>
    </w:p>
    <w:p w14:paraId="71E66894"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14.6.16</w:t>
      </w:r>
      <w:r w:rsidRPr="00CB01BC">
        <w:rPr>
          <w:rFonts w:ascii="Times New Roman" w:eastAsia="Times New Roman" w:hAnsi="Times New Roman" w:cs="Times New Roman"/>
          <w:lang w:eastAsia="pt-BR"/>
        </w:rPr>
        <w:t xml:space="preserve"> Não serão aceitas intervenções de pessoas externas à avaliação (não presentes na demonstração), com relação a manipulação do sistema/softwares ou suas funcionalidades.</w:t>
      </w:r>
    </w:p>
    <w:p w14:paraId="2F46E363"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14.6.17</w:t>
      </w:r>
      <w:r w:rsidRPr="00CB01BC">
        <w:rPr>
          <w:rFonts w:ascii="Times New Roman" w:eastAsia="Times New Roman" w:hAnsi="Times New Roman" w:cs="Times New Roman"/>
          <w:lang w:eastAsia="pt-BR"/>
        </w:rPr>
        <w:t xml:space="preserve"> Será admitido na sala da sessão de realização do teste de conformidade, além da comissão especial avaliação, de representantes/técnicos da empresa vencedora, no máximo 1 (um) representantes/técnicos de cada uma das demais licitantes, sendo vedada a presença de pessoas estranhas, não formalmente convidadas, e que não façam parte do quadro de servidores municipais, evitando-se tumultos e prejuízos ao procedimento.</w:t>
      </w:r>
    </w:p>
    <w:p w14:paraId="4D8E1CEA"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14.6.18</w:t>
      </w:r>
      <w:r w:rsidRPr="00CB01BC">
        <w:rPr>
          <w:rFonts w:ascii="Times New Roman" w:eastAsia="Times New Roman" w:hAnsi="Times New Roman" w:cs="Times New Roman"/>
          <w:lang w:eastAsia="pt-BR"/>
        </w:rPr>
        <w:t xml:space="preserve"> Não será permitido aos demais licitantes, acesso aos equipamentos da empresa avaliada.</w:t>
      </w:r>
    </w:p>
    <w:p w14:paraId="5FF80F94"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14.6.19</w:t>
      </w:r>
      <w:r w:rsidRPr="00CB01BC">
        <w:rPr>
          <w:rFonts w:ascii="Times New Roman" w:eastAsia="Times New Roman" w:hAnsi="Times New Roman" w:cs="Times New Roman"/>
          <w:lang w:eastAsia="pt-BR"/>
        </w:rPr>
        <w:t xml:space="preserve"> Não será permitido aos demais licitantes, manifestação, sob qualquer pretexto, durante a realização da sessão de avaliação. </w:t>
      </w:r>
    </w:p>
    <w:p w14:paraId="4A7A810C"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14.6.20</w:t>
      </w:r>
      <w:r w:rsidRPr="00CB01BC">
        <w:rPr>
          <w:rFonts w:ascii="Times New Roman" w:eastAsia="Times New Roman" w:hAnsi="Times New Roman" w:cs="Times New Roman"/>
          <w:lang w:eastAsia="pt-BR"/>
        </w:rPr>
        <w:t xml:space="preserve"> Licitantes que se comportarem de forma inconveniente ou de modo a perturbar os trabalhos de apresentação da vencedora, poderão ser conduzidos para fora do local de apresentação, bem como penalizados, nos termos da Legislação.</w:t>
      </w:r>
    </w:p>
    <w:p w14:paraId="58B592DB"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14.6.21</w:t>
      </w:r>
      <w:r w:rsidRPr="00CB01BC">
        <w:rPr>
          <w:rFonts w:ascii="Times New Roman" w:eastAsia="Times New Roman" w:hAnsi="Times New Roman" w:cs="Times New Roman"/>
          <w:lang w:eastAsia="pt-BR"/>
        </w:rPr>
        <w:t xml:space="preserve"> Os resultados da avaliação serão tornados públicos, como disciplina a legislação e disponibilizados aos interessados pela internet, inclusive para fins de eventual interposição de recursos.</w:t>
      </w:r>
    </w:p>
    <w:p w14:paraId="48CFD22B" w14:textId="77777777" w:rsidR="00B307DB" w:rsidRPr="00CB01BC"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14.6.22</w:t>
      </w:r>
      <w:r w:rsidRPr="00CB01BC">
        <w:rPr>
          <w:rFonts w:ascii="Times New Roman" w:eastAsia="Times New Roman" w:hAnsi="Times New Roman" w:cs="Times New Roman"/>
          <w:lang w:eastAsia="pt-BR"/>
        </w:rPr>
        <w:t xml:space="preserve"> Em caso de dúvida, a comissão julgadora em sua análise e ponderação, poderá invocar princípios </w:t>
      </w:r>
      <w:r w:rsidRPr="00CB01BC">
        <w:rPr>
          <w:rFonts w:ascii="Times New Roman" w:eastAsia="Times New Roman" w:hAnsi="Times New Roman" w:cs="Times New Roman"/>
          <w:lang w:eastAsia="pt-BR"/>
        </w:rPr>
        <w:lastRenderedPageBreak/>
        <w:t>gerais do direito administrativo e da supremacia do interesse público, bem como da razoabilidade e da proporcionalidade, sempre visando a contratação da melhor oferta, atendendo ao interesse público e aos princípios da economicidade e do julgamento objetivo.</w:t>
      </w:r>
    </w:p>
    <w:p w14:paraId="67BEAA10" w14:textId="77777777" w:rsidR="00B307DB" w:rsidRPr="003B55D3" w:rsidRDefault="00B307DB" w:rsidP="00B307DB">
      <w:pPr>
        <w:widowControl w:val="0"/>
        <w:tabs>
          <w:tab w:val="left" w:pos="1701"/>
        </w:tabs>
        <w:adjustRightInd w:val="0"/>
        <w:spacing w:after="0" w:line="240" w:lineRule="auto"/>
        <w:ind w:right="-567"/>
        <w:jc w:val="both"/>
        <w:textAlignment w:val="baseline"/>
        <w:rPr>
          <w:rFonts w:ascii="Times New Roman" w:eastAsia="Times New Roman" w:hAnsi="Times New Roman" w:cs="Times New Roman"/>
          <w:lang w:eastAsia="pt-BR"/>
        </w:rPr>
      </w:pPr>
      <w:r w:rsidRPr="00CB01BC">
        <w:rPr>
          <w:rFonts w:ascii="Times New Roman" w:eastAsia="Times New Roman" w:hAnsi="Times New Roman" w:cs="Times New Roman"/>
          <w:b/>
          <w:lang w:eastAsia="pt-BR"/>
        </w:rPr>
        <w:t>14.6.23</w:t>
      </w:r>
      <w:r w:rsidRPr="00CB01BC">
        <w:rPr>
          <w:rFonts w:ascii="Times New Roman" w:eastAsia="Times New Roman" w:hAnsi="Times New Roman" w:cs="Times New Roman"/>
          <w:lang w:eastAsia="pt-BR"/>
        </w:rPr>
        <w:t xml:space="preserve"> Caso necessário, a avaliação poderá ser feita de forma remota, por meio de videoconferência ou outro recurso tecnológico adequado, visando a segurança e saúde dos participantes e acompanhamento/validação em tempo real em equipamento da licitadora por parte da equipe de avaliação.</w:t>
      </w:r>
    </w:p>
    <w:p w14:paraId="188F1DFA" w14:textId="77777777" w:rsidR="00B307DB" w:rsidRPr="003B55D3"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457DC474"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15 HABILITAÇÃO</w:t>
      </w:r>
    </w:p>
    <w:p w14:paraId="04E67EAB"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eastAsia="Times New Roman" w:hAnsi="Times New Roman" w:cs="Times New Roman"/>
          <w:b/>
          <w:lang w:eastAsia="pt-BR"/>
        </w:rPr>
        <w:t>15.1</w:t>
      </w:r>
      <w:r w:rsidRPr="00D84571">
        <w:rPr>
          <w:rFonts w:ascii="Times New Roman" w:eastAsia="Times New Roman" w:hAnsi="Times New Roman" w:cs="Times New Roman"/>
          <w:lang w:eastAsia="pt-BR"/>
        </w:rPr>
        <w:t xml:space="preserve"> </w:t>
      </w:r>
      <w:r w:rsidRPr="00D84571">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09" w:anchor="art63ii" w:history="1">
        <w:r w:rsidRPr="00D84571">
          <w:rPr>
            <w:rStyle w:val="Hyperlink"/>
            <w:rFonts w:ascii="Times New Roman" w:hAnsi="Times New Roman" w:cs="Times New Roman"/>
            <w:iCs/>
          </w:rPr>
          <w:t>art. 63, II da Lei nº 14.133/2021</w:t>
        </w:r>
      </w:hyperlink>
      <w:r w:rsidRPr="00D84571">
        <w:rPr>
          <w:rFonts w:ascii="Times New Roman" w:hAnsi="Times New Roman" w:cs="Times New Roman"/>
          <w:iCs/>
        </w:rPr>
        <w:t>):</w:t>
      </w:r>
    </w:p>
    <w:p w14:paraId="19962883"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15.1.1</w:t>
      </w:r>
      <w:r w:rsidRPr="00D84571">
        <w:rPr>
          <w:rFonts w:ascii="Times New Roman" w:hAnsi="Times New Roman" w:cs="Times New Roman"/>
          <w:iCs/>
        </w:rPr>
        <w:t xml:space="preserve"> Os documentos encaminhados deverão estar em nome do licitante, com indicação precisa de dados capazes de qualificar inequivocamente o licitante.</w:t>
      </w:r>
    </w:p>
    <w:p w14:paraId="309CDA85" w14:textId="77777777" w:rsidR="00B307DB" w:rsidRPr="00997B66" w:rsidRDefault="00B307DB" w:rsidP="00B307DB">
      <w:pPr>
        <w:tabs>
          <w:tab w:val="left" w:pos="567"/>
        </w:tabs>
        <w:spacing w:after="0" w:line="240" w:lineRule="auto"/>
        <w:ind w:right="-568"/>
        <w:jc w:val="both"/>
        <w:rPr>
          <w:rFonts w:ascii="Times New Roman" w:hAnsi="Times New Roman" w:cs="Times New Roman"/>
          <w:iCs/>
        </w:rPr>
      </w:pPr>
      <w:r w:rsidRPr="00997B66">
        <w:rPr>
          <w:rFonts w:ascii="Times New Roman" w:hAnsi="Times New Roman" w:cs="Times New Roman"/>
          <w:b/>
          <w:iCs/>
        </w:rPr>
        <w:t>15.2</w:t>
      </w:r>
      <w:r>
        <w:rPr>
          <w:rFonts w:ascii="Times New Roman" w:hAnsi="Times New Roman" w:cs="Times New Roman"/>
          <w:iCs/>
        </w:rPr>
        <w:t xml:space="preserve"> </w:t>
      </w:r>
      <w:r w:rsidRPr="00997B66">
        <w:rPr>
          <w:rFonts w:ascii="Times New Roman" w:hAnsi="Times New Roman" w:cs="Times New Roman"/>
          <w:iCs/>
        </w:rPr>
        <w:t xml:space="preserve">Em se tratando de licitante apto a usufruir dos benefícios da </w:t>
      </w:r>
      <w:hyperlink r:id="rId110" w:history="1">
        <w:r w:rsidRPr="00997B66">
          <w:rPr>
            <w:rStyle w:val="Hyperlink"/>
            <w:rFonts w:ascii="Times New Roman" w:hAnsi="Times New Roman" w:cs="Times New Roman"/>
            <w:iCs/>
          </w:rPr>
          <w:t>Lei Complementar nº 123/2006</w:t>
        </w:r>
      </w:hyperlink>
      <w:r w:rsidRPr="00997B66">
        <w:rPr>
          <w:rFonts w:ascii="Times New Roman" w:hAnsi="Times New Roman" w:cs="Times New Roman"/>
          <w:iCs/>
        </w:rPr>
        <w:t xml:space="preserve">: </w:t>
      </w:r>
    </w:p>
    <w:p w14:paraId="0C77EB40"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Deverá apresentar toda a documentação exigida para efeito de comprovação de regularidade fiscal e trabalhista, mesmo que esta apresente alguma restrição (</w:t>
      </w:r>
      <w:hyperlink r:id="rId111" w:anchor="art43" w:history="1">
        <w:r w:rsidRPr="00D84571">
          <w:rPr>
            <w:rStyle w:val="Hyperlink"/>
            <w:rFonts w:ascii="Times New Roman" w:hAnsi="Times New Roman" w:cs="Times New Roman"/>
            <w:iCs/>
          </w:rPr>
          <w:t>art. 43</w:t>
        </w:r>
      </w:hyperlink>
      <w:r w:rsidRPr="00D84571">
        <w:rPr>
          <w:rFonts w:ascii="Times New Roman" w:hAnsi="Times New Roman" w:cs="Times New Roman"/>
          <w:iCs/>
        </w:rPr>
        <w:t>);</w:t>
      </w:r>
    </w:p>
    <w:p w14:paraId="6F889BF0"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2" w:anchor="art43%C2%A71" w:history="1">
        <w:r w:rsidRPr="00D84571">
          <w:rPr>
            <w:rStyle w:val="Hyperlink"/>
            <w:rFonts w:ascii="Times New Roman" w:hAnsi="Times New Roman" w:cs="Times New Roman"/>
            <w:iCs/>
          </w:rPr>
          <w:t>art. 43, § 1º</w:t>
        </w:r>
      </w:hyperlink>
      <w:r w:rsidRPr="00D84571">
        <w:rPr>
          <w:rFonts w:ascii="Times New Roman" w:hAnsi="Times New Roman" w:cs="Times New Roman"/>
          <w:iCs/>
        </w:rPr>
        <w:t>);</w:t>
      </w:r>
    </w:p>
    <w:p w14:paraId="66D32E09" w14:textId="77777777" w:rsidR="00B307DB" w:rsidRPr="00D84571" w:rsidRDefault="00B307DB" w:rsidP="00B307DB">
      <w:pPr>
        <w:pStyle w:val="PargrafodaLista"/>
        <w:tabs>
          <w:tab w:val="left" w:pos="426"/>
          <w:tab w:val="left" w:pos="567"/>
          <w:tab w:val="left" w:pos="1134"/>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3" w:history="1">
        <w:r w:rsidRPr="00D84571">
          <w:rPr>
            <w:rStyle w:val="Hyperlink"/>
            <w:rFonts w:ascii="Times New Roman" w:hAnsi="Times New Roman" w:cs="Times New Roman"/>
            <w:iCs/>
          </w:rPr>
          <w:t>Lei nº 14.133/2021</w:t>
        </w:r>
      </w:hyperlink>
      <w:r w:rsidRPr="00D84571">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4" w:anchor="art43%C2%A72" w:history="1">
        <w:r w:rsidRPr="00D84571">
          <w:rPr>
            <w:rStyle w:val="Hyperlink"/>
            <w:rFonts w:ascii="Times New Roman" w:hAnsi="Times New Roman" w:cs="Times New Roman"/>
            <w:iCs/>
          </w:rPr>
          <w:t>art. 43, § 2º</w:t>
        </w:r>
      </w:hyperlink>
      <w:r w:rsidRPr="00D84571">
        <w:rPr>
          <w:rFonts w:ascii="Times New Roman" w:hAnsi="Times New Roman" w:cs="Times New Roman"/>
          <w:iCs/>
        </w:rPr>
        <w:t>).</w:t>
      </w:r>
    </w:p>
    <w:p w14:paraId="4E9A062E"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15.3</w:t>
      </w:r>
      <w:r w:rsidRPr="00D84571">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5" w:anchor="art64" w:history="1">
        <w:r w:rsidRPr="00D84571">
          <w:rPr>
            <w:rStyle w:val="Hyperlink"/>
            <w:rFonts w:ascii="Times New Roman" w:hAnsi="Times New Roman" w:cs="Times New Roman"/>
            <w:iCs/>
          </w:rPr>
          <w:t>art. 64 da Lei nº 14.133/2021</w:t>
        </w:r>
      </w:hyperlink>
      <w:r w:rsidRPr="00D84571">
        <w:rPr>
          <w:rFonts w:ascii="Times New Roman" w:hAnsi="Times New Roman" w:cs="Times New Roman"/>
          <w:iCs/>
        </w:rPr>
        <w:t>):</w:t>
      </w:r>
    </w:p>
    <w:p w14:paraId="05EBF6AB"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 -</w:t>
      </w:r>
      <w:r>
        <w:rPr>
          <w:rFonts w:ascii="Times New Roman" w:hAnsi="Times New Roman" w:cs="Times New Roman"/>
          <w:iCs/>
        </w:rPr>
        <w:t xml:space="preserve"> </w:t>
      </w:r>
      <w:r w:rsidRPr="00D84571">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4862BD6F"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iCs/>
        </w:rPr>
      </w:pPr>
      <w:r w:rsidRPr="007A1B19">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Atualização de documentos cuja validade tenha expirado após a data de recebimento das propostas.</w:t>
      </w:r>
    </w:p>
    <w:p w14:paraId="0F0A37D3"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15.3.1</w:t>
      </w:r>
      <w:r w:rsidRPr="00D84571">
        <w:rPr>
          <w:rFonts w:ascii="Times New Roman" w:hAnsi="Times New Roman" w:cs="Times New Roman"/>
          <w:iCs/>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hyperlink r:id="rId116" w:anchor="art64%C2%A71" w:history="1">
        <w:r w:rsidRPr="00D84571">
          <w:rPr>
            <w:rStyle w:val="Hyperlink"/>
            <w:rFonts w:ascii="Times New Roman" w:hAnsi="Times New Roman" w:cs="Times New Roman"/>
            <w:iCs/>
          </w:rPr>
          <w:t>art. 64, § 1º da Lei nº 14.133/2021</w:t>
        </w:r>
      </w:hyperlink>
      <w:r w:rsidRPr="00D84571">
        <w:rPr>
          <w:rFonts w:ascii="Times New Roman" w:hAnsi="Times New Roman" w:cs="Times New Roman"/>
          <w:iCs/>
        </w:rPr>
        <w:t>).</w:t>
      </w:r>
    </w:p>
    <w:p w14:paraId="160C4DBB" w14:textId="77777777" w:rsidR="00B307DB" w:rsidRPr="00D84571" w:rsidRDefault="00B307DB" w:rsidP="00B307DB">
      <w:pPr>
        <w:tabs>
          <w:tab w:val="left" w:pos="567"/>
        </w:tabs>
        <w:spacing w:after="0" w:line="240" w:lineRule="auto"/>
        <w:ind w:right="-568"/>
        <w:jc w:val="both"/>
        <w:rPr>
          <w:rFonts w:ascii="Times New Roman" w:hAnsi="Times New Roman" w:cs="Times New Roman"/>
          <w:b/>
          <w:iCs/>
          <w:color w:val="FF0000"/>
        </w:rPr>
      </w:pPr>
      <w:r w:rsidRPr="00D84571">
        <w:rPr>
          <w:rFonts w:ascii="Times New Roman" w:hAnsi="Times New Roman" w:cs="Times New Roman"/>
          <w:b/>
          <w:iCs/>
        </w:rPr>
        <w:t xml:space="preserve">15.4 </w:t>
      </w:r>
      <w:r w:rsidRPr="00D84571">
        <w:rPr>
          <w:rFonts w:ascii="Times New Roman" w:hAnsi="Times New Roman" w:cs="Times New Roman"/>
          <w:iCs/>
        </w:rPr>
        <w:t>Documentos a serem apresentados (</w:t>
      </w:r>
      <w:hyperlink r:id="rId117" w:anchor="art62" w:history="1">
        <w:r w:rsidRPr="00D84571">
          <w:rPr>
            <w:rStyle w:val="Hyperlink"/>
            <w:rFonts w:ascii="Times New Roman" w:hAnsi="Times New Roman" w:cs="Times New Roman"/>
            <w:iCs/>
          </w:rPr>
          <w:t>art. 62 ao 70 da Lei nº 14.133/2021</w:t>
        </w:r>
      </w:hyperlink>
      <w:r w:rsidRPr="00D84571">
        <w:rPr>
          <w:rFonts w:ascii="Times New Roman" w:hAnsi="Times New Roman" w:cs="Times New Roman"/>
          <w:iCs/>
        </w:rPr>
        <w:t>)</w:t>
      </w:r>
      <w:r w:rsidRPr="00D84571">
        <w:rPr>
          <w:rFonts w:ascii="Times New Roman" w:hAnsi="Times New Roman" w:cs="Times New Roman"/>
          <w:b/>
          <w:iCs/>
        </w:rPr>
        <w:t xml:space="preserve"> </w:t>
      </w:r>
    </w:p>
    <w:p w14:paraId="710EBB9F" w14:textId="77777777" w:rsidR="00B307DB" w:rsidRPr="00997B66" w:rsidRDefault="00B307DB" w:rsidP="00B307DB">
      <w:pPr>
        <w:tabs>
          <w:tab w:val="left" w:pos="567"/>
        </w:tabs>
        <w:spacing w:after="0" w:line="240" w:lineRule="auto"/>
        <w:ind w:right="-568"/>
        <w:jc w:val="both"/>
        <w:rPr>
          <w:rFonts w:ascii="Times New Roman" w:hAnsi="Times New Roman" w:cs="Times New Roman"/>
          <w:b/>
          <w:iCs/>
        </w:rPr>
      </w:pPr>
      <w:r w:rsidRPr="00997B66">
        <w:rPr>
          <w:rFonts w:ascii="Times New Roman" w:hAnsi="Times New Roman" w:cs="Times New Roman"/>
          <w:b/>
          <w:iCs/>
        </w:rPr>
        <w:t>15.4.1</w:t>
      </w:r>
      <w:r>
        <w:rPr>
          <w:rFonts w:ascii="Times New Roman" w:hAnsi="Times New Roman" w:cs="Times New Roman"/>
          <w:iCs/>
        </w:rPr>
        <w:t xml:space="preserve"> </w:t>
      </w:r>
      <w:r w:rsidRPr="00997B66">
        <w:rPr>
          <w:rFonts w:ascii="Times New Roman" w:hAnsi="Times New Roman" w:cs="Times New Roman"/>
          <w:iCs/>
        </w:rPr>
        <w:t>PESSOA JURÍDICA</w:t>
      </w:r>
    </w:p>
    <w:p w14:paraId="5D40C7E8" w14:textId="77777777" w:rsidR="00B307DB" w:rsidRPr="00282286" w:rsidRDefault="00B307DB" w:rsidP="00B307DB">
      <w:pPr>
        <w:pStyle w:val="PargrafodaLista"/>
        <w:shd w:val="clear" w:color="auto" w:fill="FFFFFF" w:themeFill="background1"/>
        <w:tabs>
          <w:tab w:val="left" w:pos="426"/>
          <w:tab w:val="left" w:pos="993"/>
        </w:tabs>
        <w:spacing w:after="0" w:line="240" w:lineRule="auto"/>
        <w:ind w:left="567"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 -</w:t>
      </w:r>
      <w:r>
        <w:rPr>
          <w:rFonts w:ascii="Times New Roman" w:hAnsi="Times New Roman" w:cs="Times New Roman"/>
          <w:color w:val="000000" w:themeColor="text1"/>
        </w:rPr>
        <w:t xml:space="preserve"> </w:t>
      </w:r>
      <w:r w:rsidRPr="00D84571">
        <w:rPr>
          <w:rFonts w:ascii="Times New Roman" w:hAnsi="Times New Roman" w:cs="Times New Roman"/>
          <w:color w:val="000000" w:themeColor="text1"/>
        </w:rPr>
        <w:t>Declaração que atende aos requisitos de habilitação (</w:t>
      </w:r>
      <w:hyperlink r:id="rId118" w:anchor="art63i" w:history="1">
        <w:r w:rsidRPr="00D84571">
          <w:rPr>
            <w:rStyle w:val="Hyperlink"/>
            <w:rFonts w:ascii="Times New Roman" w:hAnsi="Times New Roman" w:cs="Times New Roman"/>
          </w:rPr>
          <w:t>art. 63, I da Lei nº 14.133/2021</w:t>
        </w:r>
      </w:hyperlink>
      <w:r w:rsidRPr="00282286">
        <w:rPr>
          <w:rFonts w:ascii="Times New Roman" w:hAnsi="Times New Roman" w:cs="Times New Roman"/>
          <w:color w:val="000000" w:themeColor="text1"/>
        </w:rPr>
        <w:t>)  (</w:t>
      </w:r>
      <w:r w:rsidRPr="00282286">
        <w:rPr>
          <w:rFonts w:ascii="Times New Roman" w:hAnsi="Times New Roman" w:cs="Times New Roman"/>
          <w:color w:val="000000" w:themeColor="text1"/>
          <w:shd w:val="clear" w:color="auto" w:fill="D9D9D9" w:themeFill="background1" w:themeFillShade="D9"/>
        </w:rPr>
        <w:t>ANEXO VIII</w:t>
      </w:r>
      <w:r w:rsidRPr="00282286">
        <w:rPr>
          <w:rFonts w:ascii="Times New Roman" w:hAnsi="Times New Roman" w:cs="Times New Roman"/>
          <w:color w:val="000000" w:themeColor="text1"/>
        </w:rPr>
        <w:t>)</w:t>
      </w:r>
      <w:r w:rsidRPr="00282286">
        <w:rPr>
          <w:rFonts w:ascii="Times New Roman" w:hAnsi="Times New Roman" w:cs="Times New Roman"/>
          <w:bCs/>
        </w:rPr>
        <w:t>;</w:t>
      </w:r>
    </w:p>
    <w:p w14:paraId="194206F2" w14:textId="77777777" w:rsidR="00B307DB" w:rsidRPr="00411F2A" w:rsidRDefault="00B307DB" w:rsidP="00B307DB">
      <w:pPr>
        <w:pStyle w:val="PargrafodaLista"/>
        <w:shd w:val="clear" w:color="auto" w:fill="FFFFFF" w:themeFill="background1"/>
        <w:tabs>
          <w:tab w:val="left" w:pos="426"/>
          <w:tab w:val="left" w:pos="993"/>
        </w:tabs>
        <w:spacing w:after="0" w:line="240" w:lineRule="auto"/>
        <w:ind w:left="567" w:right="-568"/>
        <w:contextualSpacing w:val="0"/>
        <w:jc w:val="both"/>
        <w:rPr>
          <w:rFonts w:ascii="Times New Roman" w:hAnsi="Times New Roman" w:cs="Times New Roman"/>
          <w:bCs/>
          <w:color w:val="000000" w:themeColor="text1"/>
        </w:rPr>
      </w:pPr>
      <w:r w:rsidRPr="00282286">
        <w:rPr>
          <w:rFonts w:ascii="Times New Roman" w:hAnsi="Times New Roman" w:cs="Times New Roman"/>
          <w:b/>
          <w:color w:val="000000" w:themeColor="text1"/>
        </w:rPr>
        <w:t>II -</w:t>
      </w:r>
      <w:r w:rsidRPr="00282286">
        <w:rPr>
          <w:rFonts w:ascii="Times New Roman" w:hAnsi="Times New Roman" w:cs="Times New Roman"/>
          <w:color w:val="000000" w:themeColor="text1"/>
        </w:rPr>
        <w:t xml:space="preserve"> Declaração que cumpre as exigências de reserva de cargos para pessoa com deficiência</w:t>
      </w:r>
      <w:r w:rsidRPr="00D84571">
        <w:rPr>
          <w:rFonts w:ascii="Times New Roman" w:hAnsi="Times New Roman" w:cs="Times New Roman"/>
          <w:color w:val="000000" w:themeColor="text1"/>
        </w:rPr>
        <w:t xml:space="preserve"> e para reabilitado da Previdência Social, nos termos do </w:t>
      </w:r>
      <w:hyperlink r:id="rId119" w:anchor="art93" w:history="1">
        <w:r w:rsidRPr="00D84571">
          <w:rPr>
            <w:rStyle w:val="Hyperlink"/>
            <w:rFonts w:ascii="Times New Roman" w:hAnsi="Times New Roman" w:cs="Times New Roman"/>
          </w:rPr>
          <w:t>art. 93 da Lei nº 8.213/91</w:t>
        </w:r>
      </w:hyperlink>
      <w:r w:rsidRPr="00D84571">
        <w:rPr>
          <w:rFonts w:ascii="Times New Roman" w:hAnsi="Times New Roman" w:cs="Times New Roman"/>
          <w:color w:val="000000" w:themeColor="text1"/>
        </w:rPr>
        <w:t xml:space="preserve"> (</w:t>
      </w:r>
      <w:hyperlink r:id="rId120" w:anchor="art63iv" w:history="1">
        <w:r w:rsidRPr="00D84571">
          <w:rPr>
            <w:rStyle w:val="Hyperlink"/>
            <w:rFonts w:ascii="Times New Roman" w:hAnsi="Times New Roman" w:cs="Times New Roman"/>
          </w:rPr>
          <w:t>art. 63, IV da Lei nº 14.133/2021</w:t>
        </w:r>
      </w:hyperlink>
      <w:r w:rsidRPr="00282286">
        <w:rPr>
          <w:rFonts w:ascii="Times New Roman" w:hAnsi="Times New Roman" w:cs="Times New Roman"/>
          <w:color w:val="000000" w:themeColor="text1"/>
        </w:rPr>
        <w:t>)  (</w:t>
      </w:r>
      <w:r w:rsidRPr="00282286">
        <w:rPr>
          <w:rFonts w:ascii="Times New Roman" w:hAnsi="Times New Roman" w:cs="Times New Roman"/>
          <w:color w:val="000000" w:themeColor="text1"/>
          <w:shd w:val="clear" w:color="auto" w:fill="D9D9D9" w:themeFill="background1" w:themeFillShade="D9"/>
        </w:rPr>
        <w:t>ANEXO IX</w:t>
      </w:r>
      <w:r w:rsidRPr="00282286">
        <w:rPr>
          <w:rFonts w:ascii="Times New Roman" w:hAnsi="Times New Roman" w:cs="Times New Roman"/>
          <w:color w:val="000000" w:themeColor="text1"/>
        </w:rPr>
        <w:t>);</w:t>
      </w:r>
    </w:p>
    <w:p w14:paraId="15112877" w14:textId="77777777" w:rsidR="00B307DB" w:rsidRPr="00D84571" w:rsidRDefault="00B307DB" w:rsidP="00B307DB">
      <w:pPr>
        <w:pStyle w:val="PargrafodaLista"/>
        <w:tabs>
          <w:tab w:val="left" w:pos="426"/>
          <w:tab w:val="left" w:pos="1134"/>
        </w:tabs>
        <w:spacing w:after="0" w:line="240" w:lineRule="auto"/>
        <w:ind w:left="567" w:right="-568"/>
        <w:contextualSpacing w:val="0"/>
        <w:jc w:val="both"/>
        <w:rPr>
          <w:rFonts w:ascii="Times New Roman" w:hAnsi="Times New Roman" w:cs="Times New Roman"/>
          <w:color w:val="000000" w:themeColor="text1"/>
        </w:rPr>
      </w:pPr>
      <w:r>
        <w:rPr>
          <w:rFonts w:ascii="Times New Roman" w:hAnsi="Times New Roman" w:cs="Times New Roman"/>
          <w:b/>
          <w:color w:val="000000" w:themeColor="text1"/>
        </w:rPr>
        <w:t xml:space="preserve">III - </w:t>
      </w:r>
      <w:r w:rsidRPr="00C90D44">
        <w:rPr>
          <w:rFonts w:ascii="Times New Roman" w:hAnsi="Times New Roman" w:cs="Times New Roman"/>
          <w:b/>
          <w:color w:val="000000" w:themeColor="text1"/>
        </w:rPr>
        <w:t>HABILITAÇÃO JURÍDICA</w:t>
      </w:r>
      <w:r w:rsidRPr="00D84571">
        <w:rPr>
          <w:rFonts w:ascii="Times New Roman" w:hAnsi="Times New Roman" w:cs="Times New Roman"/>
          <w:color w:val="000000" w:themeColor="text1"/>
        </w:rPr>
        <w:t xml:space="preserve"> (</w:t>
      </w:r>
      <w:hyperlink r:id="rId121" w:anchor="art66" w:history="1">
        <w:r w:rsidRPr="00D84571">
          <w:rPr>
            <w:rStyle w:val="Hyperlink"/>
            <w:rFonts w:ascii="Times New Roman" w:hAnsi="Times New Roman" w:cs="Times New Roman"/>
          </w:rPr>
          <w:t>art. 66 da Lei nº 14.133/2021</w:t>
        </w:r>
      </w:hyperlink>
      <w:r w:rsidRPr="00D84571">
        <w:rPr>
          <w:rFonts w:ascii="Times New Roman" w:hAnsi="Times New Roman" w:cs="Times New Roman"/>
          <w:color w:val="000000" w:themeColor="text1"/>
        </w:rPr>
        <w:t>):</w:t>
      </w:r>
    </w:p>
    <w:p w14:paraId="4E4A19B2" w14:textId="77777777" w:rsidR="00B307DB" w:rsidRPr="00D84571" w:rsidRDefault="00B307DB" w:rsidP="00B307DB">
      <w:pPr>
        <w:pStyle w:val="PargrafodaLista"/>
        <w:tabs>
          <w:tab w:val="left" w:pos="567"/>
        </w:tabs>
        <w:spacing w:after="0" w:line="240" w:lineRule="auto"/>
        <w:ind w:left="1134" w:right="-568"/>
        <w:contextualSpacing w:val="0"/>
        <w:jc w:val="both"/>
        <w:rPr>
          <w:rFonts w:ascii="Times New Roman" w:hAnsi="Times New Roman" w:cs="Times New Roman"/>
          <w:color w:val="000000" w:themeColor="text1"/>
        </w:rPr>
      </w:pPr>
      <w:r w:rsidRPr="007A1B19">
        <w:rPr>
          <w:rFonts w:ascii="Times New Roman" w:hAnsi="Times New Roman" w:cs="Times New Roman"/>
          <w:b/>
          <w:bCs/>
        </w:rPr>
        <w:t>a)</w:t>
      </w:r>
      <w:r>
        <w:rPr>
          <w:rFonts w:ascii="Times New Roman" w:hAnsi="Times New Roman" w:cs="Times New Roman"/>
          <w:bCs/>
        </w:rPr>
        <w:t xml:space="preserve"> </w:t>
      </w:r>
      <w:r w:rsidRPr="00D84571">
        <w:rPr>
          <w:rFonts w:ascii="Times New Roman" w:hAnsi="Times New Roman" w:cs="Times New Roman"/>
          <w:bCs/>
        </w:rPr>
        <w:t>Comprovação da existência jurídica da pessoa, como:</w:t>
      </w:r>
    </w:p>
    <w:p w14:paraId="0BC8B1E9" w14:textId="77777777" w:rsidR="00B307DB" w:rsidRPr="00D84571" w:rsidRDefault="00B307DB" w:rsidP="00B307DB">
      <w:pPr>
        <w:pStyle w:val="PargrafodaLista"/>
        <w:tabs>
          <w:tab w:val="left" w:pos="2835"/>
        </w:tabs>
        <w:spacing w:after="0" w:line="240" w:lineRule="auto"/>
        <w:ind w:left="1843"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w:t>
      </w:r>
      <w:r w:rsidRPr="00D84571">
        <w:rPr>
          <w:rFonts w:ascii="Times New Roman" w:hAnsi="Times New Roman" w:cs="Times New Roman"/>
          <w:color w:val="000000" w:themeColor="text1"/>
        </w:rPr>
        <w:t>Estatuto ou contrato social;</w:t>
      </w:r>
    </w:p>
    <w:p w14:paraId="2D5DEEDE" w14:textId="77777777" w:rsidR="00B307DB" w:rsidRPr="00D84571" w:rsidRDefault="00B307DB" w:rsidP="00B307DB">
      <w:pPr>
        <w:pStyle w:val="PargrafodaLista"/>
        <w:tabs>
          <w:tab w:val="left" w:pos="2835"/>
        </w:tabs>
        <w:spacing w:after="0" w:line="240" w:lineRule="auto"/>
        <w:ind w:left="1843"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ii)</w:t>
      </w:r>
      <w:r w:rsidRPr="00D84571">
        <w:rPr>
          <w:rFonts w:ascii="Times New Roman" w:hAnsi="Times New Roman" w:cs="Times New Roman"/>
          <w:color w:val="000000" w:themeColor="text1"/>
        </w:rPr>
        <w:t>Ato constitutivo;</w:t>
      </w:r>
    </w:p>
    <w:p w14:paraId="07A18F79" w14:textId="77777777" w:rsidR="00B307DB" w:rsidRPr="00D84571" w:rsidRDefault="00B307DB" w:rsidP="00B307DB">
      <w:pPr>
        <w:pStyle w:val="PargrafodaLista"/>
        <w:tabs>
          <w:tab w:val="left" w:pos="2835"/>
        </w:tabs>
        <w:spacing w:after="0" w:line="240" w:lineRule="auto"/>
        <w:ind w:left="1843"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iii)</w:t>
      </w:r>
      <w:r w:rsidRPr="00D84571">
        <w:rPr>
          <w:rFonts w:ascii="Times New Roman" w:hAnsi="Times New Roman" w:cs="Times New Roman"/>
          <w:color w:val="000000" w:themeColor="text1"/>
        </w:rPr>
        <w:t>Registro comercial;</w:t>
      </w:r>
    </w:p>
    <w:p w14:paraId="5C09B9BF" w14:textId="77777777" w:rsidR="00B307DB" w:rsidRPr="00273EC0" w:rsidRDefault="00B307DB" w:rsidP="00B307DB">
      <w:pPr>
        <w:pStyle w:val="PargrafodaLista"/>
        <w:tabs>
          <w:tab w:val="left" w:pos="2835"/>
        </w:tabs>
        <w:spacing w:after="0" w:line="240" w:lineRule="auto"/>
        <w:ind w:left="1843"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iv)</w:t>
      </w:r>
      <w:r w:rsidRPr="00273EC0">
        <w:rPr>
          <w:rFonts w:ascii="Times New Roman" w:hAnsi="Times New Roman" w:cs="Times New Roman"/>
          <w:color w:val="000000" w:themeColor="text1"/>
        </w:rPr>
        <w:t>Decreto de autorização.</w:t>
      </w:r>
    </w:p>
    <w:p w14:paraId="7C27B557" w14:textId="77777777" w:rsidR="00B307DB" w:rsidRPr="00273EC0" w:rsidRDefault="00B307DB" w:rsidP="00B307DB">
      <w:pPr>
        <w:tabs>
          <w:tab w:val="left" w:pos="284"/>
        </w:tabs>
        <w:spacing w:after="0" w:line="240" w:lineRule="auto"/>
        <w:ind w:left="567" w:right="-568"/>
        <w:jc w:val="both"/>
        <w:rPr>
          <w:rFonts w:ascii="Times New Roman" w:hAnsi="Times New Roman" w:cs="Times New Roman"/>
          <w:b/>
        </w:rPr>
      </w:pPr>
      <w:r w:rsidRPr="00273EC0">
        <w:rPr>
          <w:rFonts w:ascii="Times New Roman" w:hAnsi="Times New Roman" w:cs="Times New Roman"/>
          <w:b/>
        </w:rPr>
        <w:t>Os documentos descritos no subitem “</w:t>
      </w:r>
      <w:r>
        <w:rPr>
          <w:rFonts w:ascii="Times New Roman" w:hAnsi="Times New Roman" w:cs="Times New Roman"/>
          <w:b/>
        </w:rPr>
        <w:t>a</w:t>
      </w:r>
      <w:r w:rsidRPr="00273EC0">
        <w:rPr>
          <w:rFonts w:ascii="Times New Roman" w:hAnsi="Times New Roman" w:cs="Times New Roman"/>
          <w:b/>
        </w:rPr>
        <w:t>” deverão estar acompanhados de todas as alterações ou da consolidação respectiva, conforme legislação em vigor;</w:t>
      </w:r>
    </w:p>
    <w:p w14:paraId="1A64CC75" w14:textId="77777777" w:rsidR="00B307DB" w:rsidRPr="00D84571" w:rsidRDefault="00B307DB" w:rsidP="00B307DB">
      <w:pPr>
        <w:pStyle w:val="PargrafodaLista"/>
        <w:tabs>
          <w:tab w:val="left" w:pos="567"/>
          <w:tab w:val="left" w:pos="1134"/>
        </w:tabs>
        <w:spacing w:after="0" w:line="240" w:lineRule="auto"/>
        <w:ind w:left="567"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IV -</w:t>
      </w:r>
      <w:r>
        <w:rPr>
          <w:rFonts w:ascii="Times New Roman" w:hAnsi="Times New Roman" w:cs="Times New Roman"/>
          <w:color w:val="000000" w:themeColor="text1"/>
        </w:rPr>
        <w:t xml:space="preserve"> </w:t>
      </w:r>
      <w:r w:rsidRPr="00273EC0">
        <w:rPr>
          <w:rFonts w:ascii="Times New Roman" w:hAnsi="Times New Roman" w:cs="Times New Roman"/>
          <w:color w:val="000000" w:themeColor="text1"/>
        </w:rPr>
        <w:t>HABILITAÇÃO</w:t>
      </w:r>
      <w:r w:rsidRPr="00D84571">
        <w:rPr>
          <w:rFonts w:ascii="Times New Roman" w:hAnsi="Times New Roman" w:cs="Times New Roman"/>
          <w:color w:val="000000" w:themeColor="text1"/>
        </w:rPr>
        <w:t xml:space="preserve"> TÉCNICA (</w:t>
      </w:r>
      <w:hyperlink r:id="rId122" w:anchor="art67" w:history="1">
        <w:r w:rsidRPr="00D84571">
          <w:rPr>
            <w:rStyle w:val="Hyperlink"/>
            <w:rFonts w:ascii="Times New Roman" w:hAnsi="Times New Roman" w:cs="Times New Roman"/>
          </w:rPr>
          <w:t>art. 67 da Lei nº 14.133/2021</w:t>
        </w:r>
      </w:hyperlink>
      <w:r w:rsidRPr="00D84571">
        <w:rPr>
          <w:rFonts w:ascii="Times New Roman" w:hAnsi="Times New Roman" w:cs="Times New Roman"/>
          <w:color w:val="000000" w:themeColor="text1"/>
        </w:rPr>
        <w:t>):</w:t>
      </w:r>
    </w:p>
    <w:p w14:paraId="2804761A" w14:textId="77777777" w:rsidR="00B307DB" w:rsidRDefault="00B307DB" w:rsidP="00B307DB">
      <w:pPr>
        <w:pStyle w:val="PargrafodaLista"/>
        <w:tabs>
          <w:tab w:val="left" w:pos="284"/>
          <w:tab w:val="left" w:pos="567"/>
          <w:tab w:val="left" w:pos="851"/>
        </w:tabs>
        <w:ind w:left="1134" w:right="-568"/>
        <w:jc w:val="both"/>
        <w:rPr>
          <w:rFonts w:ascii="Times New Roman" w:hAnsi="Times New Roman" w:cs="Times New Roman"/>
        </w:rPr>
      </w:pPr>
      <w:r w:rsidRPr="007834BF">
        <w:rPr>
          <w:rFonts w:ascii="Times New Roman" w:hAnsi="Times New Roman" w:cs="Times New Roman"/>
          <w:b/>
        </w:rPr>
        <w:lastRenderedPageBreak/>
        <w:t>a)</w:t>
      </w:r>
      <w:r w:rsidRPr="007834BF">
        <w:rPr>
          <w:rFonts w:ascii="Times New Roman" w:hAnsi="Times New Roman" w:cs="Times New Roman"/>
        </w:rPr>
        <w:t xml:space="preserve"> </w:t>
      </w:r>
      <w:r w:rsidRPr="00265F80">
        <w:rPr>
          <w:rFonts w:ascii="Times New Roman" w:hAnsi="Times New Roman" w:cs="Times New Roman"/>
        </w:rPr>
        <w:t xml:space="preserve">Comprovação de aptidão para desempenho de atividade pertinente e compatível em características, quantidades e prazos com o objeto da licitação, mediante a apresentação de </w:t>
      </w:r>
      <w:r>
        <w:rPr>
          <w:rFonts w:ascii="Times New Roman" w:hAnsi="Times New Roman" w:cs="Times New Roman"/>
        </w:rPr>
        <w:t xml:space="preserve">no mínimo </w:t>
      </w:r>
      <w:r w:rsidRPr="00265F80">
        <w:rPr>
          <w:rFonts w:ascii="Times New Roman" w:hAnsi="Times New Roman" w:cs="Times New Roman"/>
        </w:rPr>
        <w:t xml:space="preserve">1 (um) atestado ou declaração de capacidade técnica, assinado por outro(s) contratante(s), comprovando que a LICITANTE implantou e/ou que mantém em funcionamento sistema de gestão pública em nuvem, como indica o objeto desta licitação, pelo menos nos seguintes módulos de maior relevância: </w:t>
      </w:r>
    </w:p>
    <w:p w14:paraId="4E3395DE" w14:textId="77777777" w:rsidR="00B307DB" w:rsidRDefault="00B307DB" w:rsidP="00B307DB">
      <w:pPr>
        <w:pStyle w:val="PargrafodaLista"/>
        <w:tabs>
          <w:tab w:val="left" w:pos="284"/>
          <w:tab w:val="left" w:pos="567"/>
          <w:tab w:val="left" w:pos="851"/>
        </w:tabs>
        <w:ind w:left="1134" w:right="-568"/>
        <w:jc w:val="both"/>
        <w:rPr>
          <w:rFonts w:ascii="Times New Roman" w:hAnsi="Times New Roman" w:cs="Times New Roman"/>
        </w:rPr>
      </w:pPr>
      <w:r w:rsidRPr="00A67571">
        <w:rPr>
          <w:rFonts w:ascii="Times New Roman" w:hAnsi="Times New Roman" w:cs="Times New Roman"/>
          <w:i/>
        </w:rPr>
        <w:t>Plano Plurianual, Lei Orçamentária Anual, Lei de Diretriz Orçamentária, Contabilidade Pública, Informações Automatizadas (TCE/SC), Responsabilidade Fiscal, Tesouraria, Transparência, Licitações e Contratos (com pregão eletrônico e Integrado do PNCP), Folha de Pagamento (com concurso público e atos legais), Atendimento ao eSocial, Portal do Servidor, Contra Cheque Online, Tributação e Receitas (Com cobrança registrada/pix), Declaração de ISS Digital, Nota Fiscal Eletrônica (ABRASF 2.0), Aplicativo de Mobilidade, Processos Digitais (Assinatura eletrônica Nativa), Indicadores de Gestão, provimento de datacenter, Fluxo Monetário (Conciliação bancária automática), bem como realizou serviço de acompanhamento técnico, Emissão de IPTU</w:t>
      </w:r>
      <w:r w:rsidRPr="0062736F">
        <w:rPr>
          <w:rFonts w:ascii="Times New Roman" w:hAnsi="Times New Roman" w:cs="Times New Roman"/>
        </w:rPr>
        <w:t>;</w:t>
      </w:r>
    </w:p>
    <w:p w14:paraId="2C0937FF" w14:textId="77777777" w:rsidR="00B307DB" w:rsidRDefault="00B307DB" w:rsidP="00B307DB">
      <w:pPr>
        <w:pStyle w:val="PargrafodaLista"/>
        <w:tabs>
          <w:tab w:val="left" w:pos="284"/>
          <w:tab w:val="left" w:pos="567"/>
          <w:tab w:val="left" w:pos="851"/>
        </w:tabs>
        <w:ind w:left="1134" w:right="-568"/>
        <w:jc w:val="both"/>
        <w:rPr>
          <w:rFonts w:ascii="Times New Roman" w:hAnsi="Times New Roman" w:cs="Times New Roman"/>
        </w:rPr>
      </w:pPr>
      <w:r w:rsidRPr="0062736F">
        <w:rPr>
          <w:rFonts w:ascii="Times New Roman" w:hAnsi="Times New Roman" w:cs="Times New Roman"/>
          <w:b/>
        </w:rPr>
        <w:t xml:space="preserve">b) </w:t>
      </w:r>
      <w:r w:rsidRPr="0062736F">
        <w:rPr>
          <w:rFonts w:ascii="Times New Roman" w:hAnsi="Times New Roman" w:cs="Times New Roman"/>
        </w:rPr>
        <w:t>Atestado de visita técnica, o licitante poderá visitar a Prefeitura de Riqueza/SC, com até 03 (três) dias de antecedência a abertura da proposta do processo licitatório, devendo esta visita ser agendada previamente com o setor de licitações, através dos telefones (49) 36753206, com objetivo de conhecer a estrutura atual de informatização deste município.</w:t>
      </w:r>
      <w:r w:rsidRPr="0062736F">
        <w:rPr>
          <w:rFonts w:ascii="Times New Roman" w:hAnsi="Times New Roman" w:cs="Times New Roman"/>
          <w:b/>
        </w:rPr>
        <w:t xml:space="preserve"> Caso o licitante opte em não efetuar a visita técnica, deverá apresentar declaração de renúncia constando que assume incondicionalmente, a responsabilidade de realizar os serviços em conformidade com todas as condições e exigências estabelecidas no edital</w:t>
      </w:r>
      <w:r w:rsidRPr="0062736F">
        <w:rPr>
          <w:rFonts w:ascii="Times New Roman" w:hAnsi="Times New Roman" w:cs="Times New Roman"/>
        </w:rPr>
        <w:t xml:space="preserve">, bem como garantir a sua plena execução, durante toda a vigência do contrato decorrente desta licitação, certos de que não caberá, a posterior, nenhuma reclamação de desconhecimento do objeto licitado; </w:t>
      </w:r>
    </w:p>
    <w:p w14:paraId="78B5FD03" w14:textId="77777777" w:rsidR="00B307DB" w:rsidRPr="0062736F" w:rsidRDefault="00B307DB" w:rsidP="00B307DB">
      <w:pPr>
        <w:pStyle w:val="PargrafodaLista"/>
        <w:tabs>
          <w:tab w:val="left" w:pos="284"/>
          <w:tab w:val="left" w:pos="567"/>
          <w:tab w:val="left" w:pos="851"/>
        </w:tabs>
        <w:ind w:left="1134" w:right="-568"/>
        <w:jc w:val="both"/>
        <w:rPr>
          <w:rFonts w:ascii="Times New Roman" w:hAnsi="Times New Roman" w:cs="Times New Roman"/>
        </w:rPr>
      </w:pPr>
      <w:r>
        <w:rPr>
          <w:rFonts w:ascii="Times New Roman" w:hAnsi="Times New Roman" w:cs="Times New Roman"/>
          <w:b/>
        </w:rPr>
        <w:t xml:space="preserve">c) </w:t>
      </w:r>
      <w:r w:rsidRPr="0062736F">
        <w:rPr>
          <w:rFonts w:ascii="Times New Roman" w:hAnsi="Times New Roman" w:cs="Times New Roman"/>
        </w:rPr>
        <w:t xml:space="preserve">Declaração de Atendimento dos Requisitos Técnicos e de Capacidade Operativa - Declaração de que a licitante disporá, por ocasião da futura contratação, de todos os equipamentos, pessoal técnico e operacional necessários à execução dos serviços, incluindo que o fornecedor disponibilizará data center (próprio ou terceirizado) com capacidade de processamento (links, servidores, nobreaks, fontes alternativas de energia (grupo gerador), segurança, sistema de climatização), para alocação dos sistemas objeto desta licitação, conforme orientações do termo de referência, garantindo ainda que não haverá qualquer tipo de paralisação dos serviços por falta </w:t>
      </w:r>
      <w:r>
        <w:rPr>
          <w:rFonts w:ascii="Times New Roman" w:hAnsi="Times New Roman" w:cs="Times New Roman"/>
        </w:rPr>
        <w:t>dos equipamentos ou de pessoal;</w:t>
      </w:r>
    </w:p>
    <w:p w14:paraId="78B851F3" w14:textId="77777777" w:rsidR="00B307DB" w:rsidRPr="0062736F" w:rsidRDefault="00B307DB" w:rsidP="00B307DB">
      <w:pPr>
        <w:pStyle w:val="PargrafodaLista"/>
        <w:ind w:left="1134" w:right="-568"/>
        <w:rPr>
          <w:rFonts w:ascii="Times New Roman" w:hAnsi="Times New Roman" w:cs="Times New Roman"/>
        </w:rPr>
      </w:pPr>
      <w:r>
        <w:rPr>
          <w:rFonts w:ascii="Times New Roman" w:hAnsi="Times New Roman" w:cs="Times New Roman"/>
          <w:b/>
        </w:rPr>
        <w:t>d</w:t>
      </w:r>
      <w:r w:rsidRPr="0062736F">
        <w:rPr>
          <w:rFonts w:ascii="Times New Roman" w:hAnsi="Times New Roman" w:cs="Times New Roman"/>
          <w:b/>
        </w:rPr>
        <w:t xml:space="preserve">) </w:t>
      </w:r>
      <w:r w:rsidRPr="0062736F">
        <w:rPr>
          <w:rFonts w:ascii="Times New Roman" w:hAnsi="Times New Roman" w:cs="Times New Roman"/>
        </w:rPr>
        <w:t>Declaração de que o sistema de gestão atende as condições estabelecidas na</w:t>
      </w:r>
      <w:r>
        <w:rPr>
          <w:rFonts w:ascii="Times New Roman" w:hAnsi="Times New Roman" w:cs="Times New Roman"/>
        </w:rPr>
        <w:t xml:space="preserve"> Instrução Normativa TC-35/2024;</w:t>
      </w:r>
    </w:p>
    <w:p w14:paraId="522CCCD7" w14:textId="77777777" w:rsidR="00B307DB" w:rsidRPr="0062736F" w:rsidRDefault="00B307DB" w:rsidP="00B307DB">
      <w:pPr>
        <w:pStyle w:val="PargrafodaLista"/>
        <w:ind w:left="1134" w:right="-568"/>
        <w:rPr>
          <w:rFonts w:ascii="Times New Roman" w:hAnsi="Times New Roman" w:cs="Times New Roman"/>
          <w:b/>
        </w:rPr>
      </w:pPr>
      <w:r>
        <w:rPr>
          <w:rFonts w:ascii="Times New Roman" w:hAnsi="Times New Roman" w:cs="Times New Roman"/>
          <w:b/>
        </w:rPr>
        <w:t>e</w:t>
      </w:r>
      <w:r w:rsidRPr="0062736F">
        <w:rPr>
          <w:rFonts w:ascii="Times New Roman" w:hAnsi="Times New Roman" w:cs="Times New Roman"/>
          <w:b/>
        </w:rPr>
        <w:t xml:space="preserve">) </w:t>
      </w:r>
      <w:r w:rsidRPr="0062736F">
        <w:rPr>
          <w:rFonts w:ascii="Times New Roman" w:hAnsi="Times New Roman" w:cs="Times New Roman"/>
        </w:rPr>
        <w:t xml:space="preserve">Declaração de que o sistema que atende integralmente os aspectos legais (SIAFIC) conforme previsão legal contida do Decreto Nº 10540/2022. </w:t>
      </w:r>
    </w:p>
    <w:p w14:paraId="1BBB2DCC" w14:textId="77777777" w:rsidR="00B307DB" w:rsidRPr="00D84571" w:rsidRDefault="00B307DB" w:rsidP="00B307DB">
      <w:pPr>
        <w:pStyle w:val="PargrafodaLista"/>
        <w:tabs>
          <w:tab w:val="left" w:pos="426"/>
          <w:tab w:val="left" w:pos="851"/>
          <w:tab w:val="left" w:pos="993"/>
        </w:tabs>
        <w:spacing w:after="0" w:line="240" w:lineRule="auto"/>
        <w:ind w:left="567" w:right="-568"/>
        <w:contextualSpacing w:val="0"/>
        <w:jc w:val="both"/>
        <w:rPr>
          <w:rFonts w:ascii="Times New Roman" w:hAnsi="Times New Roman" w:cs="Times New Roman"/>
          <w:color w:val="000000" w:themeColor="text1"/>
        </w:rPr>
      </w:pPr>
      <w:r w:rsidRPr="007A1B19">
        <w:rPr>
          <w:rFonts w:ascii="Times New Roman" w:hAnsi="Times New Roman" w:cs="Times New Roman"/>
          <w:b/>
          <w:color w:val="000000" w:themeColor="text1"/>
        </w:rPr>
        <w:t>V -</w:t>
      </w:r>
      <w:r>
        <w:rPr>
          <w:rFonts w:ascii="Times New Roman" w:hAnsi="Times New Roman" w:cs="Times New Roman"/>
          <w:color w:val="000000" w:themeColor="text1"/>
        </w:rPr>
        <w:t xml:space="preserve"> </w:t>
      </w:r>
      <w:r w:rsidRPr="00D84571">
        <w:rPr>
          <w:rFonts w:ascii="Times New Roman" w:hAnsi="Times New Roman" w:cs="Times New Roman"/>
          <w:color w:val="000000" w:themeColor="text1"/>
        </w:rPr>
        <w:t>HABILITAÇÃO FISCAL, SOCIAL E TRABALHISTA (</w:t>
      </w:r>
      <w:hyperlink r:id="rId123" w:anchor="art68" w:history="1">
        <w:r w:rsidRPr="00D84571">
          <w:rPr>
            <w:rStyle w:val="Hyperlink"/>
            <w:rFonts w:ascii="Times New Roman" w:hAnsi="Times New Roman" w:cs="Times New Roman"/>
          </w:rPr>
          <w:t>art. 68 da Lei nº 14.133/2021</w:t>
        </w:r>
      </w:hyperlink>
      <w:r w:rsidRPr="00D84571">
        <w:rPr>
          <w:rFonts w:ascii="Times New Roman" w:hAnsi="Times New Roman" w:cs="Times New Roman"/>
          <w:color w:val="000000" w:themeColor="text1"/>
        </w:rPr>
        <w:t>):</w:t>
      </w:r>
    </w:p>
    <w:p w14:paraId="76D8AED7" w14:textId="77777777" w:rsidR="00B307DB" w:rsidRPr="00D84571" w:rsidRDefault="00B307DB" w:rsidP="00B307DB">
      <w:pPr>
        <w:pStyle w:val="PargrafodaLista"/>
        <w:tabs>
          <w:tab w:val="left" w:pos="567"/>
        </w:tabs>
        <w:spacing w:after="0" w:line="240" w:lineRule="auto"/>
        <w:ind w:left="1134"/>
        <w:contextualSpacing w:val="0"/>
        <w:jc w:val="both"/>
        <w:rPr>
          <w:rFonts w:ascii="Times New Roman" w:hAnsi="Times New Roman" w:cs="Times New Roman"/>
        </w:rPr>
      </w:pPr>
      <w:r w:rsidRPr="007A1B19">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Prova de inscrição no Cadastro Nacional de Pessoa Jurídica (CNPJ);</w:t>
      </w:r>
    </w:p>
    <w:p w14:paraId="71B87619" w14:textId="77777777" w:rsidR="00B307DB" w:rsidRPr="00D84571" w:rsidRDefault="00B307DB" w:rsidP="00B307DB">
      <w:pPr>
        <w:pStyle w:val="PargrafodaLista"/>
        <w:tabs>
          <w:tab w:val="left" w:pos="567"/>
        </w:tabs>
        <w:spacing w:after="0" w:line="240" w:lineRule="auto"/>
        <w:ind w:left="1134"/>
        <w:rPr>
          <w:rFonts w:ascii="Times New Roman" w:hAnsi="Times New Roman" w:cs="Times New Roman"/>
        </w:rPr>
      </w:pPr>
      <w:r w:rsidRPr="007A1B19">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Documentos pessoais, como CPF, Carteira de Identidade ou CNH;</w:t>
      </w:r>
    </w:p>
    <w:p w14:paraId="4C9790FF" w14:textId="77777777" w:rsidR="00B307DB" w:rsidRPr="00D84571" w:rsidRDefault="00B307DB" w:rsidP="00B307DB">
      <w:pPr>
        <w:pStyle w:val="PargrafodaLista"/>
        <w:tabs>
          <w:tab w:val="left" w:pos="567"/>
        </w:tabs>
        <w:spacing w:after="0" w:line="240" w:lineRule="auto"/>
        <w:ind w:left="1134"/>
        <w:contextualSpacing w:val="0"/>
        <w:jc w:val="both"/>
        <w:rPr>
          <w:rFonts w:ascii="Times New Roman" w:hAnsi="Times New Roman" w:cs="Times New Roman"/>
        </w:rPr>
      </w:pPr>
      <w:r w:rsidRPr="007A1B19">
        <w:rPr>
          <w:rFonts w:ascii="Times New Roman" w:hAnsi="Times New Roman" w:cs="Times New Roman"/>
          <w:b/>
          <w:bCs/>
        </w:rPr>
        <w:t>c)</w:t>
      </w:r>
      <w:r>
        <w:rPr>
          <w:rFonts w:ascii="Times New Roman" w:hAnsi="Times New Roman" w:cs="Times New Roman"/>
          <w:bCs/>
        </w:rPr>
        <w:t xml:space="preserve"> </w:t>
      </w:r>
      <w:r w:rsidRPr="00D84571">
        <w:rPr>
          <w:rFonts w:ascii="Times New Roman" w:hAnsi="Times New Roman" w:cs="Times New Roman"/>
          <w:bCs/>
        </w:rPr>
        <w:t xml:space="preserve">Inscrição no cadastro de </w:t>
      </w:r>
      <w:r w:rsidRPr="00D84571">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6DA26079" w14:textId="77777777" w:rsidR="00B307DB" w:rsidRPr="00D84571" w:rsidRDefault="00B307DB" w:rsidP="00B307DB">
      <w:pPr>
        <w:pStyle w:val="PargrafodaLista"/>
        <w:tabs>
          <w:tab w:val="left" w:pos="567"/>
          <w:tab w:val="left" w:pos="709"/>
          <w:tab w:val="left" w:pos="1701"/>
        </w:tabs>
        <w:spacing w:after="0" w:line="240" w:lineRule="auto"/>
        <w:ind w:left="1134" w:right="-568"/>
        <w:contextualSpacing w:val="0"/>
        <w:jc w:val="both"/>
        <w:rPr>
          <w:rFonts w:ascii="Times New Roman" w:hAnsi="Times New Roman" w:cs="Times New Roman"/>
          <w:color w:val="000000" w:themeColor="text1"/>
        </w:rPr>
      </w:pPr>
      <w:r w:rsidRPr="007A1B19">
        <w:rPr>
          <w:rFonts w:ascii="Times New Roman" w:hAnsi="Times New Roman" w:cs="Times New Roman"/>
          <w:b/>
          <w:bCs/>
        </w:rPr>
        <w:t>d)</w:t>
      </w:r>
      <w:r>
        <w:rPr>
          <w:rFonts w:ascii="Times New Roman" w:hAnsi="Times New Roman" w:cs="Times New Roman"/>
          <w:bCs/>
        </w:rPr>
        <w:t xml:space="preserve"> </w:t>
      </w:r>
      <w:r w:rsidRPr="00D84571">
        <w:rPr>
          <w:rFonts w:ascii="Times New Roman" w:hAnsi="Times New Roman" w:cs="Times New Roman"/>
          <w:bCs/>
        </w:rPr>
        <w:t>Regularidade com a Fazenda federal do domicílio ou sede do licitante;</w:t>
      </w:r>
    </w:p>
    <w:p w14:paraId="095BF9FF" w14:textId="77777777" w:rsidR="00B307DB" w:rsidRPr="00D84571" w:rsidRDefault="00B307DB" w:rsidP="00B307DB">
      <w:pPr>
        <w:pStyle w:val="PargrafodaLista"/>
        <w:tabs>
          <w:tab w:val="left" w:pos="567"/>
          <w:tab w:val="left" w:pos="709"/>
          <w:tab w:val="left" w:pos="1701"/>
        </w:tabs>
        <w:spacing w:after="0" w:line="240" w:lineRule="auto"/>
        <w:ind w:left="1134" w:right="-568"/>
        <w:contextualSpacing w:val="0"/>
        <w:jc w:val="both"/>
        <w:rPr>
          <w:rFonts w:ascii="Times New Roman" w:hAnsi="Times New Roman" w:cs="Times New Roman"/>
          <w:color w:val="000000" w:themeColor="text1"/>
        </w:rPr>
      </w:pPr>
      <w:r w:rsidRPr="007A1B19">
        <w:rPr>
          <w:rFonts w:ascii="Times New Roman" w:hAnsi="Times New Roman" w:cs="Times New Roman"/>
          <w:b/>
          <w:bCs/>
        </w:rPr>
        <w:t>e)</w:t>
      </w:r>
      <w:r>
        <w:rPr>
          <w:rFonts w:ascii="Times New Roman" w:hAnsi="Times New Roman" w:cs="Times New Roman"/>
          <w:bCs/>
        </w:rPr>
        <w:t xml:space="preserve"> </w:t>
      </w:r>
      <w:r w:rsidRPr="00D84571">
        <w:rPr>
          <w:rFonts w:ascii="Times New Roman" w:hAnsi="Times New Roman" w:cs="Times New Roman"/>
          <w:bCs/>
        </w:rPr>
        <w:t>Regularidade com a Fazenda estadual do domicílio ou sede do licitante;</w:t>
      </w:r>
    </w:p>
    <w:p w14:paraId="28925ED1" w14:textId="77777777" w:rsidR="00B307DB" w:rsidRPr="00D84571" w:rsidRDefault="00B307DB" w:rsidP="00B307DB">
      <w:pPr>
        <w:pStyle w:val="PargrafodaLista"/>
        <w:tabs>
          <w:tab w:val="left" w:pos="567"/>
          <w:tab w:val="left" w:pos="709"/>
          <w:tab w:val="left" w:pos="1701"/>
        </w:tabs>
        <w:spacing w:after="0" w:line="240" w:lineRule="auto"/>
        <w:ind w:left="1134" w:right="-568"/>
        <w:contextualSpacing w:val="0"/>
        <w:jc w:val="both"/>
        <w:rPr>
          <w:rFonts w:ascii="Times New Roman" w:hAnsi="Times New Roman" w:cs="Times New Roman"/>
          <w:color w:val="000000" w:themeColor="text1"/>
        </w:rPr>
      </w:pPr>
      <w:r w:rsidRPr="007A1B19">
        <w:rPr>
          <w:rFonts w:ascii="Times New Roman" w:hAnsi="Times New Roman" w:cs="Times New Roman"/>
          <w:b/>
          <w:bCs/>
        </w:rPr>
        <w:t>f)</w:t>
      </w:r>
      <w:r>
        <w:rPr>
          <w:rFonts w:ascii="Times New Roman" w:hAnsi="Times New Roman" w:cs="Times New Roman"/>
          <w:bCs/>
        </w:rPr>
        <w:t xml:space="preserve"> </w:t>
      </w:r>
      <w:r w:rsidRPr="00D84571">
        <w:rPr>
          <w:rFonts w:ascii="Times New Roman" w:hAnsi="Times New Roman" w:cs="Times New Roman"/>
          <w:bCs/>
        </w:rPr>
        <w:t>Regularidade com a Fazenda municipal do domicílio ou sede do licitante;</w:t>
      </w:r>
    </w:p>
    <w:p w14:paraId="124C2DBA" w14:textId="77777777" w:rsidR="00B307DB" w:rsidRPr="00D84571" w:rsidRDefault="00B307DB" w:rsidP="00B307DB">
      <w:pPr>
        <w:pStyle w:val="Rodap"/>
        <w:tabs>
          <w:tab w:val="left" w:pos="567"/>
          <w:tab w:val="left" w:pos="709"/>
          <w:tab w:val="left" w:pos="1276"/>
        </w:tabs>
        <w:ind w:left="1134" w:right="-568"/>
        <w:jc w:val="both"/>
        <w:rPr>
          <w:rStyle w:val="Hyperlink"/>
          <w:rFonts w:ascii="Times New Roman" w:hAnsi="Times New Roman" w:cs="Times New Roman"/>
          <w:color w:val="000000" w:themeColor="text1"/>
        </w:rPr>
      </w:pPr>
      <w:r w:rsidRPr="007A1B19">
        <w:rPr>
          <w:rFonts w:ascii="Times New Roman" w:hAnsi="Times New Roman" w:cs="Times New Roman"/>
          <w:b/>
          <w:bCs/>
        </w:rPr>
        <w:t>g)</w:t>
      </w:r>
      <w:r>
        <w:rPr>
          <w:rFonts w:ascii="Times New Roman" w:hAnsi="Times New Roman" w:cs="Times New Roman"/>
          <w:bCs/>
        </w:rPr>
        <w:t xml:space="preserve"> </w:t>
      </w:r>
      <w:r w:rsidRPr="00D84571">
        <w:rPr>
          <w:rFonts w:ascii="Times New Roman" w:hAnsi="Times New Roman" w:cs="Times New Roman"/>
          <w:bCs/>
        </w:rPr>
        <w:t xml:space="preserve">Regularidade com o FGTS: </w:t>
      </w:r>
      <w:hyperlink r:id="rId124" w:history="1">
        <w:r w:rsidRPr="00D84571">
          <w:rPr>
            <w:rStyle w:val="Hyperlink"/>
            <w:rFonts w:ascii="Times New Roman" w:hAnsi="Times New Roman" w:cs="Times New Roman"/>
            <w:bCs/>
          </w:rPr>
          <w:t>https://consulta-crf.caixa.gov.br/consultacrf/pages/consultaEmpregador.jsf</w:t>
        </w:r>
      </w:hyperlink>
    </w:p>
    <w:p w14:paraId="0F82FC16" w14:textId="77777777" w:rsidR="00B307DB" w:rsidRPr="00D84571" w:rsidRDefault="00B307DB" w:rsidP="00B307DB">
      <w:pPr>
        <w:pStyle w:val="Rodap"/>
        <w:tabs>
          <w:tab w:val="left" w:pos="567"/>
          <w:tab w:val="left" w:pos="709"/>
          <w:tab w:val="left" w:pos="1701"/>
        </w:tabs>
        <w:ind w:left="1134" w:right="-568"/>
        <w:jc w:val="both"/>
        <w:rPr>
          <w:rStyle w:val="Hyperlink"/>
          <w:rFonts w:ascii="Times New Roman" w:hAnsi="Times New Roman" w:cs="Times New Roman"/>
          <w:color w:val="000000" w:themeColor="text1"/>
        </w:rPr>
      </w:pPr>
      <w:r w:rsidRPr="007A1B19">
        <w:rPr>
          <w:rFonts w:ascii="Times New Roman" w:hAnsi="Times New Roman" w:cs="Times New Roman"/>
          <w:b/>
          <w:bCs/>
        </w:rPr>
        <w:t>h)</w:t>
      </w:r>
      <w:r>
        <w:rPr>
          <w:rFonts w:ascii="Times New Roman" w:hAnsi="Times New Roman" w:cs="Times New Roman"/>
          <w:bCs/>
        </w:rPr>
        <w:t xml:space="preserve"> </w:t>
      </w:r>
      <w:r w:rsidRPr="00D84571">
        <w:rPr>
          <w:rFonts w:ascii="Times New Roman" w:hAnsi="Times New Roman" w:cs="Times New Roman"/>
          <w:bCs/>
        </w:rPr>
        <w:t xml:space="preserve">Regularidade com a Justiça do Trabalho: </w:t>
      </w:r>
      <w:hyperlink r:id="rId125" w:history="1">
        <w:r w:rsidRPr="00D84571">
          <w:rPr>
            <w:rStyle w:val="Hyperlink"/>
            <w:rFonts w:ascii="Times New Roman" w:hAnsi="Times New Roman" w:cs="Times New Roman"/>
            <w:bCs/>
          </w:rPr>
          <w:t>https://www.tst.jus.br/certidao1</w:t>
        </w:r>
      </w:hyperlink>
    </w:p>
    <w:p w14:paraId="2F0D7E5B" w14:textId="77777777" w:rsidR="00B307DB" w:rsidRPr="00411F2A" w:rsidRDefault="00B307DB" w:rsidP="00B307DB">
      <w:pPr>
        <w:pStyle w:val="Rodap"/>
        <w:shd w:val="clear" w:color="auto" w:fill="FFFFFF" w:themeFill="background1"/>
        <w:tabs>
          <w:tab w:val="left" w:pos="567"/>
          <w:tab w:val="left" w:pos="709"/>
          <w:tab w:val="left" w:pos="1701"/>
        </w:tabs>
        <w:ind w:left="1134" w:right="-568"/>
        <w:jc w:val="both"/>
        <w:rPr>
          <w:rFonts w:ascii="Times New Roman" w:hAnsi="Times New Roman" w:cs="Times New Roman"/>
          <w:color w:val="000000" w:themeColor="text1"/>
        </w:rPr>
      </w:pPr>
      <w:r w:rsidRPr="007A1B19">
        <w:rPr>
          <w:rFonts w:ascii="Times New Roman" w:hAnsi="Times New Roman" w:cs="Times New Roman"/>
          <w:b/>
          <w:bCs/>
        </w:rPr>
        <w:t>i)</w:t>
      </w:r>
      <w:r>
        <w:rPr>
          <w:rFonts w:ascii="Times New Roman" w:hAnsi="Times New Roman" w:cs="Times New Roman"/>
          <w:bCs/>
        </w:rPr>
        <w:t xml:space="preserve"> </w:t>
      </w:r>
      <w:r w:rsidRPr="00D84571">
        <w:rPr>
          <w:rFonts w:ascii="Times New Roman" w:hAnsi="Times New Roman" w:cs="Times New Roman"/>
          <w:bCs/>
        </w:rPr>
        <w:t xml:space="preserve">Cumprimento do </w:t>
      </w:r>
      <w:hyperlink r:id="rId126" w:anchor="art7xxxiii" w:history="1">
        <w:r w:rsidRPr="00D84571">
          <w:rPr>
            <w:rStyle w:val="Hyperlink"/>
            <w:rFonts w:ascii="Times New Roman" w:hAnsi="Times New Roman" w:cs="Times New Roman"/>
            <w:bCs/>
          </w:rPr>
          <w:t>art. 7º, XXXIII da CF/88</w:t>
        </w:r>
      </w:hyperlink>
      <w:r w:rsidRPr="00D84571">
        <w:rPr>
          <w:rFonts w:ascii="Times New Roman" w:hAnsi="Times New Roman" w:cs="Times New Roman"/>
          <w:bCs/>
        </w:rPr>
        <w:t xml:space="preserve">: </w:t>
      </w:r>
      <w:r w:rsidRPr="00D84571">
        <w:rPr>
          <w:rFonts w:ascii="Times New Roman" w:hAnsi="Times New Roman" w:cs="Times New Roman"/>
          <w:bCs/>
          <w:i/>
          <w:iCs/>
        </w:rPr>
        <w:t xml:space="preserve">proibição de trabalho noturno, perigoso ou insalubre a menores de dezoito e de qualquer trabalho a menores de dezesseis anos, salvo na condição de aprendiz, a partir de quatorze </w:t>
      </w:r>
      <w:r w:rsidRPr="00224B87">
        <w:rPr>
          <w:rFonts w:ascii="Times New Roman" w:hAnsi="Times New Roman" w:cs="Times New Roman"/>
          <w:bCs/>
          <w:i/>
          <w:iCs/>
        </w:rPr>
        <w:t xml:space="preserve">anos  </w:t>
      </w:r>
      <w:r w:rsidRPr="00224B87">
        <w:rPr>
          <w:rFonts w:ascii="Times New Roman" w:hAnsi="Times New Roman" w:cs="Times New Roman"/>
          <w:bCs/>
          <w:iCs/>
        </w:rPr>
        <w:t>(</w:t>
      </w:r>
      <w:r w:rsidRPr="00224B87">
        <w:rPr>
          <w:rFonts w:ascii="Times New Roman" w:hAnsi="Times New Roman" w:cs="Times New Roman"/>
          <w:bCs/>
          <w:iCs/>
          <w:shd w:val="clear" w:color="auto" w:fill="D9D9D9" w:themeFill="background1" w:themeFillShade="D9"/>
        </w:rPr>
        <w:t>ANEXO X</w:t>
      </w:r>
      <w:r w:rsidRPr="00224B87">
        <w:rPr>
          <w:rFonts w:ascii="Times New Roman" w:hAnsi="Times New Roman" w:cs="Times New Roman"/>
          <w:bCs/>
          <w:iCs/>
        </w:rPr>
        <w:t>).</w:t>
      </w:r>
    </w:p>
    <w:p w14:paraId="33B542E6" w14:textId="77777777" w:rsidR="00B307DB" w:rsidRPr="00711251" w:rsidRDefault="00B307DB" w:rsidP="00B307DB">
      <w:pPr>
        <w:tabs>
          <w:tab w:val="left" w:pos="567"/>
          <w:tab w:val="left" w:pos="1134"/>
        </w:tabs>
        <w:spacing w:after="0" w:line="240" w:lineRule="auto"/>
        <w:ind w:left="567" w:right="-568"/>
        <w:jc w:val="both"/>
        <w:rPr>
          <w:rFonts w:ascii="Times New Roman" w:hAnsi="Times New Roman" w:cs="Times New Roman"/>
          <w:color w:val="000000" w:themeColor="text1"/>
        </w:rPr>
      </w:pPr>
      <w:r w:rsidRPr="00711251">
        <w:rPr>
          <w:rFonts w:ascii="Times New Roman" w:hAnsi="Times New Roman" w:cs="Times New Roman"/>
          <w:b/>
          <w:color w:val="000000" w:themeColor="text1"/>
        </w:rPr>
        <w:t>VI -</w:t>
      </w:r>
      <w:r>
        <w:rPr>
          <w:rFonts w:ascii="Times New Roman" w:hAnsi="Times New Roman" w:cs="Times New Roman"/>
          <w:color w:val="000000" w:themeColor="text1"/>
        </w:rPr>
        <w:t xml:space="preserve"> </w:t>
      </w:r>
      <w:r w:rsidRPr="00711251">
        <w:rPr>
          <w:rFonts w:ascii="Times New Roman" w:hAnsi="Times New Roman" w:cs="Times New Roman"/>
          <w:color w:val="000000" w:themeColor="text1"/>
        </w:rPr>
        <w:t>HABILITAÇÃO ECONÔMICO FINANCEIRA (</w:t>
      </w:r>
      <w:hyperlink r:id="rId127" w:anchor="art68" w:history="1">
        <w:r w:rsidRPr="00711251">
          <w:rPr>
            <w:rStyle w:val="Hyperlink"/>
            <w:rFonts w:ascii="Times New Roman" w:hAnsi="Times New Roman" w:cs="Times New Roman"/>
          </w:rPr>
          <w:t>art. 69 da Lei nº 14.133/2021</w:t>
        </w:r>
      </w:hyperlink>
      <w:r w:rsidRPr="00711251">
        <w:rPr>
          <w:rFonts w:ascii="Times New Roman" w:hAnsi="Times New Roman" w:cs="Times New Roman"/>
          <w:color w:val="000000" w:themeColor="text1"/>
        </w:rPr>
        <w:t>):</w:t>
      </w:r>
    </w:p>
    <w:p w14:paraId="4BD4433A" w14:textId="77777777" w:rsidR="00B307DB" w:rsidRPr="00D84571" w:rsidRDefault="00B307DB" w:rsidP="00B307DB">
      <w:pPr>
        <w:pStyle w:val="PargrafodaLista"/>
        <w:tabs>
          <w:tab w:val="left" w:pos="567"/>
          <w:tab w:val="left" w:pos="851"/>
        </w:tabs>
        <w:spacing w:after="0" w:line="240" w:lineRule="auto"/>
        <w:ind w:left="1134" w:right="-568"/>
        <w:contextualSpacing w:val="0"/>
        <w:jc w:val="both"/>
        <w:rPr>
          <w:rFonts w:ascii="Times New Roman" w:hAnsi="Times New Roman" w:cs="Times New Roman"/>
          <w:color w:val="000000" w:themeColor="text1"/>
        </w:rPr>
      </w:pPr>
      <w:r w:rsidRPr="00711251">
        <w:rPr>
          <w:rFonts w:ascii="Times New Roman" w:hAnsi="Times New Roman" w:cs="Times New Roman"/>
          <w:b/>
          <w:bCs/>
        </w:rPr>
        <w:lastRenderedPageBreak/>
        <w:t>a)</w:t>
      </w:r>
      <w:r>
        <w:rPr>
          <w:rFonts w:ascii="Times New Roman" w:hAnsi="Times New Roman" w:cs="Times New Roman"/>
          <w:bCs/>
        </w:rPr>
        <w:t xml:space="preserve"> </w:t>
      </w:r>
      <w:r w:rsidRPr="00D84571">
        <w:rPr>
          <w:rFonts w:ascii="Times New Roman" w:hAnsi="Times New Roman" w:cs="Times New Roman"/>
          <w:bCs/>
        </w:rPr>
        <w:t>Certidão negativa de feitos sobre falência expedida pelo distribuidor da sede do licitante;</w:t>
      </w:r>
    </w:p>
    <w:p w14:paraId="2923E176" w14:textId="77777777" w:rsidR="00B307DB" w:rsidRPr="00224B87" w:rsidRDefault="00B307DB" w:rsidP="00B307DB">
      <w:pPr>
        <w:pStyle w:val="PargrafodaLista"/>
        <w:tabs>
          <w:tab w:val="left" w:pos="567"/>
          <w:tab w:val="left" w:pos="851"/>
        </w:tabs>
        <w:spacing w:after="0" w:line="240" w:lineRule="auto"/>
        <w:ind w:left="1134" w:right="-568"/>
        <w:contextualSpacing w:val="0"/>
        <w:jc w:val="both"/>
        <w:rPr>
          <w:rFonts w:ascii="Times New Roman" w:hAnsi="Times New Roman" w:cs="Times New Roman"/>
          <w:color w:val="000000" w:themeColor="text1"/>
        </w:rPr>
      </w:pPr>
      <w:r w:rsidRPr="00711251">
        <w:rPr>
          <w:rFonts w:ascii="Times New Roman" w:hAnsi="Times New Roman" w:cs="Times New Roman"/>
          <w:b/>
          <w:bCs/>
        </w:rPr>
        <w:t>b)</w:t>
      </w:r>
      <w:r>
        <w:rPr>
          <w:rFonts w:ascii="Times New Roman" w:hAnsi="Times New Roman" w:cs="Times New Roman"/>
          <w:bCs/>
        </w:rPr>
        <w:t xml:space="preserve"> </w:t>
      </w:r>
      <w:r w:rsidRPr="00224B87">
        <w:rPr>
          <w:rFonts w:ascii="Times New Roman" w:hAnsi="Times New Roman" w:cs="Times New Roman"/>
          <w:bCs/>
        </w:rPr>
        <w:t>Relação dos compromissos assumidos pelo licitante que importem em diminuição de sua capacidade econômico-financeira, excluídas parcelas já executadas de contratos firmados (</w:t>
      </w:r>
      <w:r w:rsidRPr="00224B87">
        <w:rPr>
          <w:rFonts w:ascii="Times New Roman" w:hAnsi="Times New Roman" w:cs="Times New Roman"/>
          <w:bCs/>
          <w:shd w:val="clear" w:color="auto" w:fill="D9D9D9" w:themeFill="background1" w:themeFillShade="D9"/>
        </w:rPr>
        <w:t>ANEXO XI</w:t>
      </w:r>
      <w:r w:rsidRPr="00224B87">
        <w:rPr>
          <w:rFonts w:ascii="Times New Roman" w:hAnsi="Times New Roman" w:cs="Times New Roman"/>
          <w:bCs/>
        </w:rPr>
        <w:t>);</w:t>
      </w:r>
    </w:p>
    <w:p w14:paraId="608D3A17" w14:textId="77777777" w:rsidR="00B307DB" w:rsidRPr="00411F2A" w:rsidRDefault="00B307DB" w:rsidP="00B307DB">
      <w:pPr>
        <w:pStyle w:val="PargrafodaLista"/>
        <w:shd w:val="clear" w:color="auto" w:fill="FFFFFF" w:themeFill="background1"/>
        <w:tabs>
          <w:tab w:val="left" w:pos="284"/>
          <w:tab w:val="left" w:pos="567"/>
          <w:tab w:val="left" w:pos="851"/>
        </w:tabs>
        <w:spacing w:after="0" w:line="240" w:lineRule="auto"/>
        <w:ind w:left="1134" w:right="-568"/>
        <w:contextualSpacing w:val="0"/>
        <w:jc w:val="both"/>
        <w:rPr>
          <w:rFonts w:ascii="Times New Roman" w:hAnsi="Times New Roman" w:cs="Times New Roman"/>
        </w:rPr>
      </w:pPr>
      <w:r w:rsidRPr="00224B87">
        <w:rPr>
          <w:rFonts w:ascii="Times New Roman" w:hAnsi="Times New Roman" w:cs="Times New Roman"/>
          <w:b/>
          <w:bCs/>
        </w:rPr>
        <w:t>c)</w:t>
      </w:r>
      <w:r w:rsidRPr="00224B87">
        <w:rPr>
          <w:rFonts w:ascii="Times New Roman" w:hAnsi="Times New Roman" w:cs="Times New Roman"/>
          <w:bCs/>
        </w:rPr>
        <w:t xml:space="preserve"> Declaração sobre </w:t>
      </w:r>
      <w:r w:rsidRPr="00224B87">
        <w:rPr>
          <w:rFonts w:ascii="Times New Roman" w:hAnsi="Times New Roman" w:cs="Times New Roman"/>
          <w:bCs/>
          <w:color w:val="000000" w:themeColor="text1"/>
        </w:rPr>
        <w:t>Inexistência de fato impeditivo para licitar ou contratar com a Administração Pública (</w:t>
      </w:r>
      <w:r w:rsidRPr="00224B87">
        <w:rPr>
          <w:rFonts w:ascii="Times New Roman" w:hAnsi="Times New Roman" w:cs="Times New Roman"/>
          <w:bCs/>
          <w:color w:val="000000" w:themeColor="text1"/>
          <w:shd w:val="clear" w:color="auto" w:fill="D9D9D9" w:themeFill="background1" w:themeFillShade="D9"/>
        </w:rPr>
        <w:t>ANEXO IV</w:t>
      </w:r>
      <w:r w:rsidRPr="00224B87">
        <w:rPr>
          <w:rFonts w:ascii="Times New Roman" w:hAnsi="Times New Roman" w:cs="Times New Roman"/>
          <w:bCs/>
          <w:color w:val="000000" w:themeColor="text1"/>
        </w:rPr>
        <w:t>)</w:t>
      </w:r>
      <w:r w:rsidRPr="00224B87">
        <w:rPr>
          <w:rFonts w:ascii="Times New Roman" w:hAnsi="Times New Roman" w:cs="Times New Roman"/>
          <w:bCs/>
        </w:rPr>
        <w:t>;</w:t>
      </w:r>
    </w:p>
    <w:p w14:paraId="24FA7679" w14:textId="77777777" w:rsidR="00B307DB" w:rsidRPr="00D84571" w:rsidRDefault="00B307DB" w:rsidP="00B307DB">
      <w:pPr>
        <w:pStyle w:val="PargrafodaLista"/>
        <w:tabs>
          <w:tab w:val="left" w:pos="284"/>
          <w:tab w:val="left" w:pos="567"/>
          <w:tab w:val="left" w:pos="851"/>
        </w:tabs>
        <w:spacing w:after="0" w:line="240" w:lineRule="auto"/>
        <w:ind w:left="1134" w:right="-568"/>
        <w:contextualSpacing w:val="0"/>
        <w:jc w:val="both"/>
        <w:rPr>
          <w:rFonts w:ascii="Times New Roman" w:hAnsi="Times New Roman" w:cs="Times New Roman"/>
        </w:rPr>
      </w:pPr>
      <w:r w:rsidRPr="00711251">
        <w:rPr>
          <w:rFonts w:ascii="Times New Roman" w:hAnsi="Times New Roman" w:cs="Times New Roman"/>
          <w:b/>
          <w:bCs/>
        </w:rPr>
        <w:t>d)</w:t>
      </w:r>
      <w:r>
        <w:rPr>
          <w:rFonts w:ascii="Times New Roman" w:hAnsi="Times New Roman" w:cs="Times New Roman"/>
          <w:bCs/>
        </w:rPr>
        <w:t xml:space="preserve"> </w:t>
      </w:r>
      <w:r w:rsidRPr="00D84571">
        <w:rPr>
          <w:rFonts w:ascii="Times New Roman" w:hAnsi="Times New Roman" w:cs="Times New Roman"/>
          <w:bCs/>
        </w:rPr>
        <w:t xml:space="preserve">Declaração Enquadramento na condição de microempresa e empresa de pequeno porte, observado o disposto no </w:t>
      </w:r>
      <w:hyperlink r:id="rId128" w:anchor="art4" w:history="1">
        <w:r w:rsidRPr="00D84571">
          <w:rPr>
            <w:rStyle w:val="Hyperlink"/>
            <w:rFonts w:ascii="Times New Roman" w:hAnsi="Times New Roman" w:cs="Times New Roman"/>
            <w:bCs/>
          </w:rPr>
          <w:t>art. 4º da Lei nº 14.133/2021</w:t>
        </w:r>
      </w:hyperlink>
      <w:r w:rsidRPr="00D84571">
        <w:rPr>
          <w:rStyle w:val="Hyperlink"/>
          <w:rFonts w:ascii="Times New Roman" w:hAnsi="Times New Roman" w:cs="Times New Roman"/>
          <w:bCs/>
        </w:rPr>
        <w:t xml:space="preserve">, </w:t>
      </w:r>
      <w:r w:rsidRPr="00D84571">
        <w:rPr>
          <w:rStyle w:val="Hyperlink"/>
          <w:rFonts w:ascii="Times New Roman" w:hAnsi="Times New Roman" w:cs="Times New Roman"/>
          <w:bCs/>
          <w:color w:val="000000" w:themeColor="text1"/>
          <w:u w:val="none"/>
        </w:rPr>
        <w:t xml:space="preserve">se </w:t>
      </w:r>
      <w:r w:rsidRPr="00224B87">
        <w:rPr>
          <w:rStyle w:val="Hyperlink"/>
          <w:rFonts w:ascii="Times New Roman" w:hAnsi="Times New Roman" w:cs="Times New Roman"/>
          <w:bCs/>
          <w:color w:val="000000" w:themeColor="text1"/>
          <w:u w:val="none"/>
        </w:rPr>
        <w:t>couber (</w:t>
      </w:r>
      <w:r w:rsidRPr="00224B87">
        <w:rPr>
          <w:rStyle w:val="Hyperlink"/>
          <w:rFonts w:ascii="Times New Roman" w:hAnsi="Times New Roman" w:cs="Times New Roman"/>
          <w:bCs/>
          <w:color w:val="000000" w:themeColor="text1"/>
          <w:u w:val="none"/>
          <w:shd w:val="clear" w:color="auto" w:fill="D9D9D9" w:themeFill="background1" w:themeFillShade="D9"/>
        </w:rPr>
        <w:t>ANEXO VI</w:t>
      </w:r>
      <w:r w:rsidRPr="00224B87">
        <w:rPr>
          <w:rStyle w:val="Hyperlink"/>
          <w:rFonts w:ascii="Times New Roman" w:hAnsi="Times New Roman" w:cs="Times New Roman"/>
          <w:bCs/>
          <w:color w:val="000000" w:themeColor="text1"/>
          <w:u w:val="none"/>
        </w:rPr>
        <w:t>)</w:t>
      </w:r>
      <w:r w:rsidRPr="00224B87">
        <w:rPr>
          <w:rFonts w:ascii="Times New Roman" w:hAnsi="Times New Roman" w:cs="Times New Roman"/>
          <w:bCs/>
        </w:rPr>
        <w:t>;</w:t>
      </w:r>
    </w:p>
    <w:p w14:paraId="379FCBEF" w14:textId="77777777" w:rsidR="00B307DB" w:rsidRPr="00B56C2D" w:rsidRDefault="00B307DB" w:rsidP="00B307DB">
      <w:pPr>
        <w:pStyle w:val="PargrafodaLista"/>
        <w:tabs>
          <w:tab w:val="left" w:pos="284"/>
          <w:tab w:val="left" w:pos="567"/>
          <w:tab w:val="left" w:pos="851"/>
        </w:tabs>
        <w:spacing w:after="0" w:line="240" w:lineRule="auto"/>
        <w:ind w:left="1134" w:right="-568"/>
        <w:jc w:val="both"/>
        <w:rPr>
          <w:rStyle w:val="Hyperlink"/>
          <w:rFonts w:ascii="Times New Roman" w:hAnsi="Times New Roman" w:cs="Times New Roman"/>
          <w:bCs/>
        </w:rPr>
      </w:pPr>
      <w:r w:rsidRPr="00711251">
        <w:rPr>
          <w:rFonts w:ascii="Times New Roman" w:hAnsi="Times New Roman" w:cs="Times New Roman"/>
          <w:b/>
        </w:rPr>
        <w:t>e)</w:t>
      </w:r>
      <w:r>
        <w:rPr>
          <w:rFonts w:ascii="Times New Roman" w:hAnsi="Times New Roman" w:cs="Times New Roman"/>
        </w:rPr>
        <w:t xml:space="preserve"> </w:t>
      </w:r>
      <w:r w:rsidRPr="00224B87">
        <w:rPr>
          <w:rFonts w:ascii="Times New Roman" w:hAnsi="Times New Roman" w:cs="Times New Roman"/>
        </w:rPr>
        <w:t xml:space="preserve">Declaração de </w:t>
      </w:r>
      <w:r w:rsidRPr="00224B87">
        <w:rPr>
          <w:rFonts w:ascii="Times New Roman" w:hAnsi="Times New Roman" w:cs="Times New Roman"/>
          <w:iCs/>
        </w:rPr>
        <w:t xml:space="preserve">confidencialidade dos dados pessoais a que tem acesso </w:t>
      </w:r>
      <w:hyperlink r:id="rId129" w:history="1">
        <w:r w:rsidRPr="00224B87">
          <w:rPr>
            <w:rStyle w:val="Hyperlink"/>
            <w:rFonts w:ascii="Times New Roman" w:hAnsi="Times New Roman" w:cs="Times New Roman"/>
            <w:iCs/>
          </w:rPr>
          <w:t>Lei nº 13.709/2018 (LGPD)</w:t>
        </w:r>
      </w:hyperlink>
      <w:r w:rsidRPr="00224B87">
        <w:rPr>
          <w:rStyle w:val="Hyperlink"/>
          <w:rFonts w:ascii="Times New Roman" w:hAnsi="Times New Roman" w:cs="Times New Roman"/>
          <w:iCs/>
          <w:color w:val="auto"/>
          <w:u w:val="none"/>
        </w:rPr>
        <w:t xml:space="preserve">  (</w:t>
      </w:r>
      <w:r w:rsidRPr="00224B87">
        <w:rPr>
          <w:rStyle w:val="Hyperlink"/>
          <w:rFonts w:ascii="Times New Roman" w:hAnsi="Times New Roman" w:cs="Times New Roman"/>
          <w:iCs/>
          <w:color w:val="auto"/>
          <w:u w:val="none"/>
          <w:shd w:val="clear" w:color="auto" w:fill="D9D9D9" w:themeFill="background1" w:themeFillShade="D9"/>
        </w:rPr>
        <w:t>ANEXO V</w:t>
      </w:r>
      <w:r w:rsidRPr="00224B87">
        <w:rPr>
          <w:rStyle w:val="Hyperlink"/>
          <w:rFonts w:ascii="Times New Roman" w:hAnsi="Times New Roman" w:cs="Times New Roman"/>
          <w:iCs/>
          <w:color w:val="auto"/>
          <w:u w:val="none"/>
        </w:rPr>
        <w:t>);</w:t>
      </w:r>
    </w:p>
    <w:p w14:paraId="085F70B6" w14:textId="6A672D09" w:rsidR="00B307DB" w:rsidRPr="00D84571" w:rsidRDefault="004E5EBB" w:rsidP="00B307DB">
      <w:pPr>
        <w:pStyle w:val="PargrafodaLista"/>
        <w:spacing w:after="0" w:line="240" w:lineRule="auto"/>
        <w:ind w:left="1134"/>
        <w:rPr>
          <w:rStyle w:val="Hyperlink"/>
          <w:rFonts w:ascii="Times New Roman" w:hAnsi="Times New Roman" w:cs="Times New Roman"/>
          <w:bCs/>
        </w:rPr>
      </w:pPr>
      <w:r>
        <w:rPr>
          <w:rStyle w:val="Hyperlink"/>
          <w:rFonts w:ascii="Times New Roman" w:hAnsi="Times New Roman" w:cs="Times New Roman"/>
          <w:b/>
          <w:bCs/>
          <w:color w:val="auto"/>
          <w:u w:val="none"/>
        </w:rPr>
        <w:t>f</w:t>
      </w:r>
      <w:r w:rsidR="00B307DB" w:rsidRPr="00711251">
        <w:rPr>
          <w:rStyle w:val="Hyperlink"/>
          <w:rFonts w:ascii="Times New Roman" w:hAnsi="Times New Roman" w:cs="Times New Roman"/>
          <w:b/>
          <w:bCs/>
          <w:color w:val="auto"/>
          <w:u w:val="none"/>
        </w:rPr>
        <w:t>)</w:t>
      </w:r>
      <w:r w:rsidR="00B307DB" w:rsidRPr="00711251">
        <w:rPr>
          <w:rStyle w:val="Hyperlink"/>
          <w:rFonts w:ascii="Times New Roman" w:hAnsi="Times New Roman" w:cs="Times New Roman"/>
          <w:bCs/>
          <w:color w:val="auto"/>
          <w:u w:val="none"/>
        </w:rPr>
        <w:t xml:space="preserve"> Proposta</w:t>
      </w:r>
      <w:r w:rsidR="00B307DB" w:rsidRPr="00711251">
        <w:rPr>
          <w:rStyle w:val="Hyperlink"/>
          <w:rFonts w:ascii="Times New Roman" w:hAnsi="Times New Roman" w:cs="Times New Roman"/>
          <w:bCs/>
          <w:u w:val="none"/>
        </w:rPr>
        <w:t xml:space="preserve"> </w:t>
      </w:r>
      <w:r w:rsidR="00B307DB" w:rsidRPr="00711251">
        <w:rPr>
          <w:rStyle w:val="Hyperlink"/>
          <w:rFonts w:ascii="Times New Roman" w:hAnsi="Times New Roman" w:cs="Times New Roman"/>
          <w:bCs/>
          <w:color w:val="auto"/>
          <w:u w:val="none"/>
        </w:rPr>
        <w:t xml:space="preserve">+ Declaração </w:t>
      </w:r>
      <w:r w:rsidR="00B307DB" w:rsidRPr="00711251">
        <w:rPr>
          <w:rStyle w:val="Hyperlink"/>
          <w:rFonts w:ascii="Times New Roman" w:hAnsi="Times New Roman" w:cs="Times New Roman"/>
          <w:bCs/>
          <w:u w:val="none"/>
        </w:rPr>
        <w:t>art. 63, § 1º</w:t>
      </w:r>
      <w:r w:rsidR="00B307DB" w:rsidRPr="00D84571">
        <w:rPr>
          <w:rStyle w:val="Hyperlink"/>
          <w:rFonts w:ascii="Times New Roman" w:hAnsi="Times New Roman" w:cs="Times New Roman"/>
          <w:bCs/>
          <w:u w:val="none"/>
        </w:rPr>
        <w:t xml:space="preserve"> </w:t>
      </w:r>
      <w:r w:rsidR="00B307DB">
        <w:rPr>
          <w:rStyle w:val="Hyperlink"/>
          <w:rFonts w:ascii="Times New Roman" w:hAnsi="Times New Roman" w:cs="Times New Roman"/>
          <w:bCs/>
          <w:u w:val="none"/>
        </w:rPr>
        <w:t xml:space="preserve"> </w:t>
      </w:r>
      <w:r w:rsidR="00B307DB" w:rsidRPr="00411F2A">
        <w:rPr>
          <w:rStyle w:val="Hyperlink"/>
          <w:rFonts w:ascii="Times New Roman" w:hAnsi="Times New Roman" w:cs="Times New Roman"/>
          <w:bCs/>
          <w:color w:val="000000" w:themeColor="text1"/>
          <w:u w:val="none"/>
        </w:rPr>
        <w:t>(</w:t>
      </w:r>
      <w:r w:rsidR="00B307DB" w:rsidRPr="00224B87">
        <w:rPr>
          <w:rStyle w:val="Hyperlink"/>
          <w:rFonts w:ascii="Times New Roman" w:hAnsi="Times New Roman" w:cs="Times New Roman"/>
          <w:bCs/>
          <w:color w:val="000000" w:themeColor="text1"/>
          <w:u w:val="none"/>
          <w:shd w:val="clear" w:color="auto" w:fill="D9D9D9" w:themeFill="background1" w:themeFillShade="D9"/>
        </w:rPr>
        <w:t>ANEXO VII</w:t>
      </w:r>
      <w:r w:rsidR="00B307DB" w:rsidRPr="00224B87">
        <w:rPr>
          <w:rStyle w:val="Hyperlink"/>
          <w:rFonts w:ascii="Times New Roman" w:hAnsi="Times New Roman" w:cs="Times New Roman"/>
          <w:bCs/>
          <w:color w:val="000000" w:themeColor="text1"/>
          <w:u w:val="none"/>
        </w:rPr>
        <w:t>);</w:t>
      </w:r>
      <w:r w:rsidR="00B307DB" w:rsidRPr="00411F2A">
        <w:rPr>
          <w:rStyle w:val="Hyperlink"/>
          <w:rFonts w:ascii="Times New Roman" w:hAnsi="Times New Roman" w:cs="Times New Roman"/>
          <w:bCs/>
          <w:color w:val="000000" w:themeColor="text1"/>
          <w:u w:val="none"/>
        </w:rPr>
        <w:t xml:space="preserve"> </w:t>
      </w:r>
    </w:p>
    <w:p w14:paraId="5073A446" w14:textId="77777777" w:rsidR="00B307DB" w:rsidRPr="00D84571" w:rsidRDefault="00B307DB" w:rsidP="00B307DB">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t>15.5</w:t>
      </w:r>
      <w:r w:rsidRPr="00D84571">
        <w:rPr>
          <w:rFonts w:ascii="Times New Roman" w:hAnsi="Times New Roman" w:cs="Times New Roman"/>
          <w:bCs/>
        </w:rPr>
        <w:t xml:space="preserve"> Se o licitante não atender às exigências de habilitação, o pregoeiro examinará a proposta subsequente e assim sucessivamente, na ordem de classificação, até a seleção da proposta que melhor atenda a este edital. </w:t>
      </w:r>
    </w:p>
    <w:p w14:paraId="7F71E712" w14:textId="77777777" w:rsidR="00B307DB" w:rsidRPr="00D84571" w:rsidRDefault="00B307DB" w:rsidP="00B307DB">
      <w:pPr>
        <w:tabs>
          <w:tab w:val="left" w:pos="1701"/>
        </w:tabs>
        <w:spacing w:after="0" w:line="240" w:lineRule="auto"/>
        <w:ind w:right="-568"/>
        <w:jc w:val="both"/>
        <w:rPr>
          <w:rFonts w:ascii="Times New Roman" w:hAnsi="Times New Roman" w:cs="Times New Roman"/>
          <w:bCs/>
        </w:rPr>
      </w:pPr>
      <w:r w:rsidRPr="00D84571">
        <w:rPr>
          <w:rFonts w:ascii="Times New Roman" w:hAnsi="Times New Roman" w:cs="Times New Roman"/>
          <w:b/>
          <w:bCs/>
        </w:rPr>
        <w:t>15.6</w:t>
      </w:r>
      <w:r w:rsidRPr="00D84571">
        <w:rPr>
          <w:rFonts w:ascii="Times New Roman" w:hAnsi="Times New Roman" w:cs="Times New Roman"/>
          <w:bCs/>
        </w:rPr>
        <w:t xml:space="preserve"> Constatado o atendimento às exigências fixadas neste edital, o licitante será declarado o vencedor.</w:t>
      </w:r>
    </w:p>
    <w:p w14:paraId="4FBA8EF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30C0D53"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16 RECURSOS E PEDIDOS DE RECONSIDERAÇÃO</w:t>
      </w:r>
    </w:p>
    <w:p w14:paraId="4067F056" w14:textId="77777777" w:rsidR="00B307DB" w:rsidRPr="00D84571" w:rsidRDefault="00B307DB" w:rsidP="00B307DB">
      <w:pPr>
        <w:tabs>
          <w:tab w:val="left" w:pos="567"/>
        </w:tabs>
        <w:spacing w:after="0" w:line="240" w:lineRule="auto"/>
        <w:ind w:right="-568"/>
        <w:jc w:val="both"/>
        <w:rPr>
          <w:rFonts w:ascii="Times New Roman" w:hAnsi="Times New Roman" w:cs="Times New Roman"/>
          <w:iCs/>
        </w:rPr>
      </w:pPr>
      <w:r w:rsidRPr="00D84571">
        <w:rPr>
          <w:rFonts w:ascii="Times New Roman" w:hAnsi="Times New Roman" w:cs="Times New Roman"/>
          <w:b/>
          <w:iCs/>
        </w:rPr>
        <w:t>16.1</w:t>
      </w:r>
      <w:r w:rsidRPr="00D84571">
        <w:rPr>
          <w:rFonts w:ascii="Times New Roman" w:hAnsi="Times New Roman" w:cs="Times New Roman"/>
          <w:iCs/>
        </w:rPr>
        <w:t xml:space="preserve"> </w:t>
      </w:r>
      <w:r w:rsidRPr="00D84571">
        <w:rPr>
          <w:rFonts w:ascii="Times New Roman" w:hAnsi="Times New Roman" w:cs="Times New Roman"/>
        </w:rPr>
        <w:t>Cabe recurso, no prazo de 3 (três) dias úteis, contado da data de intimação ou de lavratura da ata, em face de (</w:t>
      </w:r>
      <w:hyperlink r:id="rId130" w:anchor="art165i" w:history="1">
        <w:r w:rsidRPr="00D84571">
          <w:rPr>
            <w:rStyle w:val="Hyperlink"/>
            <w:rFonts w:ascii="Times New Roman" w:hAnsi="Times New Roman" w:cs="Times New Roman"/>
          </w:rPr>
          <w:t>art. 165, I da Lei nº 14.133/2021</w:t>
        </w:r>
      </w:hyperlink>
      <w:r w:rsidRPr="00D84571">
        <w:rPr>
          <w:rFonts w:ascii="Times New Roman" w:hAnsi="Times New Roman" w:cs="Times New Roman"/>
        </w:rPr>
        <w:t>):</w:t>
      </w:r>
    </w:p>
    <w:p w14:paraId="6E7BDC25" w14:textId="77777777" w:rsidR="00B307DB" w:rsidRPr="00D84571" w:rsidRDefault="00B307DB" w:rsidP="00B307DB">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Julgamento das propostas;</w:t>
      </w:r>
    </w:p>
    <w:p w14:paraId="20B96D88" w14:textId="77777777" w:rsidR="00B307DB" w:rsidRPr="00D84571" w:rsidRDefault="00B307DB" w:rsidP="00B307DB">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Ato de habilitação ou inabilitação de licitante;</w:t>
      </w:r>
    </w:p>
    <w:p w14:paraId="04ABB814" w14:textId="77777777" w:rsidR="00B307DB" w:rsidRPr="00D84571" w:rsidRDefault="00B307DB" w:rsidP="00B307DB">
      <w:pPr>
        <w:pStyle w:val="PargrafodaLista"/>
        <w:tabs>
          <w:tab w:val="left" w:pos="284"/>
          <w:tab w:val="left" w:pos="567"/>
          <w:tab w:val="left" w:pos="1134"/>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Anulação ou revogação da licitação;</w:t>
      </w:r>
    </w:p>
    <w:p w14:paraId="4AC1772F" w14:textId="77777777" w:rsidR="00B307DB" w:rsidRPr="00D84571" w:rsidRDefault="00B307DB" w:rsidP="00B307DB">
      <w:pPr>
        <w:pStyle w:val="PargrafodaLista"/>
        <w:tabs>
          <w:tab w:val="left" w:pos="284"/>
          <w:tab w:val="left" w:pos="567"/>
          <w:tab w:val="left" w:pos="1134"/>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Extinção do contrato, quando determinada por ato unilateral e escrito da Administração.</w:t>
      </w:r>
    </w:p>
    <w:p w14:paraId="7B062E72"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16.2</w:t>
      </w:r>
      <w:r w:rsidRPr="00D84571">
        <w:rPr>
          <w:rFonts w:ascii="Times New Roman" w:hAnsi="Times New Roman" w:cs="Times New Roman"/>
        </w:rPr>
        <w:t xml:space="preserve"> Se apresentado recurso em virtude do disposto em I ou II do item anterior, serão observadas as seguintes disposições (</w:t>
      </w:r>
      <w:hyperlink r:id="rId131" w:anchor="art165%C2%A71" w:history="1">
        <w:r w:rsidRPr="00D84571">
          <w:rPr>
            <w:rStyle w:val="Hyperlink"/>
            <w:rFonts w:ascii="Times New Roman" w:hAnsi="Times New Roman" w:cs="Times New Roman"/>
          </w:rPr>
          <w:t>art. 165, § 1º da Lei nº 14.133/2021</w:t>
        </w:r>
      </w:hyperlink>
      <w:r w:rsidRPr="00D84571">
        <w:rPr>
          <w:rFonts w:ascii="Times New Roman" w:hAnsi="Times New Roman" w:cs="Times New Roman"/>
        </w:rPr>
        <w:t>):</w:t>
      </w:r>
    </w:p>
    <w:p w14:paraId="3730CC97"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2" w:anchor="art17%C2%A71" w:history="1">
        <w:r w:rsidRPr="00D84571">
          <w:rPr>
            <w:rStyle w:val="Hyperlink"/>
            <w:rFonts w:ascii="Times New Roman" w:hAnsi="Times New Roman" w:cs="Times New Roman"/>
          </w:rPr>
          <w:t>§ 1º do art. 17 da Lei nº 14.133/2021</w:t>
        </w:r>
      </w:hyperlink>
      <w:r w:rsidRPr="00D84571">
        <w:rPr>
          <w:rFonts w:ascii="Times New Roman" w:hAnsi="Times New Roman" w:cs="Times New Roman"/>
        </w:rPr>
        <w:t>, da ata de julgamento;</w:t>
      </w:r>
    </w:p>
    <w:p w14:paraId="66259C63"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 apreciação dar-se-á em fase única.</w:t>
      </w:r>
    </w:p>
    <w:p w14:paraId="4BED7282" w14:textId="77777777" w:rsidR="00B307DB" w:rsidRPr="00300415" w:rsidRDefault="00B307DB" w:rsidP="00B307DB">
      <w:pPr>
        <w:spacing w:after="0" w:line="240" w:lineRule="auto"/>
        <w:ind w:right="-568"/>
        <w:jc w:val="both"/>
        <w:rPr>
          <w:rFonts w:ascii="Times New Roman" w:hAnsi="Times New Roman" w:cs="Times New Roman"/>
        </w:rPr>
      </w:pPr>
      <w:r w:rsidRPr="00300415">
        <w:rPr>
          <w:rFonts w:ascii="Times New Roman" w:hAnsi="Times New Roman" w:cs="Times New Roman"/>
          <w:b/>
        </w:rPr>
        <w:t>16.3</w:t>
      </w:r>
      <w:r>
        <w:rPr>
          <w:rFonts w:ascii="Times New Roman" w:hAnsi="Times New Roman" w:cs="Times New Roman"/>
        </w:rPr>
        <w:t xml:space="preserve"> </w:t>
      </w:r>
      <w:r w:rsidRPr="00300415">
        <w:rPr>
          <w:rFonts w:ascii="Times New Roman" w:hAnsi="Times New Roman" w:cs="Times New Roman"/>
        </w:rPr>
        <w:t>O recurso para os casos indicados no item 1:</w:t>
      </w:r>
    </w:p>
    <w:p w14:paraId="6F4EB852" w14:textId="77777777" w:rsidR="00B307DB" w:rsidRPr="00D84571" w:rsidRDefault="00B307DB" w:rsidP="00B307DB">
      <w:pPr>
        <w:pStyle w:val="PargrafodaLista"/>
        <w:tabs>
          <w:tab w:val="left" w:pos="426"/>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Será dirigido à autoridade que tiver editado o ato ou proferido a decisão recorrida (</w:t>
      </w:r>
      <w:hyperlink r:id="rId133" w:anchor="art165%C2%A72" w:history="1">
        <w:r w:rsidRPr="00D84571">
          <w:rPr>
            <w:rStyle w:val="Hyperlink"/>
            <w:rFonts w:ascii="Times New Roman" w:hAnsi="Times New Roman" w:cs="Times New Roman"/>
          </w:rPr>
          <w:t>art. 165, § 2º [primeira parte] da Lei nº 14.133/2021</w:t>
        </w:r>
      </w:hyperlink>
      <w:r w:rsidRPr="00D84571">
        <w:rPr>
          <w:rFonts w:ascii="Times New Roman" w:hAnsi="Times New Roman" w:cs="Times New Roman"/>
        </w:rPr>
        <w:t>);</w:t>
      </w:r>
    </w:p>
    <w:p w14:paraId="3A020C7D" w14:textId="77777777" w:rsidR="00B307DB" w:rsidRPr="00D84571" w:rsidRDefault="00B307DB" w:rsidP="00B307DB">
      <w:pPr>
        <w:pStyle w:val="PargrafodaLista"/>
        <w:tabs>
          <w:tab w:val="left" w:pos="426"/>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Apresentado o recurso, inicia prazo de 3 (três) dias úteis para contrarrazões, a partir da data de intimação pessoal ou de divulgação da interposição do recurso (</w:t>
      </w:r>
      <w:hyperlink r:id="rId134" w:anchor="art165%C2%A74" w:history="1">
        <w:r w:rsidRPr="00D84571">
          <w:rPr>
            <w:rStyle w:val="Hyperlink"/>
            <w:rFonts w:ascii="Times New Roman" w:hAnsi="Times New Roman" w:cs="Times New Roman"/>
          </w:rPr>
          <w:t>art. 165, § 4º da Lei nº 14.133/2021</w:t>
        </w:r>
      </w:hyperlink>
      <w:r w:rsidRPr="00D84571">
        <w:rPr>
          <w:rFonts w:ascii="Times New Roman" w:hAnsi="Times New Roman" w:cs="Times New Roman"/>
        </w:rPr>
        <w:t>);</w:t>
      </w:r>
    </w:p>
    <w:p w14:paraId="7BA5E40F" w14:textId="77777777" w:rsidR="00B307DB" w:rsidRPr="00D84571" w:rsidRDefault="00B307DB" w:rsidP="00B307DB">
      <w:pPr>
        <w:pStyle w:val="PargrafodaLista"/>
        <w:tabs>
          <w:tab w:val="left" w:pos="567"/>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5" w:anchor="art165%C2%A72" w:history="1">
        <w:r w:rsidRPr="00D84571">
          <w:rPr>
            <w:rStyle w:val="Hyperlink"/>
            <w:rFonts w:ascii="Times New Roman" w:hAnsi="Times New Roman" w:cs="Times New Roman"/>
          </w:rPr>
          <w:t>art. 165, § 2º da Lei nº 14.133/2021 – primeira parte</w:t>
        </w:r>
      </w:hyperlink>
      <w:r w:rsidRPr="00D84571">
        <w:rPr>
          <w:rFonts w:ascii="Times New Roman" w:hAnsi="Times New Roman" w:cs="Times New Roman"/>
        </w:rPr>
        <w:t>);</w:t>
      </w:r>
    </w:p>
    <w:p w14:paraId="262B0CAF" w14:textId="77777777" w:rsidR="00B307DB" w:rsidRPr="00D84571" w:rsidRDefault="00B307DB" w:rsidP="00B307DB">
      <w:pPr>
        <w:pStyle w:val="PargrafodaLista"/>
        <w:tabs>
          <w:tab w:val="left" w:pos="567"/>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6" w:anchor="art165%C2%A72" w:history="1">
        <w:r w:rsidRPr="00D84571">
          <w:rPr>
            <w:rStyle w:val="Hyperlink"/>
            <w:rFonts w:ascii="Times New Roman" w:hAnsi="Times New Roman" w:cs="Times New Roman"/>
          </w:rPr>
          <w:t>art. 165, § 2º da Lei nº 14.133/2021 – segunda parte</w:t>
        </w:r>
      </w:hyperlink>
      <w:r w:rsidRPr="00D84571">
        <w:rPr>
          <w:rFonts w:ascii="Times New Roman" w:hAnsi="Times New Roman" w:cs="Times New Roman"/>
        </w:rPr>
        <w:t>);</w:t>
      </w:r>
    </w:p>
    <w:p w14:paraId="5C926B84" w14:textId="77777777" w:rsidR="00B307DB" w:rsidRPr="00D84571" w:rsidRDefault="00B307DB" w:rsidP="00B307DB">
      <w:pPr>
        <w:pStyle w:val="PargrafodaLista"/>
        <w:tabs>
          <w:tab w:val="left" w:pos="426"/>
          <w:tab w:val="left" w:pos="1276"/>
        </w:tabs>
        <w:spacing w:after="0" w:line="240" w:lineRule="auto"/>
        <w:ind w:left="567" w:right="-568"/>
        <w:contextualSpacing w:val="0"/>
        <w:jc w:val="both"/>
        <w:rPr>
          <w:rFonts w:ascii="Times New Roman" w:hAnsi="Times New Roman" w:cs="Times New Roman"/>
        </w:rPr>
      </w:pPr>
      <w:r w:rsidRPr="00D416B8">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O acolhimento do recurso implicará invalidação apenas de ato insuscetível de aproveitamento (</w:t>
      </w:r>
      <w:hyperlink r:id="rId137" w:anchor="art165%C2%A73" w:history="1">
        <w:r w:rsidRPr="00D84571">
          <w:rPr>
            <w:rStyle w:val="Hyperlink"/>
            <w:rFonts w:ascii="Times New Roman" w:hAnsi="Times New Roman" w:cs="Times New Roman"/>
          </w:rPr>
          <w:t>art. 165, § 3º da Lei nº 14.133/2021</w:t>
        </w:r>
      </w:hyperlink>
      <w:r w:rsidRPr="00D84571">
        <w:rPr>
          <w:rFonts w:ascii="Times New Roman" w:hAnsi="Times New Roman" w:cs="Times New Roman"/>
        </w:rPr>
        <w:t>).</w:t>
      </w:r>
    </w:p>
    <w:p w14:paraId="78338DE7"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16.4 </w:t>
      </w:r>
      <w:r w:rsidRPr="00D84571">
        <w:rPr>
          <w:rFonts w:ascii="Times New Roman" w:hAnsi="Times New Roman" w:cs="Times New Roman"/>
        </w:rPr>
        <w:t>Dos atos que não cabem recurso, cabe pedido de reconsideração, no prazo de 3 (três) dias úteis, contado da data de intimação (</w:t>
      </w:r>
      <w:hyperlink r:id="rId138" w:anchor="art165%C2%A71" w:history="1">
        <w:r w:rsidRPr="00D84571">
          <w:rPr>
            <w:rStyle w:val="Hyperlink"/>
            <w:rFonts w:ascii="Times New Roman" w:hAnsi="Times New Roman" w:cs="Times New Roman"/>
          </w:rPr>
          <w:t>art. 165, § 1º da Lei nº 14.133/2021</w:t>
        </w:r>
      </w:hyperlink>
      <w:r w:rsidRPr="00D84571">
        <w:rPr>
          <w:rFonts w:ascii="Times New Roman" w:hAnsi="Times New Roman" w:cs="Times New Roman"/>
        </w:rPr>
        <w:t>).</w:t>
      </w:r>
    </w:p>
    <w:p w14:paraId="6CD7C6C9" w14:textId="77777777" w:rsidR="00B307DB" w:rsidRPr="00300415" w:rsidRDefault="00B307DB" w:rsidP="00B307DB">
      <w:pPr>
        <w:spacing w:after="0" w:line="240" w:lineRule="auto"/>
        <w:ind w:right="-568"/>
        <w:jc w:val="both"/>
        <w:rPr>
          <w:rFonts w:ascii="Times New Roman" w:hAnsi="Times New Roman" w:cs="Times New Roman"/>
        </w:rPr>
      </w:pPr>
      <w:r w:rsidRPr="00300415">
        <w:rPr>
          <w:rFonts w:ascii="Times New Roman" w:hAnsi="Times New Roman" w:cs="Times New Roman"/>
          <w:b/>
        </w:rPr>
        <w:t>16.5</w:t>
      </w:r>
      <w:r>
        <w:rPr>
          <w:rFonts w:ascii="Times New Roman" w:hAnsi="Times New Roman" w:cs="Times New Roman"/>
        </w:rPr>
        <w:t xml:space="preserve"> </w:t>
      </w:r>
      <w:r w:rsidRPr="00300415">
        <w:rPr>
          <w:rFonts w:ascii="Times New Roman" w:hAnsi="Times New Roman" w:cs="Times New Roman"/>
        </w:rPr>
        <w:t xml:space="preserve">Quando aplicada sanção prevista no </w:t>
      </w:r>
      <w:hyperlink r:id="rId139" w:anchor="art156" w:history="1">
        <w:r w:rsidRPr="00300415">
          <w:rPr>
            <w:rStyle w:val="Hyperlink"/>
            <w:rFonts w:ascii="Times New Roman" w:hAnsi="Times New Roman" w:cs="Times New Roman"/>
          </w:rPr>
          <w:t>art. 156 da Lei nº 14.133/2021</w:t>
        </w:r>
      </w:hyperlink>
      <w:r w:rsidRPr="00300415">
        <w:rPr>
          <w:rFonts w:ascii="Times New Roman" w:hAnsi="Times New Roman" w:cs="Times New Roman"/>
        </w:rPr>
        <w:t>:</w:t>
      </w:r>
    </w:p>
    <w:p w14:paraId="2CF1EE34" w14:textId="77777777" w:rsidR="00B307DB" w:rsidRPr="00D84571" w:rsidRDefault="00B307DB" w:rsidP="00B307DB">
      <w:pPr>
        <w:pStyle w:val="PargrafodaLista"/>
        <w:tabs>
          <w:tab w:val="left" w:pos="993"/>
        </w:tabs>
        <w:spacing w:after="0" w:line="240" w:lineRule="auto"/>
        <w:ind w:left="567" w:right="-568"/>
        <w:contextualSpacing w:val="0"/>
        <w:jc w:val="both"/>
        <w:rPr>
          <w:rFonts w:ascii="Times New Roman" w:hAnsi="Times New Roman" w:cs="Times New Roman"/>
        </w:rPr>
      </w:pPr>
      <w:r w:rsidRPr="004138BC">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Cabe recurso (</w:t>
      </w:r>
      <w:hyperlink r:id="rId140" w:anchor="art166" w:history="1">
        <w:r w:rsidRPr="00D84571">
          <w:rPr>
            <w:rStyle w:val="Hyperlink"/>
            <w:rFonts w:ascii="Times New Roman" w:hAnsi="Times New Roman" w:cs="Times New Roman"/>
          </w:rPr>
          <w:t>art. 166 da Lei nº 14.133/2021</w:t>
        </w:r>
      </w:hyperlink>
      <w:r w:rsidRPr="00D84571">
        <w:rPr>
          <w:rFonts w:ascii="Times New Roman" w:hAnsi="Times New Roman" w:cs="Times New Roman"/>
        </w:rPr>
        <w:t>):</w:t>
      </w:r>
    </w:p>
    <w:p w14:paraId="584C0AFE" w14:textId="77777777" w:rsidR="00B307DB" w:rsidRPr="00D84571" w:rsidRDefault="00B307DB" w:rsidP="00B307DB">
      <w:pPr>
        <w:pStyle w:val="PargrafodaLista"/>
        <w:tabs>
          <w:tab w:val="left" w:pos="567"/>
        </w:tabs>
        <w:spacing w:after="0" w:line="240" w:lineRule="auto"/>
        <w:ind w:left="1134" w:right="-568"/>
        <w:contextualSpacing w:val="0"/>
        <w:jc w:val="both"/>
        <w:rPr>
          <w:rStyle w:val="Hyperlink"/>
          <w:rFonts w:ascii="Times New Roman" w:hAnsi="Times New Roman" w:cs="Times New Roman"/>
        </w:rPr>
      </w:pPr>
      <w:r w:rsidRPr="004138BC">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 xml:space="preserve">Sanções previstas nos </w:t>
      </w:r>
      <w:hyperlink r:id="rId141" w:anchor="art156i" w:history="1">
        <w:r w:rsidRPr="00D84571">
          <w:rPr>
            <w:rStyle w:val="Hyperlink"/>
            <w:rFonts w:ascii="Times New Roman" w:hAnsi="Times New Roman" w:cs="Times New Roman"/>
          </w:rPr>
          <w:t xml:space="preserve">incisos I, II e III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784EA4C3" w14:textId="77777777" w:rsidR="00B307DB" w:rsidRPr="00D84571" w:rsidRDefault="00B307DB" w:rsidP="00B307DB">
      <w:pPr>
        <w:pStyle w:val="PargrafodaLista"/>
        <w:tabs>
          <w:tab w:val="left" w:pos="567"/>
        </w:tabs>
        <w:spacing w:after="0" w:line="240" w:lineRule="auto"/>
        <w:ind w:left="1134" w:right="-568"/>
        <w:contextualSpacing w:val="0"/>
        <w:jc w:val="both"/>
        <w:rPr>
          <w:rFonts w:ascii="Times New Roman" w:hAnsi="Times New Roman" w:cs="Times New Roman"/>
        </w:rPr>
      </w:pPr>
      <w:r w:rsidRPr="004138BC">
        <w:rPr>
          <w:rFonts w:ascii="Times New Roman" w:hAnsi="Times New Roman" w:cs="Times New Roman"/>
          <w:b/>
          <w:bCs/>
          <w:color w:val="000000"/>
        </w:rPr>
        <w:t>b)</w:t>
      </w:r>
      <w:r>
        <w:rPr>
          <w:rFonts w:ascii="Times New Roman" w:hAnsi="Times New Roman" w:cs="Times New Roman"/>
          <w:bCs/>
          <w:color w:val="000000"/>
        </w:rPr>
        <w:t xml:space="preserve"> </w:t>
      </w:r>
      <w:r w:rsidRPr="00D84571">
        <w:rPr>
          <w:rFonts w:ascii="Times New Roman" w:hAnsi="Times New Roman" w:cs="Times New Roman"/>
          <w:bCs/>
          <w:color w:val="000000"/>
        </w:rPr>
        <w:t xml:space="preserve">Recurso deve ser apresentado </w:t>
      </w:r>
      <w:r w:rsidRPr="00D84571">
        <w:rPr>
          <w:rFonts w:ascii="Times New Roman" w:hAnsi="Times New Roman" w:cs="Times New Roman"/>
        </w:rPr>
        <w:t>no prazo de 15 (quinze) dias úteis, contado da data da intimação;</w:t>
      </w:r>
    </w:p>
    <w:p w14:paraId="7C13BBA8" w14:textId="77777777" w:rsidR="00B307DB" w:rsidRPr="00D84571" w:rsidRDefault="00B307DB" w:rsidP="00B307DB">
      <w:pPr>
        <w:pStyle w:val="PargrafodaLista"/>
        <w:tabs>
          <w:tab w:val="left" w:pos="567"/>
        </w:tabs>
        <w:spacing w:after="0" w:line="240" w:lineRule="auto"/>
        <w:ind w:left="1134" w:right="-568"/>
        <w:contextualSpacing w:val="0"/>
        <w:jc w:val="both"/>
        <w:rPr>
          <w:rFonts w:ascii="Times New Roman" w:hAnsi="Times New Roman" w:cs="Times New Roman"/>
        </w:rPr>
      </w:pPr>
      <w:r w:rsidRPr="004138BC">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Dirigido à autoridade que tiver proferido a decisão recorrida, para apreciação e decisão no prazo máximo de 5 (cinco) dias úteis;</w:t>
      </w:r>
    </w:p>
    <w:p w14:paraId="1C130EC0" w14:textId="77777777" w:rsidR="00B307DB" w:rsidRPr="00D84571" w:rsidRDefault="00B307DB" w:rsidP="00B307DB">
      <w:pPr>
        <w:pStyle w:val="PargrafodaLista"/>
        <w:tabs>
          <w:tab w:val="left" w:pos="567"/>
        </w:tabs>
        <w:spacing w:after="0" w:line="240" w:lineRule="auto"/>
        <w:ind w:left="1134" w:right="-568"/>
        <w:contextualSpacing w:val="0"/>
        <w:jc w:val="both"/>
        <w:rPr>
          <w:rFonts w:ascii="Times New Roman" w:hAnsi="Times New Roman" w:cs="Times New Roman"/>
        </w:rPr>
      </w:pPr>
      <w:r w:rsidRPr="004138BC">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222992D3"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1F434D">
        <w:rPr>
          <w:rFonts w:ascii="Times New Roman" w:hAnsi="Times New Roman" w:cs="Times New Roman"/>
          <w:b/>
        </w:rPr>
        <w:lastRenderedPageBreak/>
        <w:t>II -</w:t>
      </w:r>
      <w:r>
        <w:rPr>
          <w:rFonts w:ascii="Times New Roman" w:hAnsi="Times New Roman" w:cs="Times New Roman"/>
        </w:rPr>
        <w:t xml:space="preserve"> </w:t>
      </w:r>
      <w:r w:rsidRPr="00D84571">
        <w:rPr>
          <w:rFonts w:ascii="Times New Roman" w:hAnsi="Times New Roman" w:cs="Times New Roman"/>
        </w:rPr>
        <w:t>Cabe pedido de reconsideração (</w:t>
      </w:r>
      <w:hyperlink r:id="rId142" w:anchor="art167" w:history="1">
        <w:r w:rsidRPr="00D84571">
          <w:rPr>
            <w:rStyle w:val="Hyperlink"/>
            <w:rFonts w:ascii="Times New Roman" w:hAnsi="Times New Roman" w:cs="Times New Roman"/>
          </w:rPr>
          <w:t>art. 167 da Lei nº 14.133/2021</w:t>
        </w:r>
      </w:hyperlink>
      <w:r w:rsidRPr="00D84571">
        <w:rPr>
          <w:rFonts w:ascii="Times New Roman" w:hAnsi="Times New Roman" w:cs="Times New Roman"/>
        </w:rPr>
        <w:t>):</w:t>
      </w:r>
    </w:p>
    <w:p w14:paraId="2FF26F89" w14:textId="77777777" w:rsidR="00B307DB" w:rsidRPr="00D84571" w:rsidRDefault="00B307DB" w:rsidP="00B307DB">
      <w:pPr>
        <w:pStyle w:val="PargrafodaLista"/>
        <w:tabs>
          <w:tab w:val="left" w:pos="426"/>
        </w:tabs>
        <w:spacing w:after="0" w:line="240" w:lineRule="auto"/>
        <w:ind w:left="1134" w:right="-568"/>
        <w:contextualSpacing w:val="0"/>
        <w:jc w:val="both"/>
        <w:rPr>
          <w:rStyle w:val="Hyperlink"/>
          <w:rFonts w:ascii="Times New Roman" w:hAnsi="Times New Roman" w:cs="Times New Roman"/>
        </w:rPr>
      </w:pPr>
      <w:r w:rsidRPr="001F434D">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 xml:space="preserve">Sanção prevista no </w:t>
      </w:r>
      <w:hyperlink r:id="rId143" w:anchor="art156i" w:history="1">
        <w:r w:rsidRPr="00D84571">
          <w:rPr>
            <w:rStyle w:val="Hyperlink"/>
            <w:rFonts w:ascii="Times New Roman" w:hAnsi="Times New Roman" w:cs="Times New Roman"/>
          </w:rPr>
          <w:t xml:space="preserve">inciso IV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156 desta Lei</w:t>
        </w:r>
      </w:hyperlink>
      <w:r w:rsidRPr="00D84571">
        <w:rPr>
          <w:rStyle w:val="Hyperlink"/>
          <w:rFonts w:ascii="Times New Roman" w:hAnsi="Times New Roman" w:cs="Times New Roman"/>
        </w:rPr>
        <w:t>;</w:t>
      </w:r>
    </w:p>
    <w:p w14:paraId="02ADAE2B" w14:textId="77777777" w:rsidR="00B307DB" w:rsidRPr="00D84571" w:rsidRDefault="00B307DB" w:rsidP="00B307DB">
      <w:pPr>
        <w:pStyle w:val="PargrafodaLista"/>
        <w:tabs>
          <w:tab w:val="left" w:pos="426"/>
        </w:tabs>
        <w:spacing w:after="0" w:line="240" w:lineRule="auto"/>
        <w:ind w:left="1134" w:right="-568"/>
        <w:contextualSpacing w:val="0"/>
        <w:jc w:val="both"/>
        <w:rPr>
          <w:rFonts w:ascii="Times New Roman" w:hAnsi="Times New Roman" w:cs="Times New Roman"/>
        </w:rPr>
      </w:pPr>
      <w:r w:rsidRPr="001F434D">
        <w:rPr>
          <w:rStyle w:val="Hyperlink"/>
          <w:rFonts w:ascii="Times New Roman" w:hAnsi="Times New Roman" w:cs="Times New Roman"/>
          <w:b/>
          <w:color w:val="000000" w:themeColor="text1"/>
          <w:u w:val="none"/>
        </w:rPr>
        <w:t>b)</w:t>
      </w:r>
      <w:r>
        <w:rPr>
          <w:rStyle w:val="Hyperlink"/>
          <w:rFonts w:ascii="Times New Roman" w:hAnsi="Times New Roman" w:cs="Times New Roman"/>
          <w:color w:val="000000" w:themeColor="text1"/>
          <w:u w:val="none"/>
        </w:rPr>
        <w:t xml:space="preserve"> </w:t>
      </w:r>
      <w:r w:rsidRPr="00D84571">
        <w:rPr>
          <w:rStyle w:val="Hyperlink"/>
          <w:rFonts w:ascii="Times New Roman" w:hAnsi="Times New Roman" w:cs="Times New Roman"/>
          <w:color w:val="000000" w:themeColor="text1"/>
          <w:u w:val="none"/>
        </w:rPr>
        <w:t>Pedido deve ser a</w:t>
      </w:r>
      <w:r w:rsidRPr="00D84571">
        <w:rPr>
          <w:rFonts w:ascii="Times New Roman" w:hAnsi="Times New Roman" w:cs="Times New Roman"/>
          <w:color w:val="000000" w:themeColor="text1"/>
        </w:rPr>
        <w:t>pr</w:t>
      </w:r>
      <w:r w:rsidRPr="00D84571">
        <w:rPr>
          <w:rFonts w:ascii="Times New Roman" w:hAnsi="Times New Roman" w:cs="Times New Roman"/>
        </w:rPr>
        <w:t>esentado no prazo de 15 (quinze) dias úteis, contado da data da intimação;</w:t>
      </w:r>
    </w:p>
    <w:p w14:paraId="5BFF6177" w14:textId="77777777" w:rsidR="00B307DB" w:rsidRPr="00D84571" w:rsidRDefault="00B307DB" w:rsidP="00B307DB">
      <w:pPr>
        <w:pStyle w:val="PargrafodaLista"/>
        <w:tabs>
          <w:tab w:val="left" w:pos="426"/>
        </w:tabs>
        <w:spacing w:after="0" w:line="240" w:lineRule="auto"/>
        <w:ind w:left="1134" w:right="-568"/>
        <w:contextualSpacing w:val="0"/>
        <w:jc w:val="both"/>
        <w:rPr>
          <w:rFonts w:ascii="Times New Roman" w:hAnsi="Times New Roman" w:cs="Times New Roman"/>
        </w:rPr>
      </w:pPr>
      <w:r w:rsidRPr="001F434D">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Decidido no prazo máximo de 20 (vinte) dias úteis, contado do recebimento dos autos.</w:t>
      </w:r>
    </w:p>
    <w:p w14:paraId="6F4AF4C3" w14:textId="46DD1DD3" w:rsidR="00B307DB" w:rsidRPr="00184600" w:rsidRDefault="00B307DB" w:rsidP="00D736BE">
      <w:pPr>
        <w:pStyle w:val="PargrafodaLista"/>
        <w:numPr>
          <w:ilvl w:val="1"/>
          <w:numId w:val="253"/>
        </w:numPr>
        <w:spacing w:after="0" w:line="240" w:lineRule="auto"/>
        <w:ind w:left="0" w:right="-568" w:firstLine="0"/>
        <w:jc w:val="both"/>
        <w:rPr>
          <w:rFonts w:ascii="Times New Roman" w:hAnsi="Times New Roman" w:cs="Times New Roman"/>
        </w:rPr>
      </w:pPr>
      <w:r w:rsidRPr="00184600">
        <w:rPr>
          <w:rFonts w:ascii="Times New Roman" w:hAnsi="Times New Roman" w:cs="Times New Roman"/>
        </w:rPr>
        <w:t>Sobre recursos e pedidos de reconsideração:</w:t>
      </w:r>
    </w:p>
    <w:p w14:paraId="299CC837"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184600">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O recurso e o pedido de reconsideração terão efeito suspensivo do ato ou da decisão recorrida até que sobrevenha decisão final da autoridade competente (</w:t>
      </w:r>
      <w:hyperlink r:id="rId144" w:anchor="art168" w:history="1">
        <w:r w:rsidRPr="00D84571">
          <w:rPr>
            <w:rStyle w:val="Hyperlink"/>
            <w:rFonts w:ascii="Times New Roman" w:hAnsi="Times New Roman" w:cs="Times New Roman"/>
          </w:rPr>
          <w:t xml:space="preserve">art. 168, </w:t>
        </w:r>
        <w:r w:rsidRPr="00D84571">
          <w:rPr>
            <w:rStyle w:val="Hyperlink"/>
            <w:rFonts w:ascii="Times New Roman" w:hAnsi="Times New Roman" w:cs="Times New Roman"/>
            <w:i/>
          </w:rPr>
          <w:t xml:space="preserve">caput </w:t>
        </w:r>
        <w:r w:rsidRPr="00D84571">
          <w:rPr>
            <w:rStyle w:val="Hyperlink"/>
            <w:rFonts w:ascii="Times New Roman" w:hAnsi="Times New Roman" w:cs="Times New Roman"/>
          </w:rPr>
          <w:t>da Lei nº 14.133/2021</w:t>
        </w:r>
      </w:hyperlink>
      <w:r w:rsidRPr="00D84571">
        <w:rPr>
          <w:rFonts w:ascii="Times New Roman" w:hAnsi="Times New Roman" w:cs="Times New Roman"/>
        </w:rPr>
        <w:t>);</w:t>
      </w:r>
    </w:p>
    <w:p w14:paraId="7EB9A4B1"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184600">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5" w:anchor="art168" w:history="1">
        <w:r w:rsidRPr="00D84571">
          <w:rPr>
            <w:rStyle w:val="Hyperlink"/>
            <w:rFonts w:ascii="Times New Roman" w:hAnsi="Times New Roman" w:cs="Times New Roman"/>
          </w:rPr>
          <w:t>art. 168, parágrafo único da Lei nº 14.133/2021</w:t>
        </w:r>
      </w:hyperlink>
      <w:r w:rsidRPr="00D84571">
        <w:rPr>
          <w:rFonts w:ascii="Times New Roman" w:hAnsi="Times New Roman" w:cs="Times New Roman"/>
        </w:rPr>
        <w:t>);</w:t>
      </w:r>
    </w:p>
    <w:p w14:paraId="32F01BC7" w14:textId="77777777" w:rsidR="00B307DB" w:rsidRPr="00D84571" w:rsidRDefault="00B307DB" w:rsidP="00B307DB">
      <w:pPr>
        <w:pStyle w:val="PargrafodaLista"/>
        <w:tabs>
          <w:tab w:val="left" w:pos="426"/>
          <w:tab w:val="left" w:pos="993"/>
          <w:tab w:val="left" w:pos="1134"/>
        </w:tabs>
        <w:spacing w:after="0" w:line="240" w:lineRule="auto"/>
        <w:ind w:left="567" w:right="-568"/>
        <w:contextualSpacing w:val="0"/>
        <w:jc w:val="both"/>
        <w:rPr>
          <w:rFonts w:ascii="Times New Roman" w:hAnsi="Times New Roman" w:cs="Times New Roman"/>
        </w:rPr>
      </w:pPr>
      <w:r w:rsidRPr="00184600">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Será assegurado ao licitante vista dos elementos indispensáveis à defesa de seus interesses (</w:t>
      </w:r>
      <w:hyperlink r:id="rId146" w:anchor="art165%C2%A75" w:history="1">
        <w:r w:rsidRPr="00D84571">
          <w:rPr>
            <w:rStyle w:val="Hyperlink"/>
            <w:rFonts w:ascii="Times New Roman" w:hAnsi="Times New Roman" w:cs="Times New Roman"/>
          </w:rPr>
          <w:t>art. 165, § 5º da Lei nº 14.133/2021</w:t>
        </w:r>
      </w:hyperlink>
      <w:r w:rsidRPr="00D84571">
        <w:rPr>
          <w:rFonts w:ascii="Times New Roman" w:hAnsi="Times New Roman" w:cs="Times New Roman"/>
        </w:rPr>
        <w:t>).</w:t>
      </w:r>
    </w:p>
    <w:p w14:paraId="40667656"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5D6A14D" w14:textId="77777777" w:rsidR="00B307DB" w:rsidRPr="00D84571" w:rsidRDefault="00B307DB" w:rsidP="00B307DB">
      <w:pPr>
        <w:pStyle w:val="Ttulo1"/>
        <w:shd w:val="clear" w:color="auto" w:fill="BFBFBF" w:themeFill="background1" w:themeFillShade="BF"/>
        <w:tabs>
          <w:tab w:val="left" w:pos="6336"/>
        </w:tabs>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w:t>
      </w:r>
      <w:r w:rsidRPr="00C23550">
        <w:rPr>
          <w:rFonts w:ascii="Times New Roman" w:hAnsi="Times New Roman" w:cs="Times New Roman"/>
          <w:sz w:val="22"/>
          <w:szCs w:val="22"/>
          <w:shd w:val="clear" w:color="auto" w:fill="A6A6A6" w:themeFill="background1" w:themeFillShade="A6"/>
        </w:rPr>
        <w:t>7 ADJUDICAÇÃO E HOMOLOGAÇÃO</w:t>
      </w:r>
      <w:r>
        <w:rPr>
          <w:rFonts w:ascii="Times New Roman" w:hAnsi="Times New Roman" w:cs="Times New Roman"/>
          <w:sz w:val="22"/>
          <w:szCs w:val="22"/>
          <w:shd w:val="clear" w:color="auto" w:fill="A6A6A6" w:themeFill="background1" w:themeFillShade="A6"/>
        </w:rPr>
        <w:tab/>
      </w:r>
    </w:p>
    <w:p w14:paraId="05F6DB92" w14:textId="77777777" w:rsidR="00B307DB" w:rsidRPr="00D84571" w:rsidRDefault="00B307DB" w:rsidP="00B307DB">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17.1</w:t>
      </w:r>
      <w:r w:rsidRPr="00D84571">
        <w:rPr>
          <w:rFonts w:ascii="Times New Roman" w:hAnsi="Times New Roman" w:cs="Times New Roman"/>
          <w:bCs/>
        </w:rPr>
        <w:t xml:space="preserve"> Conforme </w:t>
      </w:r>
      <w:hyperlink r:id="rId147" w:anchor="art71" w:history="1">
        <w:r w:rsidRPr="00D84571">
          <w:rPr>
            <w:rStyle w:val="Hyperlink"/>
            <w:rFonts w:ascii="Times New Roman" w:hAnsi="Times New Roman" w:cs="Times New Roman"/>
            <w:bCs/>
          </w:rPr>
          <w:t>art. 71 da Lei nº 14.133/2021</w:t>
        </w:r>
      </w:hyperlink>
      <w:r w:rsidRPr="00D84571">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6A522649"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bCs/>
        </w:rPr>
      </w:pPr>
      <w:r w:rsidRPr="002568FC">
        <w:rPr>
          <w:rFonts w:ascii="Times New Roman" w:hAnsi="Times New Roman" w:cs="Times New Roman"/>
          <w:b/>
          <w:bCs/>
        </w:rPr>
        <w:t>I -</w:t>
      </w:r>
      <w:r>
        <w:rPr>
          <w:rFonts w:ascii="Times New Roman" w:hAnsi="Times New Roman" w:cs="Times New Roman"/>
          <w:bCs/>
        </w:rPr>
        <w:t xml:space="preserve"> </w:t>
      </w:r>
      <w:r w:rsidRPr="00D84571">
        <w:rPr>
          <w:rFonts w:ascii="Times New Roman" w:hAnsi="Times New Roman" w:cs="Times New Roman"/>
          <w:bCs/>
        </w:rPr>
        <w:t>Determinar o retorno dos autos para saneamento de irregularidades;</w:t>
      </w:r>
    </w:p>
    <w:p w14:paraId="6C93ABD6"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bCs/>
        </w:rPr>
      </w:pPr>
      <w:r w:rsidRPr="002568FC">
        <w:rPr>
          <w:rFonts w:ascii="Times New Roman" w:hAnsi="Times New Roman" w:cs="Times New Roman"/>
          <w:b/>
          <w:bCs/>
        </w:rPr>
        <w:t>II -</w:t>
      </w:r>
      <w:r>
        <w:rPr>
          <w:rFonts w:ascii="Times New Roman" w:hAnsi="Times New Roman" w:cs="Times New Roman"/>
          <w:bCs/>
        </w:rPr>
        <w:t xml:space="preserve"> </w:t>
      </w:r>
      <w:r w:rsidRPr="00D84571">
        <w:rPr>
          <w:rFonts w:ascii="Times New Roman" w:hAnsi="Times New Roman" w:cs="Times New Roman"/>
          <w:bCs/>
        </w:rPr>
        <w:t>Revogar o processo de contratação por motivo de conveniência e oportunidade;</w:t>
      </w:r>
    </w:p>
    <w:p w14:paraId="78343177" w14:textId="77777777" w:rsidR="00B307DB" w:rsidRPr="00D84571" w:rsidRDefault="00B307DB" w:rsidP="00B307DB">
      <w:pPr>
        <w:pStyle w:val="PargrafodaLista"/>
        <w:tabs>
          <w:tab w:val="left" w:pos="567"/>
          <w:tab w:val="left" w:pos="993"/>
          <w:tab w:val="left" w:pos="1134"/>
        </w:tabs>
        <w:spacing w:after="0" w:line="240" w:lineRule="auto"/>
        <w:ind w:left="567" w:right="-568"/>
        <w:contextualSpacing w:val="0"/>
        <w:jc w:val="both"/>
        <w:rPr>
          <w:rFonts w:ascii="Times New Roman" w:hAnsi="Times New Roman" w:cs="Times New Roman"/>
          <w:bCs/>
        </w:rPr>
      </w:pPr>
      <w:r w:rsidRPr="002568FC">
        <w:rPr>
          <w:rFonts w:ascii="Times New Roman" w:hAnsi="Times New Roman" w:cs="Times New Roman"/>
          <w:b/>
          <w:bCs/>
        </w:rPr>
        <w:t>III -</w:t>
      </w:r>
      <w:r>
        <w:rPr>
          <w:rFonts w:ascii="Times New Roman" w:hAnsi="Times New Roman" w:cs="Times New Roman"/>
          <w:bCs/>
        </w:rPr>
        <w:t xml:space="preserve"> </w:t>
      </w:r>
      <w:r w:rsidRPr="00D84571">
        <w:rPr>
          <w:rFonts w:ascii="Times New Roman" w:hAnsi="Times New Roman" w:cs="Times New Roman"/>
          <w:bCs/>
        </w:rPr>
        <w:t>Proceder à anulação do processo de contratação, de ofício ou mediante provocação de terceiros, sempre que presente ilegalidade insanável;</w:t>
      </w:r>
    </w:p>
    <w:p w14:paraId="055AA4D6" w14:textId="77777777" w:rsidR="00B307DB" w:rsidRPr="00D84571" w:rsidRDefault="00B307DB" w:rsidP="00B307DB">
      <w:pPr>
        <w:pStyle w:val="PargrafodaLista"/>
        <w:tabs>
          <w:tab w:val="left" w:pos="567"/>
          <w:tab w:val="left" w:pos="1134"/>
        </w:tabs>
        <w:spacing w:after="0" w:line="240" w:lineRule="auto"/>
        <w:ind w:left="567" w:right="-568"/>
        <w:contextualSpacing w:val="0"/>
        <w:jc w:val="both"/>
        <w:rPr>
          <w:rFonts w:ascii="Times New Roman" w:hAnsi="Times New Roman" w:cs="Times New Roman"/>
          <w:bCs/>
        </w:rPr>
      </w:pPr>
      <w:r w:rsidRPr="002568FC">
        <w:rPr>
          <w:rFonts w:ascii="Times New Roman" w:hAnsi="Times New Roman" w:cs="Times New Roman"/>
          <w:b/>
          <w:bCs/>
        </w:rPr>
        <w:t>IV -</w:t>
      </w:r>
      <w:r>
        <w:rPr>
          <w:rFonts w:ascii="Times New Roman" w:hAnsi="Times New Roman" w:cs="Times New Roman"/>
          <w:bCs/>
        </w:rPr>
        <w:t xml:space="preserve"> </w:t>
      </w:r>
      <w:r w:rsidRPr="00D84571">
        <w:rPr>
          <w:rFonts w:ascii="Times New Roman" w:hAnsi="Times New Roman" w:cs="Times New Roman"/>
          <w:bCs/>
        </w:rPr>
        <w:t>Adjudicar o objeto e homologar o processo de contratação.</w:t>
      </w:r>
    </w:p>
    <w:p w14:paraId="017249F0" w14:textId="77777777" w:rsidR="00B307DB" w:rsidRPr="00D84571" w:rsidRDefault="00B307DB" w:rsidP="00B307DB">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17.2</w:t>
      </w:r>
      <w:r w:rsidRPr="00D84571">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8" w:anchor="art71%C2%A71" w:history="1">
        <w:r w:rsidRPr="00D84571">
          <w:rPr>
            <w:rStyle w:val="Hyperlink"/>
            <w:rFonts w:ascii="Times New Roman" w:hAnsi="Times New Roman" w:cs="Times New Roman"/>
            <w:bCs/>
          </w:rPr>
          <w:t>art. 71, § 1º da Lei nº 14.133/2021</w:t>
        </w:r>
      </w:hyperlink>
      <w:r w:rsidRPr="00D84571">
        <w:rPr>
          <w:rFonts w:ascii="Times New Roman" w:hAnsi="Times New Roman" w:cs="Times New Roman"/>
          <w:bCs/>
        </w:rPr>
        <w:t>).</w:t>
      </w:r>
    </w:p>
    <w:p w14:paraId="188B2567" w14:textId="77777777" w:rsidR="00B307DB" w:rsidRPr="00D84571" w:rsidRDefault="00B307DB" w:rsidP="00B307DB">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17.3</w:t>
      </w:r>
      <w:r w:rsidRPr="00D84571">
        <w:rPr>
          <w:rFonts w:ascii="Times New Roman" w:hAnsi="Times New Roman" w:cs="Times New Roman"/>
          <w:bCs/>
        </w:rPr>
        <w:t xml:space="preserve"> O motivo determinante para a revogação do processo de contratação deverá ser resultante de fato superveniente devidamente comprovado (</w:t>
      </w:r>
      <w:hyperlink r:id="rId149" w:anchor="art71%C2%A72" w:history="1">
        <w:r w:rsidRPr="00D84571">
          <w:rPr>
            <w:rStyle w:val="Hyperlink"/>
            <w:rFonts w:ascii="Times New Roman" w:hAnsi="Times New Roman" w:cs="Times New Roman"/>
            <w:bCs/>
          </w:rPr>
          <w:t>art. 71, § 2º da Lei nº 14.133/2021</w:t>
        </w:r>
      </w:hyperlink>
      <w:r w:rsidRPr="00D84571">
        <w:rPr>
          <w:rFonts w:ascii="Times New Roman" w:hAnsi="Times New Roman" w:cs="Times New Roman"/>
          <w:bCs/>
        </w:rPr>
        <w:t>).</w:t>
      </w:r>
    </w:p>
    <w:p w14:paraId="2D269026" w14:textId="77777777" w:rsidR="00B307DB" w:rsidRPr="00D84571" w:rsidRDefault="00B307DB" w:rsidP="00B307DB">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17.4</w:t>
      </w:r>
      <w:r w:rsidRPr="00D84571">
        <w:rPr>
          <w:rFonts w:ascii="Times New Roman" w:hAnsi="Times New Roman" w:cs="Times New Roman"/>
          <w:bCs/>
        </w:rPr>
        <w:t xml:space="preserve"> Nos casos de anulação e revogação, será assegurada a prévia manifestação dos interessados (</w:t>
      </w:r>
      <w:hyperlink r:id="rId150" w:anchor="art71%C2%A73" w:history="1">
        <w:r w:rsidRPr="00D84571">
          <w:rPr>
            <w:rStyle w:val="Hyperlink"/>
            <w:rFonts w:ascii="Times New Roman" w:hAnsi="Times New Roman" w:cs="Times New Roman"/>
            <w:bCs/>
          </w:rPr>
          <w:t>art. 71, § 3º da Lei nº 14.133/2021</w:t>
        </w:r>
      </w:hyperlink>
      <w:r w:rsidRPr="00D84571">
        <w:rPr>
          <w:rFonts w:ascii="Times New Roman" w:hAnsi="Times New Roman" w:cs="Times New Roman"/>
          <w:bCs/>
        </w:rPr>
        <w:t>).</w:t>
      </w:r>
    </w:p>
    <w:p w14:paraId="3B74DBD5" w14:textId="77777777" w:rsidR="00B307DB" w:rsidRPr="00D84571" w:rsidRDefault="00B307DB" w:rsidP="00B307DB">
      <w:pPr>
        <w:pStyle w:val="PargrafodaLista"/>
        <w:tabs>
          <w:tab w:val="left" w:pos="567"/>
        </w:tabs>
        <w:spacing w:after="0" w:line="240" w:lineRule="auto"/>
        <w:ind w:left="0" w:right="-568"/>
        <w:contextualSpacing w:val="0"/>
        <w:jc w:val="both"/>
        <w:rPr>
          <w:rFonts w:ascii="Times New Roman" w:hAnsi="Times New Roman" w:cs="Times New Roman"/>
          <w:bCs/>
        </w:rPr>
      </w:pPr>
      <w:r w:rsidRPr="00D84571">
        <w:rPr>
          <w:rFonts w:ascii="Times New Roman" w:hAnsi="Times New Roman" w:cs="Times New Roman"/>
          <w:b/>
          <w:bCs/>
        </w:rPr>
        <w:t>17.5</w:t>
      </w:r>
      <w:r w:rsidRPr="00D84571">
        <w:rPr>
          <w:rFonts w:ascii="Times New Roman" w:hAnsi="Times New Roman" w:cs="Times New Roman"/>
          <w:bCs/>
        </w:rPr>
        <w:t xml:space="preserve"> A anulação do processo de contratação induz à do contrato.</w:t>
      </w:r>
    </w:p>
    <w:p w14:paraId="0D224A4B" w14:textId="77777777" w:rsidR="00B307DB" w:rsidRPr="00D84571" w:rsidRDefault="00B307DB" w:rsidP="00B307DB">
      <w:pPr>
        <w:pStyle w:val="PargrafodaLista"/>
        <w:tabs>
          <w:tab w:val="left" w:pos="567"/>
        </w:tabs>
        <w:spacing w:after="0" w:line="240" w:lineRule="auto"/>
        <w:ind w:left="0" w:right="-568"/>
        <w:contextualSpacing w:val="0"/>
        <w:jc w:val="both"/>
        <w:rPr>
          <w:rFonts w:ascii="Times New Roman" w:hAnsi="Times New Roman" w:cs="Times New Roman"/>
          <w:bCs/>
        </w:rPr>
      </w:pPr>
    </w:p>
    <w:p w14:paraId="7788DB30" w14:textId="77777777" w:rsidR="00B307DB" w:rsidRPr="00D84571" w:rsidRDefault="00B307DB" w:rsidP="00B307DB">
      <w:pPr>
        <w:pStyle w:val="Ttulo1"/>
        <w:shd w:val="clear" w:color="auto" w:fill="BFBFBF" w:themeFill="background1" w:themeFillShade="BF"/>
        <w:tabs>
          <w:tab w:val="left" w:pos="7425"/>
        </w:tabs>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18 CONTRATO ADMINISTRATIVO</w:t>
      </w:r>
      <w:r>
        <w:rPr>
          <w:rFonts w:ascii="Times New Roman" w:hAnsi="Times New Roman" w:cs="Times New Roman"/>
          <w:sz w:val="22"/>
          <w:szCs w:val="22"/>
        </w:rPr>
        <w:tab/>
      </w:r>
    </w:p>
    <w:p w14:paraId="584DA644" w14:textId="77777777" w:rsidR="00B307DB" w:rsidRPr="00D84571" w:rsidRDefault="00B307DB" w:rsidP="00B307DB">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iCs/>
        </w:rPr>
        <w:t xml:space="preserve">18.1 </w:t>
      </w:r>
      <w:r w:rsidRPr="00D84571">
        <w:rPr>
          <w:rFonts w:ascii="Times New Roman" w:hAnsi="Times New Roman" w:cs="Times New Roman"/>
        </w:rPr>
        <w:t>REGRAS PARA FORMALIZAÇÃO</w:t>
      </w:r>
    </w:p>
    <w:p w14:paraId="35F052D9" w14:textId="77777777" w:rsidR="00B307DB" w:rsidRPr="00D7679F" w:rsidRDefault="00B307DB" w:rsidP="00B307DB">
      <w:pPr>
        <w:tabs>
          <w:tab w:val="left" w:pos="567"/>
        </w:tabs>
        <w:spacing w:after="0" w:line="240" w:lineRule="auto"/>
        <w:ind w:right="-568"/>
        <w:jc w:val="both"/>
        <w:rPr>
          <w:rFonts w:ascii="Times New Roman" w:hAnsi="Times New Roman" w:cs="Times New Roman"/>
        </w:rPr>
      </w:pPr>
      <w:r w:rsidRPr="00D7679F">
        <w:rPr>
          <w:rFonts w:ascii="Times New Roman" w:hAnsi="Times New Roman" w:cs="Times New Roman"/>
          <w:b/>
        </w:rPr>
        <w:t>18.1.1</w:t>
      </w:r>
      <w:r>
        <w:rPr>
          <w:rFonts w:ascii="Times New Roman" w:hAnsi="Times New Roman" w:cs="Times New Roman"/>
        </w:rPr>
        <w:t xml:space="preserve"> </w:t>
      </w:r>
      <w:r w:rsidRPr="00D7679F">
        <w:rPr>
          <w:rFonts w:ascii="Times New Roman" w:hAnsi="Times New Roman" w:cs="Times New Roman"/>
        </w:rPr>
        <w:t xml:space="preserve">O contrato administrativo observará, entre outras, as seguintes condições: </w:t>
      </w:r>
    </w:p>
    <w:p w14:paraId="5FA727FF" w14:textId="77777777" w:rsidR="00B307DB" w:rsidRPr="00D84571" w:rsidRDefault="00B307DB" w:rsidP="00B307DB">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DC7CFB">
        <w:rPr>
          <w:rFonts w:ascii="Times New Roman" w:hAnsi="Times New Roman" w:cs="Times New Roman"/>
          <w:b/>
          <w:iCs/>
        </w:rPr>
        <w:t xml:space="preserve">I - </w:t>
      </w:r>
      <w:r w:rsidRPr="00D84571">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1" w:anchor="art89" w:history="1">
        <w:r w:rsidRPr="00D84571">
          <w:rPr>
            <w:rStyle w:val="Hyperlink"/>
            <w:rFonts w:ascii="Times New Roman" w:hAnsi="Times New Roman" w:cs="Times New Roman"/>
            <w:iCs/>
          </w:rPr>
          <w:t xml:space="preserve">art. 89,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r w:rsidRPr="00D84571">
        <w:rPr>
          <w:rFonts w:ascii="Times New Roman" w:hAnsi="Times New Roman" w:cs="Times New Roman"/>
          <w:bCs/>
        </w:rPr>
        <w:t>;</w:t>
      </w:r>
    </w:p>
    <w:p w14:paraId="2AB64152" w14:textId="77777777" w:rsidR="00B307DB" w:rsidRPr="00D84571" w:rsidRDefault="00B307DB" w:rsidP="00B307DB">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DC7CFB">
        <w:rPr>
          <w:rFonts w:ascii="Times New Roman" w:hAnsi="Times New Roman" w:cs="Times New Roman"/>
          <w:b/>
          <w:iCs/>
        </w:rPr>
        <w:t>II -</w:t>
      </w:r>
      <w:r>
        <w:rPr>
          <w:rFonts w:ascii="Times New Roman" w:hAnsi="Times New Roman" w:cs="Times New Roman"/>
          <w:iCs/>
        </w:rPr>
        <w:t xml:space="preserve"> </w:t>
      </w:r>
      <w:r w:rsidRPr="00D84571">
        <w:rPr>
          <w:rFonts w:ascii="Times New Roman" w:hAnsi="Times New Roman" w:cs="Times New Roman"/>
          <w:iCs/>
        </w:rPr>
        <w:t>O Município convocará o licitante vencedor para assinar o termo de contrato ou para aceitar ou retirar o instrumento equivalente, dentro do prazo máximo de 05 dias, sob pena de decair o direito à contratação, sem prejuízo das sanções previstas na Lei nº 14.133/2021 (</w:t>
      </w:r>
      <w:hyperlink r:id="rId152" w:anchor="art90" w:history="1">
        <w:r w:rsidRPr="00D84571">
          <w:rPr>
            <w:rStyle w:val="Hyperlink"/>
            <w:rFonts w:ascii="Times New Roman" w:hAnsi="Times New Roman" w:cs="Times New Roman"/>
            <w:iCs/>
          </w:rPr>
          <w:t xml:space="preserve">art. 90, </w:t>
        </w:r>
        <w:r w:rsidRPr="00D84571">
          <w:rPr>
            <w:rStyle w:val="Hyperlink"/>
            <w:rFonts w:ascii="Times New Roman" w:hAnsi="Times New Roman" w:cs="Times New Roman"/>
            <w:i/>
            <w:iCs/>
          </w:rPr>
          <w:t xml:space="preserve">caput </w:t>
        </w:r>
        <w:r w:rsidRPr="00D84571">
          <w:rPr>
            <w:rStyle w:val="Hyperlink"/>
            <w:rFonts w:ascii="Times New Roman" w:hAnsi="Times New Roman" w:cs="Times New Roman"/>
            <w:iCs/>
          </w:rPr>
          <w:t>da Lei nº 14.133/2021</w:t>
        </w:r>
      </w:hyperlink>
      <w:r w:rsidRPr="00D84571">
        <w:rPr>
          <w:rFonts w:ascii="Times New Roman" w:hAnsi="Times New Roman" w:cs="Times New Roman"/>
          <w:iCs/>
        </w:rPr>
        <w:t>);</w:t>
      </w:r>
    </w:p>
    <w:p w14:paraId="2CF4BEE8" w14:textId="77777777" w:rsidR="00B307DB" w:rsidRPr="00300415" w:rsidRDefault="00B307DB" w:rsidP="00F25794">
      <w:pPr>
        <w:pStyle w:val="PargrafodaLista"/>
        <w:numPr>
          <w:ilvl w:val="0"/>
          <w:numId w:val="254"/>
        </w:numPr>
        <w:tabs>
          <w:tab w:val="left" w:pos="426"/>
        </w:tabs>
        <w:spacing w:after="0" w:line="240" w:lineRule="auto"/>
        <w:ind w:left="1134" w:right="-568" w:firstLine="0"/>
        <w:jc w:val="both"/>
        <w:rPr>
          <w:rFonts w:ascii="Times New Roman" w:hAnsi="Times New Roman" w:cs="Times New Roman"/>
        </w:rPr>
      </w:pPr>
      <w:r w:rsidRPr="00300415">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3" w:anchor="art90%C2%A71" w:history="1">
        <w:r w:rsidRPr="00300415">
          <w:rPr>
            <w:rStyle w:val="Hyperlink"/>
            <w:rFonts w:ascii="Times New Roman" w:hAnsi="Times New Roman" w:cs="Times New Roman"/>
            <w:iCs/>
          </w:rPr>
          <w:t>art. 90, § 1º da Lei nº 14.133/2021</w:t>
        </w:r>
      </w:hyperlink>
      <w:r w:rsidRPr="00300415">
        <w:rPr>
          <w:rFonts w:ascii="Times New Roman" w:hAnsi="Times New Roman" w:cs="Times New Roman"/>
          <w:iCs/>
        </w:rPr>
        <w:t>);</w:t>
      </w:r>
    </w:p>
    <w:p w14:paraId="444C9522" w14:textId="77777777" w:rsidR="00B307DB" w:rsidRPr="00300415" w:rsidRDefault="00B307DB" w:rsidP="00F25794">
      <w:pPr>
        <w:pStyle w:val="PargrafodaLista"/>
        <w:numPr>
          <w:ilvl w:val="0"/>
          <w:numId w:val="254"/>
        </w:numPr>
        <w:tabs>
          <w:tab w:val="left" w:pos="426"/>
        </w:tabs>
        <w:spacing w:after="0" w:line="240" w:lineRule="auto"/>
        <w:ind w:left="1134" w:right="-568" w:firstLine="0"/>
        <w:jc w:val="both"/>
        <w:rPr>
          <w:rFonts w:ascii="Times New Roman" w:hAnsi="Times New Roman" w:cs="Times New Roman"/>
        </w:rPr>
      </w:pPr>
      <w:r w:rsidRPr="00300415">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4" w:anchor="art90%C2%A72" w:history="1">
        <w:r w:rsidRPr="00300415">
          <w:rPr>
            <w:rStyle w:val="Hyperlink"/>
            <w:rFonts w:ascii="Times New Roman" w:hAnsi="Times New Roman" w:cs="Times New Roman"/>
            <w:iCs/>
          </w:rPr>
          <w:t>art. 90, § 2º da Lei nº 14.133/2021</w:t>
        </w:r>
      </w:hyperlink>
      <w:r w:rsidRPr="00300415">
        <w:rPr>
          <w:rFonts w:ascii="Times New Roman" w:hAnsi="Times New Roman" w:cs="Times New Roman"/>
          <w:iCs/>
        </w:rPr>
        <w:t>);</w:t>
      </w:r>
    </w:p>
    <w:p w14:paraId="490224CC" w14:textId="77777777" w:rsidR="00B307DB" w:rsidRPr="00300415" w:rsidRDefault="00B307DB" w:rsidP="00F25794">
      <w:pPr>
        <w:pStyle w:val="PargrafodaLista"/>
        <w:numPr>
          <w:ilvl w:val="0"/>
          <w:numId w:val="254"/>
        </w:numPr>
        <w:tabs>
          <w:tab w:val="left" w:pos="426"/>
        </w:tabs>
        <w:spacing w:after="0" w:line="240" w:lineRule="auto"/>
        <w:ind w:left="1134" w:right="-568" w:firstLine="0"/>
        <w:jc w:val="both"/>
        <w:rPr>
          <w:rFonts w:ascii="Times New Roman" w:hAnsi="Times New Roman" w:cs="Times New Roman"/>
        </w:rPr>
      </w:pPr>
      <w:r w:rsidRPr="00300415">
        <w:rPr>
          <w:rFonts w:ascii="Times New Roman" w:hAnsi="Times New Roman" w:cs="Times New Roman"/>
          <w:iCs/>
        </w:rPr>
        <w:t>Decorrido o prazo de validade da proposta indicado no edital sem convocação para a contratação, ficarão os licitantes liberados dos compromissos assumidos (</w:t>
      </w:r>
      <w:hyperlink r:id="rId155" w:anchor="art90%C2%A73" w:history="1">
        <w:r w:rsidRPr="00300415">
          <w:rPr>
            <w:rStyle w:val="Hyperlink"/>
            <w:rFonts w:ascii="Times New Roman" w:hAnsi="Times New Roman" w:cs="Times New Roman"/>
            <w:iCs/>
          </w:rPr>
          <w:t>art. 90, § 3º da Lei nº 14.133/2021</w:t>
        </w:r>
      </w:hyperlink>
      <w:r w:rsidRPr="00300415">
        <w:rPr>
          <w:rFonts w:ascii="Times New Roman" w:hAnsi="Times New Roman" w:cs="Times New Roman"/>
          <w:iCs/>
        </w:rPr>
        <w:t>);</w:t>
      </w:r>
    </w:p>
    <w:p w14:paraId="724A9214" w14:textId="77777777" w:rsidR="00B307DB" w:rsidRPr="00300415" w:rsidRDefault="00B307DB" w:rsidP="00F25794">
      <w:pPr>
        <w:pStyle w:val="PargrafodaLista"/>
        <w:numPr>
          <w:ilvl w:val="0"/>
          <w:numId w:val="254"/>
        </w:numPr>
        <w:tabs>
          <w:tab w:val="left" w:pos="426"/>
        </w:tabs>
        <w:spacing w:after="0" w:line="240" w:lineRule="auto"/>
        <w:ind w:left="1134" w:right="-568" w:firstLine="0"/>
        <w:jc w:val="both"/>
        <w:rPr>
          <w:rFonts w:ascii="Times New Roman" w:hAnsi="Times New Roman" w:cs="Times New Roman"/>
        </w:rPr>
      </w:pPr>
      <w:r w:rsidRPr="00300415">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56" w:anchor="art90%C2%A74" w:history="1">
        <w:r w:rsidRPr="00300415">
          <w:rPr>
            <w:rStyle w:val="Hyperlink"/>
            <w:rFonts w:ascii="Times New Roman" w:hAnsi="Times New Roman" w:cs="Times New Roman"/>
            <w:iCs/>
          </w:rPr>
          <w:t>art. 90, § 4º da Lei nº 14.133/2021</w:t>
        </w:r>
      </w:hyperlink>
      <w:r w:rsidRPr="00300415">
        <w:rPr>
          <w:rFonts w:ascii="Times New Roman" w:hAnsi="Times New Roman" w:cs="Times New Roman"/>
          <w:iCs/>
        </w:rPr>
        <w:t>):</w:t>
      </w:r>
    </w:p>
    <w:p w14:paraId="31D2FFA7" w14:textId="77777777" w:rsidR="00B307DB" w:rsidRPr="00D84571" w:rsidRDefault="00B307DB" w:rsidP="00F25794">
      <w:pPr>
        <w:pStyle w:val="PargrafodaLista"/>
        <w:numPr>
          <w:ilvl w:val="0"/>
          <w:numId w:val="255"/>
        </w:numPr>
        <w:tabs>
          <w:tab w:val="left" w:pos="2835"/>
        </w:tabs>
        <w:spacing w:after="0" w:line="240" w:lineRule="auto"/>
        <w:ind w:left="1134" w:right="-568" w:hanging="33"/>
        <w:contextualSpacing w:val="0"/>
        <w:jc w:val="both"/>
        <w:rPr>
          <w:rFonts w:ascii="Times New Roman" w:hAnsi="Times New Roman" w:cs="Times New Roman"/>
        </w:rPr>
      </w:pPr>
      <w:r w:rsidRPr="00D84571">
        <w:rPr>
          <w:rFonts w:ascii="Times New Roman" w:hAnsi="Times New Roman" w:cs="Times New Roman"/>
          <w:iCs/>
        </w:rPr>
        <w:lastRenderedPageBreak/>
        <w:t xml:space="preserve"> Convocar os licitantes remanescentes para negociação, na ordem de classificação, com vistas à obtenção de preço melhor, mesmo que acima do preço do adjudicatário; </w:t>
      </w:r>
    </w:p>
    <w:p w14:paraId="06A68336" w14:textId="77777777" w:rsidR="00B307DB" w:rsidRPr="00D84571" w:rsidRDefault="00B307DB" w:rsidP="00F25794">
      <w:pPr>
        <w:pStyle w:val="PargrafodaLista"/>
        <w:numPr>
          <w:ilvl w:val="0"/>
          <w:numId w:val="255"/>
        </w:numPr>
        <w:tabs>
          <w:tab w:val="left" w:pos="2835"/>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3D04646B" w14:textId="77777777" w:rsidR="00B307DB" w:rsidRPr="00D84571" w:rsidRDefault="00B307DB" w:rsidP="00F25794">
      <w:pPr>
        <w:pStyle w:val="PargrafodaLista"/>
        <w:numPr>
          <w:ilvl w:val="0"/>
          <w:numId w:val="254"/>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57" w:anchor="art90%C2%A75" w:history="1">
        <w:r w:rsidRPr="00D84571">
          <w:rPr>
            <w:rStyle w:val="Hyperlink"/>
            <w:rFonts w:ascii="Times New Roman" w:hAnsi="Times New Roman" w:cs="Times New Roman"/>
            <w:iCs/>
          </w:rPr>
          <w:t>art. 90, § 5º da Lei nº 14.133/2021</w:t>
        </w:r>
      </w:hyperlink>
      <w:r w:rsidRPr="00D84571">
        <w:rPr>
          <w:rFonts w:ascii="Times New Roman" w:hAnsi="Times New Roman" w:cs="Times New Roman"/>
          <w:iCs/>
        </w:rPr>
        <w:t xml:space="preserve">), sendo que tal regra não se aplicará aos licitantes remanescentes convocados na forma </w:t>
      </w:r>
      <w:hyperlink r:id="rId158" w:anchor="art90%C2%A74i" w:history="1">
        <w:r w:rsidRPr="00D84571">
          <w:rPr>
            <w:rStyle w:val="Hyperlink"/>
            <w:rFonts w:ascii="Times New Roman" w:hAnsi="Times New Roman" w:cs="Times New Roman"/>
            <w:iCs/>
          </w:rPr>
          <w:t>do inciso I do § 4º do art. 90 da Lei nº 14.133/2021</w:t>
        </w:r>
      </w:hyperlink>
      <w:r w:rsidRPr="00D84571">
        <w:rPr>
          <w:rFonts w:ascii="Times New Roman" w:hAnsi="Times New Roman" w:cs="Times New Roman"/>
          <w:iCs/>
        </w:rPr>
        <w:t xml:space="preserve"> (</w:t>
      </w:r>
      <w:hyperlink r:id="rId159" w:anchor="art90%C2%A76" w:history="1">
        <w:r w:rsidRPr="00D84571">
          <w:rPr>
            <w:rStyle w:val="Hyperlink"/>
            <w:rFonts w:ascii="Times New Roman" w:hAnsi="Times New Roman" w:cs="Times New Roman"/>
            <w:iCs/>
          </w:rPr>
          <w:t>art. 90, § 6º da Lei nº 14.133/2021</w:t>
        </w:r>
      </w:hyperlink>
      <w:r w:rsidRPr="00D84571">
        <w:rPr>
          <w:rFonts w:ascii="Times New Roman" w:hAnsi="Times New Roman" w:cs="Times New Roman"/>
          <w:iCs/>
        </w:rPr>
        <w:t>);</w:t>
      </w:r>
    </w:p>
    <w:p w14:paraId="6C8D2061" w14:textId="77777777" w:rsidR="00B307DB" w:rsidRPr="00D84571" w:rsidRDefault="00B307DB" w:rsidP="00F25794">
      <w:pPr>
        <w:pStyle w:val="PargrafodaLista"/>
        <w:numPr>
          <w:ilvl w:val="0"/>
          <w:numId w:val="254"/>
        </w:numPr>
        <w:tabs>
          <w:tab w:val="left" w:pos="851"/>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60" w:anchor="art90%C2%A72" w:history="1">
        <w:r w:rsidRPr="00D84571">
          <w:rPr>
            <w:rStyle w:val="Hyperlink"/>
            <w:rFonts w:ascii="Times New Roman" w:hAnsi="Times New Roman" w:cs="Times New Roman"/>
            <w:iCs/>
          </w:rPr>
          <w:t>§§ 2º e 4º do art. 90 da Lei nº 14.133/2021</w:t>
        </w:r>
      </w:hyperlink>
      <w:r w:rsidRPr="00D84571">
        <w:rPr>
          <w:rFonts w:ascii="Times New Roman" w:hAnsi="Times New Roman" w:cs="Times New Roman"/>
          <w:iCs/>
        </w:rPr>
        <w:t xml:space="preserve"> (</w:t>
      </w:r>
      <w:hyperlink r:id="rId161" w:anchor="art90%C2%A77" w:history="1">
        <w:r w:rsidRPr="00D84571">
          <w:rPr>
            <w:rStyle w:val="Hyperlink"/>
            <w:rFonts w:ascii="Times New Roman" w:hAnsi="Times New Roman" w:cs="Times New Roman"/>
            <w:iCs/>
          </w:rPr>
          <w:t>art. 90, § 7º da Lei nº 14.133/2021</w:t>
        </w:r>
      </w:hyperlink>
      <w:r w:rsidRPr="00D84571">
        <w:rPr>
          <w:rFonts w:ascii="Times New Roman" w:hAnsi="Times New Roman" w:cs="Times New Roman"/>
          <w:iCs/>
        </w:rPr>
        <w:t>).</w:t>
      </w:r>
    </w:p>
    <w:p w14:paraId="7D201C53" w14:textId="77777777" w:rsidR="00B307DB" w:rsidRPr="00D84571" w:rsidRDefault="00B307DB" w:rsidP="00B307DB">
      <w:pPr>
        <w:pStyle w:val="PargrafodaLista"/>
        <w:tabs>
          <w:tab w:val="left" w:pos="567"/>
        </w:tabs>
        <w:spacing w:after="0" w:line="240" w:lineRule="auto"/>
        <w:ind w:left="567" w:right="-568"/>
        <w:contextualSpacing w:val="0"/>
        <w:jc w:val="both"/>
        <w:rPr>
          <w:rFonts w:ascii="Times New Roman" w:hAnsi="Times New Roman" w:cs="Times New Roman"/>
        </w:rPr>
      </w:pPr>
      <w:r w:rsidRPr="00DC7CFB">
        <w:rPr>
          <w:rFonts w:ascii="Times New Roman" w:hAnsi="Times New Roman" w:cs="Times New Roman"/>
          <w:b/>
          <w:iCs/>
        </w:rPr>
        <w:t>III -</w:t>
      </w:r>
      <w:r>
        <w:rPr>
          <w:rFonts w:ascii="Times New Roman" w:hAnsi="Times New Roman" w:cs="Times New Roman"/>
          <w:iCs/>
        </w:rPr>
        <w:t xml:space="preserve"> </w:t>
      </w:r>
      <w:r w:rsidRPr="00D84571">
        <w:rPr>
          <w:rFonts w:ascii="Times New Roman" w:hAnsi="Times New Roman" w:cs="Times New Roman"/>
          <w:iCs/>
        </w:rPr>
        <w:t>Os contratos e seus aditamentos terão forma escrita e serão juntados ao processo, divulgados e mantidos à disposição do público em sítio eletrônico oficial (</w:t>
      </w:r>
      <w:hyperlink r:id="rId162" w:anchor="art91" w:history="1">
        <w:r w:rsidRPr="00D84571">
          <w:rPr>
            <w:rStyle w:val="Hyperlink"/>
            <w:rFonts w:ascii="Times New Roman" w:hAnsi="Times New Roman" w:cs="Times New Roman"/>
            <w:iCs/>
          </w:rPr>
          <w:t xml:space="preserve">art. 91, </w:t>
        </w:r>
        <w:r w:rsidRPr="00D84571">
          <w:rPr>
            <w:rStyle w:val="Hyperlink"/>
            <w:rFonts w:ascii="Times New Roman" w:hAnsi="Times New Roman" w:cs="Times New Roman"/>
            <w:i/>
            <w:iCs/>
          </w:rPr>
          <w:t>caput</w:t>
        </w:r>
        <w:r w:rsidRPr="00D84571">
          <w:rPr>
            <w:rStyle w:val="Hyperlink"/>
            <w:rFonts w:ascii="Times New Roman" w:hAnsi="Times New Roman" w:cs="Times New Roman"/>
            <w:iCs/>
          </w:rPr>
          <w:t xml:space="preserve"> da Lei nº 14.133/2021</w:t>
        </w:r>
      </w:hyperlink>
      <w:r w:rsidRPr="00D84571">
        <w:rPr>
          <w:rFonts w:ascii="Times New Roman" w:hAnsi="Times New Roman" w:cs="Times New Roman"/>
          <w:iCs/>
        </w:rPr>
        <w:t>);</w:t>
      </w:r>
    </w:p>
    <w:p w14:paraId="53EB9C5B" w14:textId="77777777" w:rsidR="00B307DB" w:rsidRPr="00D84571" w:rsidRDefault="00B307DB" w:rsidP="00B307DB">
      <w:pPr>
        <w:pStyle w:val="PargrafodaLista"/>
        <w:tabs>
          <w:tab w:val="left" w:pos="709"/>
        </w:tabs>
        <w:spacing w:after="0" w:line="240" w:lineRule="auto"/>
        <w:ind w:left="1134" w:right="-568"/>
        <w:contextualSpacing w:val="0"/>
        <w:jc w:val="both"/>
        <w:rPr>
          <w:rFonts w:ascii="Times New Roman" w:hAnsi="Times New Roman" w:cs="Times New Roman"/>
        </w:rPr>
      </w:pPr>
      <w:r w:rsidRPr="00DC7CFB">
        <w:rPr>
          <w:rFonts w:ascii="Times New Roman" w:hAnsi="Times New Roman" w:cs="Times New Roman"/>
          <w:b/>
          <w:iCs/>
        </w:rPr>
        <w:t>a)</w:t>
      </w:r>
      <w:r>
        <w:rPr>
          <w:rFonts w:ascii="Times New Roman" w:hAnsi="Times New Roman" w:cs="Times New Roman"/>
          <w:iCs/>
        </w:rPr>
        <w:t xml:space="preserve"> </w:t>
      </w:r>
      <w:r w:rsidRPr="00D84571">
        <w:rPr>
          <w:rFonts w:ascii="Times New Roman" w:hAnsi="Times New Roman" w:cs="Times New Roman"/>
          <w:iCs/>
        </w:rPr>
        <w:t xml:space="preserve">Antes de formalizar ou prorrogar o prazo de vigência do contrato, a Administração verificará a regularidade fiscal do contratado, consultar o </w:t>
      </w:r>
      <w:hyperlink r:id="rId163" w:history="1">
        <w:r w:rsidRPr="00D84571">
          <w:rPr>
            <w:rStyle w:val="Hyperlink"/>
            <w:rFonts w:ascii="Times New Roman" w:hAnsi="Times New Roman" w:cs="Times New Roman"/>
            <w:iCs/>
          </w:rPr>
          <w:t>Cadastro Nacional de Empresas Inidôneas e Suspensas (Ceis)</w:t>
        </w:r>
      </w:hyperlink>
      <w:r w:rsidRPr="00D84571">
        <w:rPr>
          <w:rFonts w:ascii="Times New Roman" w:hAnsi="Times New Roman" w:cs="Times New Roman"/>
          <w:iCs/>
        </w:rPr>
        <w:t xml:space="preserve"> e o </w:t>
      </w:r>
      <w:hyperlink r:id="rId164" w:history="1">
        <w:r w:rsidRPr="00D84571">
          <w:rPr>
            <w:rStyle w:val="Hyperlink"/>
            <w:rFonts w:ascii="Times New Roman" w:hAnsi="Times New Roman" w:cs="Times New Roman"/>
            <w:iCs/>
          </w:rPr>
          <w:t>Cadastro Nacional de Empresas Punidas (Cnep)</w:t>
        </w:r>
      </w:hyperlink>
      <w:r w:rsidRPr="00D84571">
        <w:rPr>
          <w:rFonts w:ascii="Times New Roman" w:hAnsi="Times New Roman" w:cs="Times New Roman"/>
          <w:iCs/>
        </w:rPr>
        <w:t>, emitir as certidões negativas de inidoneidade, de impedimento e de débitos trabalhistas e para serem juntadas ao respectivo processo (</w:t>
      </w:r>
      <w:hyperlink r:id="rId165" w:anchor="art91%C2%A74" w:history="1">
        <w:r w:rsidRPr="00D84571">
          <w:rPr>
            <w:rStyle w:val="Hyperlink"/>
            <w:rFonts w:ascii="Times New Roman" w:hAnsi="Times New Roman" w:cs="Times New Roman"/>
            <w:iCs/>
          </w:rPr>
          <w:t>art. 91, § 4º da Lei nº 14.133/2021</w:t>
        </w:r>
      </w:hyperlink>
      <w:r w:rsidRPr="00D84571">
        <w:rPr>
          <w:rFonts w:ascii="Times New Roman" w:hAnsi="Times New Roman" w:cs="Times New Roman"/>
          <w:iCs/>
        </w:rPr>
        <w:t>);</w:t>
      </w:r>
    </w:p>
    <w:p w14:paraId="10DA20CF" w14:textId="77777777" w:rsidR="00B307DB" w:rsidRPr="00D84571" w:rsidRDefault="00B307DB" w:rsidP="00B307DB">
      <w:pPr>
        <w:pStyle w:val="PargrafodaLista"/>
        <w:tabs>
          <w:tab w:val="left" w:pos="709"/>
        </w:tabs>
        <w:spacing w:after="0" w:line="240" w:lineRule="auto"/>
        <w:ind w:left="1134" w:right="-568"/>
        <w:contextualSpacing w:val="0"/>
        <w:jc w:val="both"/>
        <w:rPr>
          <w:rStyle w:val="Hyperlink"/>
          <w:rFonts w:ascii="Times New Roman" w:hAnsi="Times New Roman" w:cs="Times New Roman"/>
        </w:rPr>
      </w:pPr>
      <w:r w:rsidRPr="00DC7CFB">
        <w:rPr>
          <w:rFonts w:ascii="Times New Roman" w:hAnsi="Times New Roman" w:cs="Times New Roman"/>
          <w:b/>
          <w:iCs/>
        </w:rPr>
        <w:t>b)</w:t>
      </w:r>
      <w:r>
        <w:rPr>
          <w:rFonts w:ascii="Times New Roman" w:hAnsi="Times New Roman" w:cs="Times New Roman"/>
          <w:iCs/>
        </w:rPr>
        <w:t xml:space="preserve"> </w:t>
      </w:r>
      <w:r w:rsidRPr="00D84571">
        <w:rPr>
          <w:rFonts w:ascii="Times New Roman" w:hAnsi="Times New Roman" w:cs="Times New Roman"/>
          <w:iCs/>
        </w:rPr>
        <w:t xml:space="preserve">A consulta será feita no seguinte link: </w:t>
      </w:r>
      <w:hyperlink r:id="rId166" w:history="1">
        <w:r w:rsidRPr="00D84571">
          <w:rPr>
            <w:rStyle w:val="Hyperlink"/>
            <w:rFonts w:ascii="Times New Roman" w:hAnsi="Times New Roman" w:cs="Times New Roman"/>
            <w:iCs/>
          </w:rPr>
          <w:t>https://certidoes.cgu.gov.br/</w:t>
        </w:r>
      </w:hyperlink>
      <w:r w:rsidRPr="00D84571">
        <w:rPr>
          <w:rStyle w:val="Hyperlink"/>
          <w:rFonts w:ascii="Times New Roman" w:hAnsi="Times New Roman" w:cs="Times New Roman"/>
          <w:iCs/>
        </w:rPr>
        <w:t>;</w:t>
      </w:r>
    </w:p>
    <w:p w14:paraId="1B295F32" w14:textId="77777777" w:rsidR="00B307DB" w:rsidRPr="00D84571" w:rsidRDefault="00B307DB" w:rsidP="00B307DB">
      <w:pPr>
        <w:pStyle w:val="PargrafodaLista"/>
        <w:tabs>
          <w:tab w:val="left" w:pos="709"/>
        </w:tabs>
        <w:spacing w:after="0" w:line="240" w:lineRule="auto"/>
        <w:ind w:left="1134" w:right="-568"/>
        <w:contextualSpacing w:val="0"/>
        <w:jc w:val="both"/>
        <w:rPr>
          <w:rFonts w:ascii="Times New Roman" w:hAnsi="Times New Roman" w:cs="Times New Roman"/>
        </w:rPr>
      </w:pPr>
      <w:r w:rsidRPr="00DC7CFB">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 xml:space="preserve">A consulta aos cadastros acima referidos </w:t>
      </w:r>
      <w:r w:rsidRPr="00D84571">
        <w:rPr>
          <w:rFonts w:ascii="Times New Roman" w:hAnsi="Times New Roman" w:cs="Times New Roman"/>
          <w:b/>
        </w:rPr>
        <w:t>será</w:t>
      </w:r>
      <w:r w:rsidRPr="00D84571">
        <w:rPr>
          <w:rFonts w:ascii="Times New Roman" w:hAnsi="Times New Roman" w:cs="Times New Roman"/>
        </w:rPr>
        <w:t xml:space="preserve"> realizada </w:t>
      </w:r>
      <w:r w:rsidRPr="00D84571">
        <w:rPr>
          <w:rFonts w:ascii="Times New Roman" w:hAnsi="Times New Roman" w:cs="Times New Roman"/>
          <w:b/>
        </w:rPr>
        <w:t xml:space="preserve">em nome do fornecedor </w:t>
      </w:r>
      <w:r w:rsidRPr="00D84571">
        <w:rPr>
          <w:rFonts w:ascii="Times New Roman" w:hAnsi="Times New Roman" w:cs="Times New Roman"/>
          <w:b/>
          <w:u w:val="single"/>
        </w:rPr>
        <w:t>e</w:t>
      </w:r>
      <w:r w:rsidRPr="00D84571">
        <w:rPr>
          <w:rFonts w:ascii="Times New Roman" w:hAnsi="Times New Roman" w:cs="Times New Roman"/>
          <w:b/>
        </w:rPr>
        <w:t xml:space="preserve"> também de seu sócio majoritário</w:t>
      </w:r>
      <w:r w:rsidRPr="00D84571">
        <w:rPr>
          <w:rFonts w:ascii="Times New Roman" w:hAnsi="Times New Roman" w:cs="Times New Roman"/>
        </w:rPr>
        <w:t xml:space="preserve">, por força do </w:t>
      </w:r>
      <w:hyperlink r:id="rId167" w:anchor="art12" w:history="1">
        <w:r w:rsidRPr="00D84571">
          <w:rPr>
            <w:rStyle w:val="Hyperlink"/>
            <w:rFonts w:ascii="Times New Roman" w:hAnsi="Times New Roman" w:cs="Times New Roman"/>
          </w:rPr>
          <w:t>art. 12 da Lei nº 8.429/1992</w:t>
        </w:r>
      </w:hyperlink>
      <w:r w:rsidRPr="00D84571">
        <w:rPr>
          <w:rFonts w:ascii="Times New Roman" w:hAnsi="Times New Roman" w:cs="Times New Roman"/>
        </w:rPr>
        <w:t xml:space="preserve"> (</w:t>
      </w:r>
      <w:r w:rsidRPr="00D84571">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D84571">
        <w:rPr>
          <w:rFonts w:ascii="Times New Roman" w:hAnsi="Times New Roman" w:cs="Times New Roman"/>
        </w:rPr>
        <w:t>);</w:t>
      </w:r>
    </w:p>
    <w:p w14:paraId="1D35CB45" w14:textId="77777777" w:rsidR="00B307DB" w:rsidRPr="00D84571" w:rsidRDefault="00B307DB" w:rsidP="00B307DB">
      <w:pPr>
        <w:pStyle w:val="PargrafodaLista"/>
        <w:tabs>
          <w:tab w:val="left" w:pos="284"/>
        </w:tabs>
        <w:spacing w:after="0" w:line="240" w:lineRule="auto"/>
        <w:ind w:left="567" w:right="-568"/>
        <w:contextualSpacing w:val="0"/>
        <w:jc w:val="both"/>
        <w:rPr>
          <w:rFonts w:ascii="Times New Roman" w:hAnsi="Times New Roman" w:cs="Times New Roman"/>
        </w:rPr>
      </w:pPr>
      <w:r w:rsidRPr="006C0329">
        <w:rPr>
          <w:rFonts w:ascii="Times New Roman" w:hAnsi="Times New Roman" w:cs="Times New Roman"/>
          <w:b/>
          <w:iCs/>
        </w:rPr>
        <w:t>IV -</w:t>
      </w:r>
      <w:r>
        <w:rPr>
          <w:rFonts w:ascii="Times New Roman" w:hAnsi="Times New Roman" w:cs="Times New Roman"/>
          <w:iCs/>
        </w:rPr>
        <w:t xml:space="preserve"> </w:t>
      </w:r>
      <w:r w:rsidRPr="00D84571">
        <w:rPr>
          <w:rFonts w:ascii="Times New Roman" w:hAnsi="Times New Roman" w:cs="Times New Roman"/>
          <w:iCs/>
        </w:rPr>
        <w:t xml:space="preserve">Os contratos administrativos obedecerão irrestritamente o disposto no </w:t>
      </w:r>
      <w:hyperlink r:id="rId168" w:anchor="art92" w:history="1">
        <w:r w:rsidRPr="00D84571">
          <w:rPr>
            <w:rStyle w:val="Hyperlink"/>
            <w:rFonts w:ascii="Times New Roman" w:hAnsi="Times New Roman" w:cs="Times New Roman"/>
            <w:iCs/>
          </w:rPr>
          <w:t>art. 92 da Lei nº 14.133/2021</w:t>
        </w:r>
      </w:hyperlink>
      <w:r w:rsidRPr="00D84571">
        <w:rPr>
          <w:rFonts w:ascii="Times New Roman" w:hAnsi="Times New Roman" w:cs="Times New Roman"/>
          <w:iCs/>
        </w:rPr>
        <w:t>;</w:t>
      </w:r>
    </w:p>
    <w:p w14:paraId="33C3E232" w14:textId="77777777" w:rsidR="00B307DB" w:rsidRPr="00D84571" w:rsidRDefault="00B307DB" w:rsidP="00B307DB">
      <w:pPr>
        <w:pStyle w:val="PargrafodaLista"/>
        <w:tabs>
          <w:tab w:val="left" w:pos="993"/>
        </w:tabs>
        <w:spacing w:after="0" w:line="240" w:lineRule="auto"/>
        <w:ind w:left="1134" w:right="-568"/>
        <w:contextualSpacing w:val="0"/>
        <w:jc w:val="both"/>
        <w:rPr>
          <w:rFonts w:ascii="Times New Roman" w:hAnsi="Times New Roman" w:cs="Times New Roman"/>
        </w:rPr>
      </w:pPr>
      <w:r w:rsidRPr="00820B2C">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 xml:space="preserve">O instrumento contratual poderá ser substituído nos termos do </w:t>
      </w:r>
      <w:hyperlink r:id="rId169" w:anchor="art95" w:history="1">
        <w:r w:rsidRPr="00D84571">
          <w:rPr>
            <w:rStyle w:val="Hyperlink"/>
            <w:rFonts w:ascii="Times New Roman" w:hAnsi="Times New Roman" w:cs="Times New Roman"/>
          </w:rPr>
          <w:t xml:space="preserve">art. 95,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Federal nº 14.133/2021</w:t>
        </w:r>
      </w:hyperlink>
      <w:r w:rsidRPr="00D84571">
        <w:rPr>
          <w:rFonts w:ascii="Times New Roman" w:hAnsi="Times New Roman" w:cs="Times New Roman"/>
          <w:iCs/>
        </w:rPr>
        <w:t xml:space="preserve">, sempre observando </w:t>
      </w:r>
      <w:r w:rsidRPr="00D84571">
        <w:rPr>
          <w:rFonts w:ascii="Times New Roman" w:hAnsi="Times New Roman" w:cs="Times New Roman"/>
          <w:bCs/>
        </w:rPr>
        <w:t xml:space="preserve">o disposto no </w:t>
      </w:r>
      <w:hyperlink r:id="rId170" w:anchor="art89" w:history="1">
        <w:r w:rsidRPr="00D84571">
          <w:rPr>
            <w:rStyle w:val="Hyperlink"/>
            <w:rFonts w:ascii="Times New Roman" w:hAnsi="Times New Roman" w:cs="Times New Roman"/>
            <w:bCs/>
          </w:rPr>
          <w:t>Título III da Lei Federal nº 14.133/2021</w:t>
        </w:r>
      </w:hyperlink>
      <w:r w:rsidRPr="00D84571">
        <w:rPr>
          <w:rFonts w:ascii="Times New Roman" w:hAnsi="Times New Roman" w:cs="Times New Roman"/>
          <w:bCs/>
        </w:rPr>
        <w:t xml:space="preserve"> (Dos Contratos Administrativos);</w:t>
      </w:r>
    </w:p>
    <w:p w14:paraId="7CC9609E" w14:textId="77777777" w:rsidR="00B307DB" w:rsidRPr="00D84571" w:rsidRDefault="00B307DB" w:rsidP="00B307DB">
      <w:pPr>
        <w:pStyle w:val="PargrafodaLista"/>
        <w:tabs>
          <w:tab w:val="left" w:pos="993"/>
        </w:tabs>
        <w:spacing w:after="0" w:line="240" w:lineRule="auto"/>
        <w:ind w:left="1134" w:right="-568"/>
        <w:contextualSpacing w:val="0"/>
        <w:jc w:val="both"/>
        <w:rPr>
          <w:rFonts w:ascii="Times New Roman" w:hAnsi="Times New Roman" w:cs="Times New Roman"/>
        </w:rPr>
      </w:pPr>
      <w:r w:rsidRPr="00820B2C">
        <w:rPr>
          <w:rFonts w:ascii="Times New Roman" w:hAnsi="Times New Roman" w:cs="Times New Roman"/>
          <w:b/>
          <w:iCs/>
        </w:rPr>
        <w:t>b)</w:t>
      </w:r>
      <w:r>
        <w:rPr>
          <w:rFonts w:ascii="Times New Roman" w:hAnsi="Times New Roman" w:cs="Times New Roman"/>
          <w:iCs/>
        </w:rPr>
        <w:t xml:space="preserve"> </w:t>
      </w:r>
      <w:r w:rsidRPr="00D84571">
        <w:rPr>
          <w:rFonts w:ascii="Times New Roman" w:hAnsi="Times New Roman" w:cs="Times New Roman"/>
          <w:iCs/>
        </w:rPr>
        <w:t>O contrato terá seu preço reajustado pelo índice IPCA-E com data-base vinculada à data do orçamento estimado (</w:t>
      </w:r>
      <w:hyperlink r:id="rId171" w:anchor="art92%C2%A73" w:history="1">
        <w:r w:rsidRPr="00D84571">
          <w:rPr>
            <w:rStyle w:val="Hyperlink"/>
            <w:rFonts w:ascii="Times New Roman" w:hAnsi="Times New Roman" w:cs="Times New Roman"/>
            <w:iCs/>
          </w:rPr>
          <w:t>art. 92, § 3º da Lei nº 14.133/2021</w:t>
        </w:r>
      </w:hyperlink>
      <w:r w:rsidRPr="00D84571">
        <w:rPr>
          <w:rFonts w:ascii="Times New Roman" w:hAnsi="Times New Roman" w:cs="Times New Roman"/>
          <w:iCs/>
        </w:rPr>
        <w:t>);</w:t>
      </w:r>
    </w:p>
    <w:p w14:paraId="548C800A" w14:textId="77777777" w:rsidR="00B307DB" w:rsidRPr="00D84571" w:rsidRDefault="00B307DB" w:rsidP="00B307DB">
      <w:pPr>
        <w:pStyle w:val="PargrafodaLista"/>
        <w:tabs>
          <w:tab w:val="left" w:pos="993"/>
        </w:tabs>
        <w:spacing w:after="0" w:line="240" w:lineRule="auto"/>
        <w:ind w:left="1134" w:right="-568"/>
        <w:contextualSpacing w:val="0"/>
        <w:jc w:val="both"/>
        <w:rPr>
          <w:rFonts w:ascii="Times New Roman" w:hAnsi="Times New Roman" w:cs="Times New Roman"/>
        </w:rPr>
      </w:pPr>
      <w:r w:rsidRPr="00820B2C">
        <w:rPr>
          <w:rFonts w:ascii="Times New Roman" w:hAnsi="Times New Roman" w:cs="Times New Roman"/>
          <w:b/>
          <w:iCs/>
        </w:rPr>
        <w:t>c)</w:t>
      </w:r>
      <w:r>
        <w:rPr>
          <w:rFonts w:ascii="Times New Roman" w:hAnsi="Times New Roman" w:cs="Times New Roman"/>
          <w:iCs/>
        </w:rPr>
        <w:t xml:space="preserve"> </w:t>
      </w:r>
      <w:r w:rsidRPr="00D84571">
        <w:rPr>
          <w:rFonts w:ascii="Times New Roman" w:hAnsi="Times New Roman" w:cs="Times New Roman"/>
          <w:iCs/>
        </w:rPr>
        <w:t>Poderá ser estabelecido mais de um índice específico ou setorial, em conformidade com a realidade de mercado dos respectivos insumos (</w:t>
      </w:r>
      <w:hyperlink r:id="rId172" w:anchor="art92%C2%A73" w:history="1">
        <w:r w:rsidRPr="00D84571">
          <w:rPr>
            <w:rStyle w:val="Hyperlink"/>
            <w:rFonts w:ascii="Times New Roman" w:hAnsi="Times New Roman" w:cs="Times New Roman"/>
            <w:iCs/>
          </w:rPr>
          <w:t>art. 92, § 3º, [parte final] da Lei nº 14.133/2021</w:t>
        </w:r>
      </w:hyperlink>
      <w:r w:rsidRPr="00D84571">
        <w:rPr>
          <w:rFonts w:ascii="Times New Roman" w:hAnsi="Times New Roman" w:cs="Times New Roman"/>
          <w:iCs/>
        </w:rPr>
        <w:t>).</w:t>
      </w:r>
    </w:p>
    <w:p w14:paraId="2D18D62D" w14:textId="77777777" w:rsidR="00B307DB" w:rsidRPr="00D84571" w:rsidRDefault="00B307DB" w:rsidP="00B307DB">
      <w:pPr>
        <w:pStyle w:val="PargrafodaLista"/>
        <w:tabs>
          <w:tab w:val="left" w:pos="426"/>
          <w:tab w:val="left" w:pos="1134"/>
        </w:tabs>
        <w:spacing w:after="0" w:line="240" w:lineRule="auto"/>
        <w:ind w:left="567" w:right="-568"/>
        <w:contextualSpacing w:val="0"/>
        <w:jc w:val="both"/>
        <w:rPr>
          <w:rFonts w:ascii="Times New Roman" w:hAnsi="Times New Roman" w:cs="Times New Roman"/>
        </w:rPr>
      </w:pPr>
      <w:r w:rsidRPr="00820B2C">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O contrato administrativo será publicado no prazo de 20 (vinte) dias úteis, contados da data de sua assinatura (</w:t>
      </w:r>
      <w:hyperlink r:id="rId173" w:anchor="art94i" w:history="1">
        <w:r w:rsidRPr="00D84571">
          <w:rPr>
            <w:rStyle w:val="Hyperlink"/>
            <w:rFonts w:ascii="Times New Roman" w:hAnsi="Times New Roman" w:cs="Times New Roman"/>
          </w:rPr>
          <w:t xml:space="preserve">art. 94, I </w:t>
        </w:r>
        <w:r w:rsidRPr="00D84571">
          <w:rPr>
            <w:rStyle w:val="Hyperlink"/>
            <w:rFonts w:ascii="Times New Roman" w:hAnsi="Times New Roman" w:cs="Times New Roman"/>
            <w:iCs/>
          </w:rPr>
          <w:t>da Lei nº 14.133/2021</w:t>
        </w:r>
      </w:hyperlink>
      <w:r w:rsidRPr="00D84571">
        <w:rPr>
          <w:rFonts w:ascii="Times New Roman" w:hAnsi="Times New Roman" w:cs="Times New Roman"/>
        </w:rPr>
        <w:t>);</w:t>
      </w:r>
    </w:p>
    <w:p w14:paraId="2CDD4E52" w14:textId="77777777" w:rsidR="00B307DB" w:rsidRPr="00D84571" w:rsidRDefault="00B307DB" w:rsidP="00B307DB">
      <w:pPr>
        <w:pStyle w:val="PargrafodaLista"/>
        <w:tabs>
          <w:tab w:val="left" w:pos="1418"/>
        </w:tabs>
        <w:spacing w:after="0" w:line="240" w:lineRule="auto"/>
        <w:ind w:left="0" w:right="-568"/>
        <w:jc w:val="both"/>
        <w:rPr>
          <w:rFonts w:ascii="Times New Roman" w:hAnsi="Times New Roman" w:cs="Times New Roman"/>
          <w:b/>
        </w:rPr>
      </w:pPr>
      <w:r w:rsidRPr="00D84571">
        <w:rPr>
          <w:rFonts w:ascii="Times New Roman" w:hAnsi="Times New Roman" w:cs="Times New Roman"/>
          <w:b/>
          <w:iCs/>
        </w:rPr>
        <w:t>Obrigações do CONTRATADO:</w:t>
      </w:r>
    </w:p>
    <w:p w14:paraId="41126EB0" w14:textId="77777777" w:rsidR="00B307DB" w:rsidRPr="00D84571" w:rsidRDefault="00B307DB" w:rsidP="00B307DB">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a)</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Envidar todo o empenho e a dedicação necessários ao fiel e adequado cumprimento dos encargos que lhe são confiados; </w:t>
      </w:r>
    </w:p>
    <w:p w14:paraId="7B2D3A0A" w14:textId="77777777" w:rsidR="00B307DB" w:rsidRPr="00D84571" w:rsidRDefault="00B307DB" w:rsidP="00B307DB">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b)</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Assinar o instrumento contratual; </w:t>
      </w:r>
    </w:p>
    <w:p w14:paraId="11188540" w14:textId="77777777" w:rsidR="00B307DB" w:rsidRPr="00D84571" w:rsidRDefault="00B307DB" w:rsidP="00B307DB">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c)</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Tomar todas as providências necessárias para o fiel cumprimento das disposições contidas no edital, seus anexos e no Instrumento de Contrato; </w:t>
      </w:r>
    </w:p>
    <w:p w14:paraId="74BCA636" w14:textId="77777777" w:rsidR="00B307DB" w:rsidRPr="00D84571" w:rsidRDefault="00B307DB" w:rsidP="00B307DB">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d)</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Executar os serviços, conforme descrito no edital e seus anexos; </w:t>
      </w:r>
    </w:p>
    <w:p w14:paraId="04416E24" w14:textId="77777777" w:rsidR="00B307DB" w:rsidRPr="00D84571" w:rsidRDefault="00B307DB" w:rsidP="00B307DB">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e)</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5D2B0CC1" w14:textId="77777777" w:rsidR="00B307DB" w:rsidRPr="00D84571" w:rsidRDefault="00B307DB" w:rsidP="00B307DB">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f)</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Não efetuar, sob nenhum pretexto, a transferência de responsabilidade para outros, sejam fabricantes, técnicos ou quaisquer outros; </w:t>
      </w:r>
    </w:p>
    <w:p w14:paraId="5795325C" w14:textId="77777777" w:rsidR="00B307DB" w:rsidRPr="00D84571" w:rsidRDefault="00B307DB" w:rsidP="00B307DB">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g)</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11B9E2FE" w14:textId="77777777" w:rsidR="00B307DB" w:rsidRPr="00D84571" w:rsidRDefault="00B307DB" w:rsidP="00B307DB">
      <w:pPr>
        <w:pStyle w:val="PargrafodaLista"/>
        <w:tabs>
          <w:tab w:val="left" w:pos="709"/>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lastRenderedPageBreak/>
        <w:t>h)</w:t>
      </w:r>
      <w:r>
        <w:rPr>
          <w:rFonts w:ascii="Times New Roman" w:eastAsia="Calibri" w:hAnsi="Times New Roman" w:cs="Times New Roman"/>
          <w:bCs/>
        </w:rPr>
        <w:t xml:space="preserve"> </w:t>
      </w:r>
      <w:r w:rsidRPr="00D84571">
        <w:rPr>
          <w:rFonts w:ascii="Times New Roman" w:eastAsia="Calibri" w:hAnsi="Times New Roman" w:cs="Times New Roman"/>
          <w:bCs/>
        </w:rPr>
        <w:t>Informar ao Órgão Gerenciador ou à CONTRATANTE, conforme o caso, a ocorrência de fatos que possam interferir, direta ou indiretamente, na regularidade do fornecimento;</w:t>
      </w:r>
    </w:p>
    <w:p w14:paraId="2345EF82" w14:textId="77777777" w:rsidR="00B307DB" w:rsidRPr="00D84571" w:rsidRDefault="00B307DB" w:rsidP="00B307DB">
      <w:pPr>
        <w:pStyle w:val="PargrafodaLista"/>
        <w:tabs>
          <w:tab w:val="left" w:pos="709"/>
          <w:tab w:val="left" w:pos="1418"/>
        </w:tabs>
        <w:spacing w:after="0" w:line="240" w:lineRule="auto"/>
        <w:ind w:left="1134" w:right="-568"/>
        <w:jc w:val="both"/>
        <w:rPr>
          <w:rFonts w:ascii="Times New Roman" w:hAnsi="Times New Roman" w:cs="Times New Roman"/>
        </w:rPr>
      </w:pPr>
      <w:r w:rsidRPr="00F455A5">
        <w:rPr>
          <w:rFonts w:ascii="Times New Roman" w:eastAsia="Calibri" w:hAnsi="Times New Roman" w:cs="Times New Roman"/>
          <w:b/>
          <w:bCs/>
        </w:rPr>
        <w:t>i)</w:t>
      </w:r>
      <w:r>
        <w:rPr>
          <w:rFonts w:ascii="Times New Roman" w:eastAsia="Calibri" w:hAnsi="Times New Roman" w:cs="Times New Roman"/>
          <w:bCs/>
        </w:rPr>
        <w:t xml:space="preserve"> </w:t>
      </w:r>
      <w:r w:rsidRPr="00D84571">
        <w:rPr>
          <w:rFonts w:ascii="Times New Roman" w:eastAsia="Calibri"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4D0221C5" w14:textId="77777777" w:rsidR="00B307DB" w:rsidRPr="00D84571" w:rsidRDefault="00B307DB" w:rsidP="00B307DB">
      <w:pPr>
        <w:pStyle w:val="PargrafodaLista"/>
        <w:spacing w:after="0" w:line="240" w:lineRule="auto"/>
        <w:ind w:left="1134" w:right="-568"/>
        <w:rPr>
          <w:rFonts w:ascii="Times New Roman" w:hAnsi="Times New Roman" w:cs="Times New Roman"/>
        </w:rPr>
      </w:pPr>
      <w:r w:rsidRPr="00F455A5">
        <w:rPr>
          <w:rFonts w:ascii="Times New Roman" w:hAnsi="Times New Roman" w:cs="Times New Roman"/>
          <w:b/>
        </w:rPr>
        <w:t>j)</w:t>
      </w:r>
      <w:r>
        <w:rPr>
          <w:rFonts w:ascii="Times New Roman" w:hAnsi="Times New Roman" w:cs="Times New Roman"/>
        </w:rPr>
        <w:t xml:space="preserve"> </w:t>
      </w:r>
      <w:r w:rsidRPr="00D84571">
        <w:rPr>
          <w:rFonts w:ascii="Times New Roman" w:hAnsi="Times New Roman" w:cs="Times New Roman"/>
        </w:rPr>
        <w:t xml:space="preserve">Responder em relação a terceiros, pelos danos que seus empregados possam vir causar em decorrência de negligencia, imprudência e imperícia, na forma da Lei; </w:t>
      </w:r>
    </w:p>
    <w:p w14:paraId="65D670B6" w14:textId="77777777" w:rsidR="00B307DB" w:rsidRPr="00D84571" w:rsidRDefault="00B307DB" w:rsidP="00B307DB">
      <w:pPr>
        <w:pStyle w:val="PargrafodaLista"/>
        <w:tabs>
          <w:tab w:val="left" w:pos="1418"/>
        </w:tabs>
        <w:spacing w:after="0" w:line="240" w:lineRule="auto"/>
        <w:ind w:left="0" w:right="-568"/>
        <w:contextualSpacing w:val="0"/>
        <w:jc w:val="both"/>
        <w:rPr>
          <w:rFonts w:ascii="Times New Roman" w:hAnsi="Times New Roman" w:cs="Times New Roman"/>
          <w:b/>
        </w:rPr>
      </w:pPr>
      <w:r w:rsidRPr="00D84571">
        <w:rPr>
          <w:rFonts w:ascii="Times New Roman" w:hAnsi="Times New Roman" w:cs="Times New Roman"/>
          <w:b/>
          <w:iCs/>
        </w:rPr>
        <w:t>Obrigações do CONTRATANTE:</w:t>
      </w:r>
    </w:p>
    <w:p w14:paraId="6EAED067" w14:textId="77777777" w:rsidR="00B307DB" w:rsidRPr="00D84571" w:rsidRDefault="00B307DB" w:rsidP="00B307DB">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a)</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437DFAE6" w14:textId="77777777" w:rsidR="00B307DB" w:rsidRPr="00D84571" w:rsidRDefault="00B307DB" w:rsidP="00B307DB">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b)</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Efetuar o pagamento à CONTRATADA, de acordo com o estabelecido no instrumento contratual; </w:t>
      </w:r>
    </w:p>
    <w:p w14:paraId="530F3095" w14:textId="77777777" w:rsidR="00B307DB" w:rsidRPr="00D84571" w:rsidRDefault="00B307DB" w:rsidP="00B307DB">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c)</w:t>
      </w:r>
      <w:r>
        <w:rPr>
          <w:rFonts w:ascii="Times New Roman" w:eastAsia="Calibri" w:hAnsi="Times New Roman" w:cs="Times New Roman"/>
          <w:bCs/>
        </w:rPr>
        <w:t xml:space="preserve"> </w:t>
      </w:r>
      <w:r w:rsidRPr="00D84571">
        <w:rPr>
          <w:rFonts w:ascii="Times New Roman" w:eastAsia="Calibri" w:hAnsi="Times New Roman" w:cs="Times New Roman"/>
          <w:bCs/>
        </w:rPr>
        <w:t xml:space="preserve">Promover o acompanhamento e a fiscalização da execução dos serviços anotando em registro próprio as falhas detectadas; </w:t>
      </w:r>
    </w:p>
    <w:p w14:paraId="08C7949B" w14:textId="77777777" w:rsidR="00B307DB" w:rsidRPr="00D84571" w:rsidRDefault="00B307DB" w:rsidP="00B307DB">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d)</w:t>
      </w:r>
      <w:r>
        <w:rPr>
          <w:rFonts w:ascii="Times New Roman" w:eastAsia="Calibri" w:hAnsi="Times New Roman" w:cs="Times New Roman"/>
          <w:bCs/>
        </w:rPr>
        <w:t xml:space="preserve"> </w:t>
      </w:r>
      <w:r w:rsidRPr="00D84571">
        <w:rPr>
          <w:rFonts w:ascii="Times New Roman" w:eastAsia="Calibri" w:hAnsi="Times New Roman" w:cs="Times New Roman"/>
          <w:bCs/>
        </w:rPr>
        <w:t>Comunicar prontamente à CONTRATADA qualquer anormalidade no objeto do instrumento contratual, podendo recusar o recebimento, caso não esteja de acordo com as especificações e condições estabelecidas no Termo de Referência</w:t>
      </w:r>
      <w:r>
        <w:rPr>
          <w:rFonts w:ascii="Times New Roman" w:eastAsia="Calibri" w:hAnsi="Times New Roman" w:cs="Times New Roman"/>
          <w:bCs/>
        </w:rPr>
        <w:t xml:space="preserve"> e Estudo Técnico Preliminar</w:t>
      </w:r>
      <w:r w:rsidRPr="00D84571">
        <w:rPr>
          <w:rFonts w:ascii="Times New Roman" w:eastAsia="Calibri" w:hAnsi="Times New Roman" w:cs="Times New Roman"/>
          <w:bCs/>
        </w:rPr>
        <w:t xml:space="preserve">; </w:t>
      </w:r>
    </w:p>
    <w:p w14:paraId="6B9CB4EE" w14:textId="77777777" w:rsidR="00B307DB" w:rsidRPr="00D84571" w:rsidRDefault="00B307DB" w:rsidP="00B307DB">
      <w:pPr>
        <w:pStyle w:val="PargrafodaLista"/>
        <w:tabs>
          <w:tab w:val="left" w:pos="851"/>
        </w:tabs>
        <w:spacing w:after="0" w:line="240" w:lineRule="auto"/>
        <w:ind w:left="1134" w:right="-568"/>
        <w:jc w:val="both"/>
        <w:rPr>
          <w:rFonts w:ascii="Times New Roman" w:hAnsi="Times New Roman" w:cs="Times New Roman"/>
        </w:rPr>
      </w:pPr>
      <w:r w:rsidRPr="00EC6834">
        <w:rPr>
          <w:rFonts w:ascii="Times New Roman" w:eastAsia="Calibri" w:hAnsi="Times New Roman" w:cs="Times New Roman"/>
          <w:b/>
          <w:bCs/>
        </w:rPr>
        <w:t>e)</w:t>
      </w:r>
      <w:r>
        <w:rPr>
          <w:rFonts w:ascii="Times New Roman" w:eastAsia="Calibri" w:hAnsi="Times New Roman" w:cs="Times New Roman"/>
          <w:bCs/>
        </w:rPr>
        <w:t xml:space="preserve"> </w:t>
      </w:r>
      <w:r w:rsidRPr="00D84571">
        <w:rPr>
          <w:rFonts w:ascii="Times New Roman" w:eastAsia="Calibri" w:hAnsi="Times New Roman" w:cs="Times New Roman"/>
          <w:bCs/>
        </w:rPr>
        <w:t>Notificar previamente à CONTRATADA</w:t>
      </w:r>
      <w:r w:rsidRPr="00D84571">
        <w:rPr>
          <w:rFonts w:ascii="Times New Roman" w:eastAsia="Calibri" w:hAnsi="Times New Roman" w:cs="Times New Roman"/>
          <w:b/>
          <w:bCs/>
        </w:rPr>
        <w:t xml:space="preserve">, </w:t>
      </w:r>
      <w:r w:rsidRPr="00D84571">
        <w:rPr>
          <w:rFonts w:ascii="Times New Roman" w:eastAsia="Calibri" w:hAnsi="Times New Roman" w:cs="Times New Roman"/>
          <w:bCs/>
        </w:rPr>
        <w:t xml:space="preserve">quando da aplicação de sanções administrativas; </w:t>
      </w:r>
    </w:p>
    <w:p w14:paraId="75D5F842" w14:textId="77777777" w:rsidR="00B307DB" w:rsidRPr="00D84571" w:rsidRDefault="00B307DB" w:rsidP="00B307DB">
      <w:pPr>
        <w:pStyle w:val="PargrafodaLista"/>
        <w:tabs>
          <w:tab w:val="left" w:pos="1134"/>
        </w:tabs>
        <w:spacing w:after="0" w:line="240" w:lineRule="auto"/>
        <w:ind w:left="567" w:right="-568"/>
        <w:contextualSpacing w:val="0"/>
        <w:jc w:val="both"/>
        <w:rPr>
          <w:rFonts w:ascii="Times New Roman" w:hAnsi="Times New Roman" w:cs="Times New Roman"/>
        </w:rPr>
      </w:pPr>
      <w:r w:rsidRPr="00EC6834">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4" w:anchor="art136" w:history="1">
        <w:r w:rsidRPr="00D84571">
          <w:rPr>
            <w:rStyle w:val="Hyperlink"/>
            <w:rFonts w:ascii="Times New Roman" w:hAnsi="Times New Roman" w:cs="Times New Roman"/>
          </w:rPr>
          <w:t xml:space="preserve">art. 136,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2CA1E819" w14:textId="77777777" w:rsidR="00B307DB" w:rsidRPr="00D84571" w:rsidRDefault="00B307DB" w:rsidP="00B307DB">
      <w:pPr>
        <w:pStyle w:val="PargrafodaLista"/>
        <w:tabs>
          <w:tab w:val="left" w:pos="709"/>
        </w:tabs>
        <w:spacing w:after="0" w:line="240" w:lineRule="auto"/>
        <w:ind w:left="1134" w:right="-568"/>
        <w:contextualSpacing w:val="0"/>
        <w:jc w:val="both"/>
        <w:rPr>
          <w:rFonts w:ascii="Times New Roman" w:hAnsi="Times New Roman" w:cs="Times New Roman"/>
        </w:rPr>
      </w:pPr>
      <w:r w:rsidRPr="00EC6834">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Não cumprimento ou cumprimento irregular de normas editalícias ou de cláusulas contratuais, de especificações, de projetos ou de prazos;</w:t>
      </w:r>
    </w:p>
    <w:p w14:paraId="5A51E51E" w14:textId="77777777" w:rsidR="00B307DB" w:rsidRPr="00D84571" w:rsidRDefault="00B307DB" w:rsidP="00B307DB">
      <w:pPr>
        <w:pStyle w:val="PargrafodaLista"/>
        <w:tabs>
          <w:tab w:val="left" w:pos="709"/>
        </w:tabs>
        <w:spacing w:after="0" w:line="240" w:lineRule="auto"/>
        <w:ind w:left="1134" w:right="-568"/>
        <w:contextualSpacing w:val="0"/>
        <w:jc w:val="both"/>
        <w:rPr>
          <w:rFonts w:ascii="Times New Roman" w:hAnsi="Times New Roman" w:cs="Times New Roman"/>
        </w:rPr>
      </w:pPr>
      <w:r w:rsidRPr="00EC6834">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Desatendimento das determinações regulares emitidas pela autoridade designada para acompanhar e fiscalizar sua execução ou por autoridade superior;</w:t>
      </w:r>
    </w:p>
    <w:p w14:paraId="12CF882B" w14:textId="77777777" w:rsidR="00B307DB" w:rsidRPr="00D84571" w:rsidRDefault="00B307DB" w:rsidP="00B307DB">
      <w:pPr>
        <w:pStyle w:val="PargrafodaLista"/>
        <w:tabs>
          <w:tab w:val="left" w:pos="1134"/>
          <w:tab w:val="left" w:pos="2835"/>
        </w:tabs>
        <w:spacing w:after="0" w:line="240" w:lineRule="auto"/>
        <w:ind w:left="1276" w:right="-568"/>
        <w:contextualSpacing w:val="0"/>
        <w:jc w:val="both"/>
        <w:rPr>
          <w:rFonts w:ascii="Times New Roman" w:hAnsi="Times New Roman" w:cs="Times New Roman"/>
        </w:rPr>
      </w:pPr>
      <w:r w:rsidRPr="00EC6834">
        <w:rPr>
          <w:rFonts w:ascii="Times New Roman" w:hAnsi="Times New Roman" w:cs="Times New Roman"/>
          <w:b/>
        </w:rPr>
        <w:t>i)</w:t>
      </w:r>
      <w:r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EA78C0C" w14:textId="77777777" w:rsidR="00B307DB" w:rsidRPr="00D84571" w:rsidRDefault="00B307DB" w:rsidP="00B307DB">
      <w:pPr>
        <w:pStyle w:val="PargrafodaLista"/>
        <w:tabs>
          <w:tab w:val="left" w:pos="1134"/>
          <w:tab w:val="left" w:pos="2835"/>
        </w:tabs>
        <w:spacing w:after="0" w:line="240" w:lineRule="auto"/>
        <w:ind w:left="1276" w:right="-568"/>
        <w:contextualSpacing w:val="0"/>
        <w:jc w:val="both"/>
        <w:rPr>
          <w:rFonts w:ascii="Times New Roman" w:hAnsi="Times New Roman" w:cs="Times New Roman"/>
        </w:rPr>
      </w:pPr>
      <w:r w:rsidRPr="00EC6834">
        <w:rPr>
          <w:rFonts w:ascii="Times New Roman" w:hAnsi="Times New Roman" w:cs="Times New Roman"/>
          <w:b/>
        </w:rPr>
        <w:t>ii)</w:t>
      </w:r>
      <w:r w:rsidRPr="00D84571">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5" w:anchor="art124iid" w:history="1">
        <w:r w:rsidRPr="00D84571">
          <w:rPr>
            <w:rStyle w:val="Hyperlink"/>
            <w:rFonts w:ascii="Times New Roman" w:hAnsi="Times New Roman" w:cs="Times New Roman"/>
          </w:rPr>
          <w:t xml:space="preserve">alínea “d” do inciso II do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do art. 124 da Lei nº 14.133/2021</w:t>
        </w:r>
      </w:hyperlink>
      <w:r w:rsidRPr="00D84571">
        <w:rPr>
          <w:rFonts w:ascii="Times New Roman" w:hAnsi="Times New Roman" w:cs="Times New Roman"/>
        </w:rPr>
        <w:t>.</w:t>
      </w:r>
    </w:p>
    <w:p w14:paraId="3CB48B91"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EC6834">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Alteração social ou modificação da finalidade ou da estrutura da empresa que restrinja sua capacidade de concluir o contrato;</w:t>
      </w:r>
    </w:p>
    <w:p w14:paraId="755B0008" w14:textId="77777777" w:rsidR="00B307DB" w:rsidRPr="00D7679F" w:rsidRDefault="00B307DB" w:rsidP="00B307DB">
      <w:pPr>
        <w:tabs>
          <w:tab w:val="left" w:pos="1134"/>
        </w:tabs>
        <w:spacing w:after="0" w:line="240" w:lineRule="auto"/>
        <w:ind w:left="1276" w:right="-568"/>
        <w:jc w:val="both"/>
        <w:rPr>
          <w:rFonts w:ascii="Times New Roman" w:hAnsi="Times New Roman" w:cs="Times New Roman"/>
        </w:rPr>
      </w:pPr>
      <w:r w:rsidRPr="00D7679F">
        <w:rPr>
          <w:rFonts w:ascii="Times New Roman" w:hAnsi="Times New Roman" w:cs="Times New Roman"/>
          <w:b/>
        </w:rPr>
        <w:t>i)</w:t>
      </w:r>
      <w:r w:rsidRPr="00D7679F">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F1D2240" w14:textId="77777777" w:rsidR="00B307DB" w:rsidRPr="000529D4" w:rsidRDefault="00B307DB" w:rsidP="00B307DB">
      <w:pPr>
        <w:tabs>
          <w:tab w:val="left" w:pos="1134"/>
        </w:tabs>
        <w:spacing w:after="0" w:line="240" w:lineRule="auto"/>
        <w:ind w:left="1276" w:right="-568"/>
        <w:jc w:val="both"/>
        <w:rPr>
          <w:rFonts w:ascii="Times New Roman" w:hAnsi="Times New Roman" w:cs="Times New Roman"/>
        </w:rPr>
      </w:pPr>
      <w:r w:rsidRPr="000529D4">
        <w:rPr>
          <w:rFonts w:ascii="Times New Roman" w:hAnsi="Times New Roman" w:cs="Times New Roman"/>
          <w:b/>
        </w:rPr>
        <w:t>ii)</w:t>
      </w:r>
      <w:r w:rsidRPr="000529D4">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6" w:anchor="art124iid" w:history="1">
        <w:r w:rsidRPr="000529D4">
          <w:rPr>
            <w:rStyle w:val="Hyperlink"/>
            <w:rFonts w:ascii="Times New Roman" w:hAnsi="Times New Roman" w:cs="Times New Roman"/>
          </w:rPr>
          <w:t xml:space="preserve">alínea “d” do inciso II do </w:t>
        </w:r>
        <w:r w:rsidRPr="000529D4">
          <w:rPr>
            <w:rStyle w:val="Hyperlink"/>
            <w:rFonts w:ascii="Times New Roman" w:hAnsi="Times New Roman" w:cs="Times New Roman"/>
            <w:i/>
          </w:rPr>
          <w:t>caput</w:t>
        </w:r>
        <w:r w:rsidRPr="000529D4">
          <w:rPr>
            <w:rStyle w:val="Hyperlink"/>
            <w:rFonts w:ascii="Times New Roman" w:hAnsi="Times New Roman" w:cs="Times New Roman"/>
          </w:rPr>
          <w:t xml:space="preserve"> do art. 124 da Lei nº 14.133/2021</w:t>
        </w:r>
      </w:hyperlink>
      <w:r w:rsidRPr="000529D4">
        <w:rPr>
          <w:rFonts w:ascii="Times New Roman" w:hAnsi="Times New Roman" w:cs="Times New Roman"/>
        </w:rPr>
        <w:t>.</w:t>
      </w:r>
    </w:p>
    <w:p w14:paraId="5BB7C817" w14:textId="77777777" w:rsidR="00B307DB" w:rsidRPr="00D84571" w:rsidRDefault="00B307DB" w:rsidP="00B307DB">
      <w:pPr>
        <w:pStyle w:val="PargrafodaLista"/>
        <w:tabs>
          <w:tab w:val="left" w:pos="709"/>
        </w:tabs>
        <w:spacing w:after="0" w:line="240" w:lineRule="auto"/>
        <w:ind w:left="1134" w:right="-568"/>
        <w:contextualSpacing w:val="0"/>
        <w:jc w:val="both"/>
        <w:rPr>
          <w:rFonts w:ascii="Times New Roman" w:hAnsi="Times New Roman" w:cs="Times New Roman"/>
        </w:rPr>
      </w:pPr>
      <w:r w:rsidRPr="00EC6834">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Decretação de falência ou de insolvência civil, dissolução da sociedade ou falecimento do CONTRATADO;</w:t>
      </w:r>
    </w:p>
    <w:p w14:paraId="34840834" w14:textId="77777777" w:rsidR="00B307DB" w:rsidRPr="00D84571" w:rsidRDefault="00B307DB" w:rsidP="00B307DB">
      <w:pPr>
        <w:pStyle w:val="PargrafodaLista"/>
        <w:spacing w:after="0" w:line="240" w:lineRule="auto"/>
        <w:ind w:left="1276" w:right="-568"/>
        <w:contextualSpacing w:val="0"/>
        <w:jc w:val="both"/>
        <w:rPr>
          <w:rFonts w:ascii="Times New Roman" w:hAnsi="Times New Roman" w:cs="Times New Roman"/>
        </w:rPr>
      </w:pPr>
      <w:r w:rsidRPr="00EC6834">
        <w:rPr>
          <w:rFonts w:ascii="Times New Roman" w:hAnsi="Times New Roman" w:cs="Times New Roman"/>
          <w:b/>
        </w:rPr>
        <w:t>i)</w:t>
      </w:r>
      <w:r>
        <w:rPr>
          <w:rFonts w:ascii="Times New Roman" w:hAnsi="Times New Roman" w:cs="Times New Roman"/>
        </w:rPr>
        <w:t xml:space="preserve"> </w:t>
      </w:r>
      <w:r w:rsidRPr="00D84571">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483B714E" w14:textId="77777777" w:rsidR="00B307DB" w:rsidRPr="00EC6834" w:rsidRDefault="00B307DB" w:rsidP="00B307DB">
      <w:pPr>
        <w:pStyle w:val="PargrafodaLista"/>
        <w:tabs>
          <w:tab w:val="left" w:pos="1134"/>
        </w:tabs>
        <w:spacing w:after="0" w:line="240" w:lineRule="auto"/>
        <w:ind w:left="1276" w:right="-568"/>
        <w:jc w:val="both"/>
        <w:rPr>
          <w:rFonts w:ascii="Times New Roman" w:hAnsi="Times New Roman" w:cs="Times New Roman"/>
        </w:rPr>
      </w:pPr>
      <w:r w:rsidRPr="00EC6834">
        <w:rPr>
          <w:rFonts w:ascii="Times New Roman" w:hAnsi="Times New Roman" w:cs="Times New Roman"/>
          <w:b/>
        </w:rPr>
        <w:t>ii)</w:t>
      </w:r>
      <w:r w:rsidRPr="00EC6834">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7" w:anchor="art124iid" w:history="1">
        <w:r w:rsidRPr="00EC6834">
          <w:rPr>
            <w:rStyle w:val="Hyperlink"/>
            <w:rFonts w:ascii="Times New Roman" w:hAnsi="Times New Roman" w:cs="Times New Roman"/>
          </w:rPr>
          <w:t xml:space="preserve">alínea “d” do inciso II do </w:t>
        </w:r>
        <w:r w:rsidRPr="00EC6834">
          <w:rPr>
            <w:rStyle w:val="Hyperlink"/>
            <w:rFonts w:ascii="Times New Roman" w:hAnsi="Times New Roman" w:cs="Times New Roman"/>
            <w:i/>
          </w:rPr>
          <w:t>caput</w:t>
        </w:r>
        <w:r w:rsidRPr="00EC6834">
          <w:rPr>
            <w:rStyle w:val="Hyperlink"/>
            <w:rFonts w:ascii="Times New Roman" w:hAnsi="Times New Roman" w:cs="Times New Roman"/>
          </w:rPr>
          <w:t xml:space="preserve"> do art. 124 da Lei nº 14.133/2021</w:t>
        </w:r>
      </w:hyperlink>
      <w:r w:rsidRPr="00EC6834">
        <w:rPr>
          <w:rFonts w:ascii="Times New Roman" w:hAnsi="Times New Roman" w:cs="Times New Roman"/>
        </w:rPr>
        <w:t>.</w:t>
      </w:r>
    </w:p>
    <w:p w14:paraId="2B76A2F1" w14:textId="77777777" w:rsidR="00B307DB" w:rsidRPr="00D84571" w:rsidRDefault="00B307DB" w:rsidP="00B307DB">
      <w:pPr>
        <w:pStyle w:val="PargrafodaLista"/>
        <w:tabs>
          <w:tab w:val="left" w:pos="709"/>
        </w:tabs>
        <w:spacing w:after="0" w:line="240" w:lineRule="auto"/>
        <w:ind w:left="1134" w:right="-568"/>
        <w:contextualSpacing w:val="0"/>
        <w:jc w:val="both"/>
        <w:rPr>
          <w:rFonts w:ascii="Times New Roman" w:hAnsi="Times New Roman" w:cs="Times New Roman"/>
        </w:rPr>
      </w:pPr>
      <w:r w:rsidRPr="00BC0A8F">
        <w:rPr>
          <w:rFonts w:ascii="Times New Roman" w:hAnsi="Times New Roman" w:cs="Times New Roman"/>
          <w:b/>
        </w:rPr>
        <w:lastRenderedPageBreak/>
        <w:t>e)</w:t>
      </w:r>
      <w:r>
        <w:rPr>
          <w:rFonts w:ascii="Times New Roman" w:hAnsi="Times New Roman" w:cs="Times New Roman"/>
        </w:rPr>
        <w:t xml:space="preserve"> </w:t>
      </w:r>
      <w:r w:rsidRPr="00D84571">
        <w:rPr>
          <w:rFonts w:ascii="Times New Roman" w:hAnsi="Times New Roman" w:cs="Times New Roman"/>
        </w:rPr>
        <w:t>Caso fortuito ou força maior, regularmente comprovados, impeditivos da execução do contrato;</w:t>
      </w:r>
    </w:p>
    <w:p w14:paraId="0155B6B8" w14:textId="77777777" w:rsidR="00B307DB" w:rsidRPr="00BC0A8F" w:rsidRDefault="00B307DB" w:rsidP="00B307DB">
      <w:pPr>
        <w:tabs>
          <w:tab w:val="left" w:pos="709"/>
        </w:tabs>
        <w:spacing w:after="0" w:line="240" w:lineRule="auto"/>
        <w:ind w:left="1134" w:right="-568"/>
        <w:jc w:val="both"/>
        <w:rPr>
          <w:rFonts w:ascii="Times New Roman" w:hAnsi="Times New Roman" w:cs="Times New Roman"/>
        </w:rPr>
      </w:pPr>
      <w:r w:rsidRPr="00BC0A8F">
        <w:rPr>
          <w:rFonts w:ascii="Times New Roman" w:hAnsi="Times New Roman" w:cs="Times New Roman"/>
          <w:b/>
        </w:rPr>
        <w:t>f)</w:t>
      </w:r>
      <w:r>
        <w:rPr>
          <w:rFonts w:ascii="Times New Roman" w:hAnsi="Times New Roman" w:cs="Times New Roman"/>
        </w:rPr>
        <w:t xml:space="preserve"> </w:t>
      </w:r>
      <w:r w:rsidRPr="00BC0A8F">
        <w:rPr>
          <w:rFonts w:ascii="Times New Roman" w:hAnsi="Times New Roman" w:cs="Times New Roman"/>
        </w:rPr>
        <w:t>Atraso na obtenção da licença ambiental, ou impossibilidade de obtê-la, ou alteração substancial do anteprojeto que dela resultar, ainda que obtida no prazo previsto;</w:t>
      </w:r>
    </w:p>
    <w:p w14:paraId="504F690A" w14:textId="77777777" w:rsidR="00B307DB" w:rsidRPr="00BC0A8F" w:rsidRDefault="00B307DB" w:rsidP="00B307DB">
      <w:pPr>
        <w:tabs>
          <w:tab w:val="left" w:pos="709"/>
        </w:tabs>
        <w:spacing w:after="0" w:line="240" w:lineRule="auto"/>
        <w:ind w:left="1134" w:right="-568"/>
        <w:jc w:val="both"/>
        <w:rPr>
          <w:rFonts w:ascii="Times New Roman" w:hAnsi="Times New Roman" w:cs="Times New Roman"/>
        </w:rPr>
      </w:pPr>
      <w:r w:rsidRPr="00BC0A8F">
        <w:rPr>
          <w:rFonts w:ascii="Times New Roman" w:hAnsi="Times New Roman" w:cs="Times New Roman"/>
          <w:b/>
        </w:rPr>
        <w:t>g)</w:t>
      </w:r>
      <w:r>
        <w:rPr>
          <w:rFonts w:ascii="Times New Roman" w:hAnsi="Times New Roman" w:cs="Times New Roman"/>
        </w:rPr>
        <w:t xml:space="preserve"> </w:t>
      </w:r>
      <w:r w:rsidRPr="00BC0A8F">
        <w:rPr>
          <w:rFonts w:ascii="Times New Roman" w:hAnsi="Times New Roman" w:cs="Times New Roman"/>
        </w:rPr>
        <w:t>Atraso na liberação das áreas sujeitas a desapropriação, a desocupação ou a servidão administrativa, ou impossibilidade de liberação dessas áreas;</w:t>
      </w:r>
    </w:p>
    <w:p w14:paraId="117D8751" w14:textId="77777777" w:rsidR="00B307DB" w:rsidRPr="00BC0A8F" w:rsidRDefault="00B307DB" w:rsidP="00B307DB">
      <w:pPr>
        <w:tabs>
          <w:tab w:val="left" w:pos="709"/>
        </w:tabs>
        <w:spacing w:after="0" w:line="240" w:lineRule="auto"/>
        <w:ind w:left="1134" w:right="-568"/>
        <w:jc w:val="both"/>
        <w:rPr>
          <w:rFonts w:ascii="Times New Roman" w:hAnsi="Times New Roman" w:cs="Times New Roman"/>
        </w:rPr>
      </w:pPr>
      <w:r w:rsidRPr="00BC0A8F">
        <w:rPr>
          <w:rFonts w:ascii="Times New Roman" w:hAnsi="Times New Roman" w:cs="Times New Roman"/>
          <w:b/>
        </w:rPr>
        <w:t>h)</w:t>
      </w:r>
      <w:r>
        <w:rPr>
          <w:rFonts w:ascii="Times New Roman" w:hAnsi="Times New Roman" w:cs="Times New Roman"/>
        </w:rPr>
        <w:t xml:space="preserve"> </w:t>
      </w:r>
      <w:r w:rsidRPr="00BC0A8F">
        <w:rPr>
          <w:rFonts w:ascii="Times New Roman" w:hAnsi="Times New Roman" w:cs="Times New Roman"/>
        </w:rPr>
        <w:t>Razões de interesse público, justificadas pela autoridade máxima do órgão;</w:t>
      </w:r>
    </w:p>
    <w:p w14:paraId="17BCF5D6" w14:textId="77777777" w:rsidR="00B307DB" w:rsidRPr="00BC0A8F" w:rsidRDefault="00B307DB" w:rsidP="00B307DB">
      <w:pPr>
        <w:tabs>
          <w:tab w:val="left" w:pos="709"/>
        </w:tabs>
        <w:spacing w:after="0" w:line="240" w:lineRule="auto"/>
        <w:ind w:left="1134" w:right="-568"/>
        <w:jc w:val="both"/>
        <w:rPr>
          <w:rFonts w:ascii="Times New Roman" w:hAnsi="Times New Roman" w:cs="Times New Roman"/>
        </w:rPr>
      </w:pPr>
      <w:r w:rsidRPr="00BC0A8F">
        <w:rPr>
          <w:rFonts w:ascii="Times New Roman" w:hAnsi="Times New Roman" w:cs="Times New Roman"/>
          <w:b/>
        </w:rPr>
        <w:t>i)</w:t>
      </w:r>
      <w:r>
        <w:rPr>
          <w:rFonts w:ascii="Times New Roman" w:hAnsi="Times New Roman" w:cs="Times New Roman"/>
        </w:rPr>
        <w:t xml:space="preserve"> </w:t>
      </w:r>
      <w:r w:rsidRPr="00BC0A8F">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472FCA30" w14:textId="77777777" w:rsidR="00B307DB" w:rsidRPr="00D84571" w:rsidRDefault="00B307DB" w:rsidP="00B307DB">
      <w:pPr>
        <w:pStyle w:val="PargrafodaLista"/>
        <w:tabs>
          <w:tab w:val="left" w:pos="709"/>
        </w:tabs>
        <w:spacing w:after="0" w:line="240" w:lineRule="auto"/>
        <w:ind w:left="567" w:right="-568"/>
        <w:contextualSpacing w:val="0"/>
        <w:jc w:val="both"/>
        <w:rPr>
          <w:rFonts w:ascii="Times New Roman" w:hAnsi="Times New Roman" w:cs="Times New Roman"/>
        </w:rPr>
      </w:pPr>
      <w:r w:rsidRPr="00C04B50">
        <w:rPr>
          <w:rFonts w:ascii="Times New Roman" w:hAnsi="Times New Roman" w:cs="Times New Roman"/>
          <w:b/>
        </w:rPr>
        <w:t>VII -</w:t>
      </w:r>
      <w:r>
        <w:rPr>
          <w:rFonts w:ascii="Times New Roman" w:hAnsi="Times New Roman" w:cs="Times New Roman"/>
        </w:rPr>
        <w:t xml:space="preserve"> </w:t>
      </w:r>
      <w:r w:rsidRPr="00D84571">
        <w:rPr>
          <w:rFonts w:ascii="Times New Roman" w:hAnsi="Times New Roman" w:cs="Times New Roman"/>
        </w:rPr>
        <w:t>O CONTRATADO terá direito à extinção do contrato nas seguintes hipóteses (</w:t>
      </w:r>
      <w:hyperlink r:id="rId178" w:anchor="art136%C2%A72" w:history="1">
        <w:r w:rsidRPr="00D84571">
          <w:rPr>
            <w:rStyle w:val="Hyperlink"/>
            <w:rFonts w:ascii="Times New Roman" w:hAnsi="Times New Roman" w:cs="Times New Roman"/>
          </w:rPr>
          <w:t>art. 136, § 2º da Lei nº 14.133/2021</w:t>
        </w:r>
      </w:hyperlink>
      <w:r w:rsidRPr="00D84571">
        <w:rPr>
          <w:rFonts w:ascii="Times New Roman" w:hAnsi="Times New Roman" w:cs="Times New Roman"/>
        </w:rPr>
        <w:t>):</w:t>
      </w:r>
    </w:p>
    <w:p w14:paraId="0F6C7D2A"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79" w:anchor="art125" w:history="1">
        <w:r w:rsidRPr="00D84571">
          <w:rPr>
            <w:rStyle w:val="Hyperlink"/>
            <w:rFonts w:ascii="Times New Roman" w:hAnsi="Times New Roman" w:cs="Times New Roman"/>
          </w:rPr>
          <w:t>art. 125 da Lei nº 14.133/2021</w:t>
        </w:r>
      </w:hyperlink>
      <w:r w:rsidRPr="00D84571">
        <w:rPr>
          <w:rFonts w:ascii="Times New Roman" w:hAnsi="Times New Roman" w:cs="Times New Roman"/>
        </w:rPr>
        <w:t>;</w:t>
      </w:r>
    </w:p>
    <w:p w14:paraId="500A730C"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Suspensão de execução do contrato, por ordem escrita da Administração, por prazo superior a 3 (três) meses;</w:t>
      </w:r>
    </w:p>
    <w:p w14:paraId="3BEC7571"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796240F8"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496370E4"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06EEABFB" w14:textId="77777777" w:rsidR="00B307DB" w:rsidRPr="00D84571" w:rsidRDefault="00B307DB" w:rsidP="00B307DB">
      <w:pPr>
        <w:pStyle w:val="PargrafodaLista"/>
        <w:tabs>
          <w:tab w:val="left" w:pos="851"/>
        </w:tabs>
        <w:spacing w:after="0" w:line="240" w:lineRule="auto"/>
        <w:ind w:left="567" w:right="-568"/>
        <w:contextualSpacing w:val="0"/>
        <w:jc w:val="both"/>
        <w:rPr>
          <w:rFonts w:ascii="Times New Roman" w:hAnsi="Times New Roman" w:cs="Times New Roman"/>
        </w:rPr>
      </w:pPr>
      <w:r w:rsidRPr="00C04B50">
        <w:rPr>
          <w:rFonts w:ascii="Times New Roman" w:hAnsi="Times New Roman" w:cs="Times New Roman"/>
          <w:b/>
        </w:rPr>
        <w:t>VIII -</w:t>
      </w:r>
      <w:r>
        <w:rPr>
          <w:rFonts w:ascii="Times New Roman" w:hAnsi="Times New Roman" w:cs="Times New Roman"/>
        </w:rPr>
        <w:t xml:space="preserve"> </w:t>
      </w:r>
      <w:r w:rsidRPr="00D84571">
        <w:rPr>
          <w:rFonts w:ascii="Times New Roman" w:hAnsi="Times New Roman" w:cs="Times New Roman"/>
        </w:rPr>
        <w:t>A extinção do contrato poderá ser (</w:t>
      </w:r>
      <w:hyperlink r:id="rId180" w:anchor="art138" w:history="1">
        <w:r w:rsidRPr="00D84571">
          <w:rPr>
            <w:rStyle w:val="Hyperlink"/>
            <w:rFonts w:ascii="Times New Roman" w:hAnsi="Times New Roman" w:cs="Times New Roman"/>
          </w:rPr>
          <w:t>art. 138 da Lei nº 14.133/2021</w:t>
        </w:r>
      </w:hyperlink>
      <w:r w:rsidRPr="00D84571">
        <w:rPr>
          <w:rFonts w:ascii="Times New Roman" w:hAnsi="Times New Roman" w:cs="Times New Roman"/>
        </w:rPr>
        <w:t>):</w:t>
      </w:r>
    </w:p>
    <w:p w14:paraId="0D4864CC"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Determinada por ato unilateral e escrito da Administração, exceto no caso de descumprimento decorrente de sua própria conduta;</w:t>
      </w:r>
    </w:p>
    <w:p w14:paraId="2D4FAAD2"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Consensual, por acordo entre as partes, por conciliação, por mediação ou por comitê de resolução de disputas, desde que haja interesse da Administração;</w:t>
      </w:r>
    </w:p>
    <w:p w14:paraId="6459036B"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C04B50">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Determinada por decisão arbitral, em decorrência de cláusula compromissória ou compromisso arbitral, ou por decisão judicial.</w:t>
      </w:r>
    </w:p>
    <w:p w14:paraId="45E50480" w14:textId="77777777" w:rsidR="00B307DB" w:rsidRPr="00D84571" w:rsidRDefault="00B307DB" w:rsidP="00B307DB">
      <w:pPr>
        <w:pStyle w:val="PargrafodaLista"/>
        <w:tabs>
          <w:tab w:val="left" w:pos="851"/>
          <w:tab w:val="left" w:pos="1134"/>
        </w:tabs>
        <w:spacing w:after="0" w:line="240" w:lineRule="auto"/>
        <w:ind w:left="567" w:right="-568"/>
        <w:contextualSpacing w:val="0"/>
        <w:jc w:val="both"/>
        <w:rPr>
          <w:rFonts w:ascii="Times New Roman" w:hAnsi="Times New Roman" w:cs="Times New Roman"/>
        </w:rPr>
      </w:pPr>
      <w:r w:rsidRPr="00166E7F">
        <w:rPr>
          <w:rFonts w:ascii="Times New Roman" w:hAnsi="Times New Roman" w:cs="Times New Roman"/>
          <w:b/>
        </w:rPr>
        <w:t>IX -</w:t>
      </w:r>
      <w:r>
        <w:rPr>
          <w:rFonts w:ascii="Times New Roman" w:hAnsi="Times New Roman" w:cs="Times New Roman"/>
        </w:rPr>
        <w:t xml:space="preserve"> </w:t>
      </w:r>
      <w:r w:rsidRPr="00D84571">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81" w:anchor="art136%C2%A71" w:history="1">
        <w:r w:rsidRPr="00D84571">
          <w:rPr>
            <w:rStyle w:val="Hyperlink"/>
            <w:rFonts w:ascii="Times New Roman" w:hAnsi="Times New Roman" w:cs="Times New Roman"/>
          </w:rPr>
          <w:t>art. 138, § 1º da Lei nº 14.133/2021</w:t>
        </w:r>
      </w:hyperlink>
      <w:r w:rsidRPr="00D84571">
        <w:rPr>
          <w:rFonts w:ascii="Times New Roman" w:hAnsi="Times New Roman" w:cs="Times New Roman"/>
        </w:rPr>
        <w:t>);</w:t>
      </w:r>
    </w:p>
    <w:p w14:paraId="7DEA7A2A" w14:textId="77777777" w:rsidR="00B307DB" w:rsidRPr="00D84571" w:rsidRDefault="00B307DB" w:rsidP="00B307DB">
      <w:pPr>
        <w:pStyle w:val="PargrafodaLista"/>
        <w:tabs>
          <w:tab w:val="left" w:pos="426"/>
          <w:tab w:val="left" w:pos="851"/>
          <w:tab w:val="left" w:pos="1134"/>
        </w:tabs>
        <w:spacing w:after="0" w:line="240" w:lineRule="auto"/>
        <w:ind w:left="567" w:right="-568"/>
        <w:contextualSpacing w:val="0"/>
        <w:jc w:val="both"/>
        <w:rPr>
          <w:rFonts w:ascii="Times New Roman" w:hAnsi="Times New Roman" w:cs="Times New Roman"/>
        </w:rPr>
      </w:pPr>
      <w:r w:rsidRPr="00166E7F">
        <w:rPr>
          <w:rFonts w:ascii="Times New Roman" w:hAnsi="Times New Roman" w:cs="Times New Roman"/>
          <w:b/>
        </w:rPr>
        <w:t>X -</w:t>
      </w:r>
      <w:r>
        <w:rPr>
          <w:rFonts w:ascii="Times New Roman" w:hAnsi="Times New Roman" w:cs="Times New Roman"/>
        </w:rPr>
        <w:t xml:space="preserve"> </w:t>
      </w:r>
      <w:r w:rsidRPr="00D84571">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82" w:anchor="art136%C2%A72" w:history="1">
        <w:r w:rsidRPr="00D84571">
          <w:rPr>
            <w:rStyle w:val="Hyperlink"/>
            <w:rFonts w:ascii="Times New Roman" w:hAnsi="Times New Roman" w:cs="Times New Roman"/>
          </w:rPr>
          <w:t>art. 138, § 2º da Lei nº 14.133/2021</w:t>
        </w:r>
      </w:hyperlink>
      <w:r w:rsidRPr="00D84571">
        <w:rPr>
          <w:rFonts w:ascii="Times New Roman" w:hAnsi="Times New Roman" w:cs="Times New Roman"/>
        </w:rPr>
        <w:t>):</w:t>
      </w:r>
    </w:p>
    <w:p w14:paraId="275D8B08" w14:textId="77777777" w:rsidR="00B307DB" w:rsidRPr="00D84571" w:rsidRDefault="00B307DB" w:rsidP="00B307DB">
      <w:pPr>
        <w:pStyle w:val="PargrafodaLista"/>
        <w:tabs>
          <w:tab w:val="left" w:pos="851"/>
        </w:tabs>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Devolução da garantia;</w:t>
      </w:r>
    </w:p>
    <w:p w14:paraId="4AAB696E" w14:textId="77777777" w:rsidR="00B307DB" w:rsidRPr="00D84571" w:rsidRDefault="00B307DB" w:rsidP="00B307DB">
      <w:pPr>
        <w:pStyle w:val="PargrafodaLista"/>
        <w:tabs>
          <w:tab w:val="left" w:pos="851"/>
        </w:tabs>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Pagamentos devidos pela execução do contrato até a data de extinção;</w:t>
      </w:r>
    </w:p>
    <w:p w14:paraId="2CF86B4B" w14:textId="77777777" w:rsidR="00B307DB" w:rsidRPr="00D84571" w:rsidRDefault="00B307DB" w:rsidP="00B307DB">
      <w:pPr>
        <w:pStyle w:val="PargrafodaLista"/>
        <w:tabs>
          <w:tab w:val="left" w:pos="851"/>
        </w:tabs>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Pagamento do custo da desmobilização.</w:t>
      </w:r>
    </w:p>
    <w:p w14:paraId="5138D6EA" w14:textId="77777777" w:rsidR="00B307DB" w:rsidRPr="00D84571" w:rsidRDefault="00B307DB" w:rsidP="00B307DB">
      <w:pPr>
        <w:pStyle w:val="PargrafodaLista"/>
        <w:tabs>
          <w:tab w:val="left" w:pos="709"/>
          <w:tab w:val="left" w:pos="1276"/>
        </w:tabs>
        <w:spacing w:after="0" w:line="240" w:lineRule="auto"/>
        <w:ind w:left="567" w:right="-568"/>
        <w:contextualSpacing w:val="0"/>
        <w:jc w:val="both"/>
        <w:rPr>
          <w:rFonts w:ascii="Times New Roman" w:hAnsi="Times New Roman" w:cs="Times New Roman"/>
        </w:rPr>
      </w:pPr>
      <w:r w:rsidRPr="006555D5">
        <w:rPr>
          <w:rFonts w:ascii="Times New Roman" w:hAnsi="Times New Roman" w:cs="Times New Roman"/>
          <w:b/>
        </w:rPr>
        <w:t>XI -</w:t>
      </w:r>
      <w:r>
        <w:rPr>
          <w:rFonts w:ascii="Times New Roman" w:hAnsi="Times New Roman" w:cs="Times New Roman"/>
        </w:rPr>
        <w:t xml:space="preserve"> </w:t>
      </w:r>
      <w:r w:rsidRPr="00D84571">
        <w:rPr>
          <w:rFonts w:ascii="Times New Roman" w:hAnsi="Times New Roman" w:cs="Times New Roman"/>
        </w:rPr>
        <w:t>A extinção determinada por ato unilateral da Administração poderá acarretar, sem prejuízo das sanções previstas na Lei nº 14.133/2021, as seguintes consequências (</w:t>
      </w:r>
      <w:hyperlink r:id="rId183" w:anchor="art139" w:history="1">
        <w:r w:rsidRPr="00D84571">
          <w:rPr>
            <w:rStyle w:val="Hyperlink"/>
            <w:rFonts w:ascii="Times New Roman" w:hAnsi="Times New Roman" w:cs="Times New Roman"/>
          </w:rPr>
          <w:t>art. 139 da Lei nº 14.133/2021</w:t>
        </w:r>
      </w:hyperlink>
      <w:r w:rsidRPr="00D84571">
        <w:rPr>
          <w:rFonts w:ascii="Times New Roman" w:hAnsi="Times New Roman" w:cs="Times New Roman"/>
        </w:rPr>
        <w:t>):</w:t>
      </w:r>
    </w:p>
    <w:p w14:paraId="0C99B178" w14:textId="77777777" w:rsidR="00B307DB" w:rsidRPr="00D84571" w:rsidRDefault="00B307DB" w:rsidP="00B307DB">
      <w:pPr>
        <w:pStyle w:val="PargrafodaLista"/>
        <w:tabs>
          <w:tab w:val="left" w:pos="709"/>
        </w:tabs>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Assunção imediata do objeto do contrato, no estado e local em que se encontrar, por ato próprio da Administração;</w:t>
      </w:r>
    </w:p>
    <w:p w14:paraId="7F39EFA1" w14:textId="77777777" w:rsidR="00B307DB" w:rsidRPr="00D84571" w:rsidRDefault="00B307DB" w:rsidP="00B307DB">
      <w:pPr>
        <w:pStyle w:val="PargrafodaLista"/>
        <w:tabs>
          <w:tab w:val="left" w:pos="2694"/>
        </w:tabs>
        <w:spacing w:after="0" w:line="240" w:lineRule="auto"/>
        <w:ind w:left="1276" w:right="-568"/>
        <w:contextualSpacing w:val="0"/>
        <w:jc w:val="both"/>
        <w:rPr>
          <w:rFonts w:ascii="Times New Roman" w:hAnsi="Times New Roman" w:cs="Times New Roman"/>
        </w:rPr>
      </w:pPr>
      <w:r w:rsidRPr="0018368B">
        <w:rPr>
          <w:rFonts w:ascii="Times New Roman" w:hAnsi="Times New Roman" w:cs="Times New Roman"/>
          <w:b/>
        </w:rPr>
        <w:t>i)</w:t>
      </w:r>
      <w:r>
        <w:rPr>
          <w:rFonts w:ascii="Times New Roman" w:hAnsi="Times New Roman" w:cs="Times New Roman"/>
          <w:b/>
        </w:rPr>
        <w:t xml:space="preserve"> </w:t>
      </w:r>
      <w:r w:rsidRPr="00D84571">
        <w:rPr>
          <w:rFonts w:ascii="Times New Roman" w:hAnsi="Times New Roman" w:cs="Times New Roman"/>
        </w:rPr>
        <w:t>A aplicação dessa medida ficará a critério da Administração, que poderá dar continuidade ao serviço por execução direta ou indireta (</w:t>
      </w:r>
      <w:hyperlink r:id="rId184"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6CAAE5AD" w14:textId="77777777" w:rsidR="00B307DB" w:rsidRPr="00D84571" w:rsidRDefault="00B307DB" w:rsidP="00B307DB">
      <w:pPr>
        <w:pStyle w:val="PargrafodaLista"/>
        <w:spacing w:after="0" w:line="240" w:lineRule="auto"/>
        <w:ind w:left="1134" w:right="-568"/>
        <w:contextualSpacing w:val="0"/>
        <w:jc w:val="both"/>
        <w:rPr>
          <w:rFonts w:ascii="Times New Roman" w:hAnsi="Times New Roman" w:cs="Times New Roman"/>
        </w:rPr>
      </w:pPr>
      <w:r w:rsidRPr="006555D5">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733A1727" w14:textId="77777777" w:rsidR="00B307DB" w:rsidRPr="00D84571" w:rsidRDefault="00B307DB" w:rsidP="00B307DB">
      <w:pPr>
        <w:pStyle w:val="PargrafodaLista"/>
        <w:tabs>
          <w:tab w:val="left" w:pos="2835"/>
        </w:tabs>
        <w:spacing w:after="0" w:line="240" w:lineRule="auto"/>
        <w:ind w:left="1276" w:right="-568"/>
        <w:contextualSpacing w:val="0"/>
        <w:jc w:val="both"/>
        <w:rPr>
          <w:rFonts w:ascii="Times New Roman" w:hAnsi="Times New Roman" w:cs="Times New Roman"/>
        </w:rPr>
      </w:pPr>
      <w:r w:rsidRPr="00155016">
        <w:rPr>
          <w:rFonts w:ascii="Times New Roman" w:hAnsi="Times New Roman" w:cs="Times New Roman"/>
          <w:b/>
        </w:rPr>
        <w:lastRenderedPageBreak/>
        <w:t>i)</w:t>
      </w:r>
      <w:r>
        <w:rPr>
          <w:rFonts w:ascii="Times New Roman" w:hAnsi="Times New Roman" w:cs="Times New Roman"/>
          <w:b/>
        </w:rPr>
        <w:t xml:space="preserve"> </w:t>
      </w:r>
      <w:r w:rsidRPr="00D84571">
        <w:rPr>
          <w:rFonts w:ascii="Times New Roman" w:hAnsi="Times New Roman" w:cs="Times New Roman"/>
        </w:rPr>
        <w:t>A aplicação dessa medida ficará a critério da Administração, que poderá dar continuidade ao serviço por execução direta ou indireta (</w:t>
      </w:r>
      <w:hyperlink r:id="rId185" w:anchor="art139%C2%A71" w:history="1">
        <w:r w:rsidRPr="00D84571">
          <w:rPr>
            <w:rStyle w:val="Hyperlink"/>
            <w:rFonts w:ascii="Times New Roman" w:hAnsi="Times New Roman" w:cs="Times New Roman"/>
          </w:rPr>
          <w:t>art. 139, § 1º da Lei nº 14.133/2021</w:t>
        </w:r>
      </w:hyperlink>
      <w:r w:rsidRPr="00D84571">
        <w:rPr>
          <w:rFonts w:ascii="Times New Roman" w:hAnsi="Times New Roman" w:cs="Times New Roman"/>
        </w:rPr>
        <w:t>).</w:t>
      </w:r>
    </w:p>
    <w:p w14:paraId="1697365F" w14:textId="77777777" w:rsidR="00B307DB" w:rsidRPr="00D84571" w:rsidRDefault="00B307DB" w:rsidP="00B307DB">
      <w:pPr>
        <w:pStyle w:val="PargrafodaLista"/>
        <w:tabs>
          <w:tab w:val="left" w:pos="709"/>
        </w:tabs>
        <w:spacing w:after="0" w:line="240" w:lineRule="auto"/>
        <w:ind w:left="1134" w:right="-568"/>
        <w:contextualSpacing w:val="0"/>
        <w:jc w:val="both"/>
        <w:rPr>
          <w:rFonts w:ascii="Times New Roman" w:hAnsi="Times New Roman" w:cs="Times New Roman"/>
        </w:rPr>
      </w:pPr>
      <w:r w:rsidRPr="00155016">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Execução da garantia contratual para:</w:t>
      </w:r>
    </w:p>
    <w:p w14:paraId="420D9016" w14:textId="77777777" w:rsidR="00B307DB" w:rsidRPr="00D84571" w:rsidRDefault="00B307DB" w:rsidP="00B307DB">
      <w:pPr>
        <w:pStyle w:val="PargrafodaLista"/>
        <w:tabs>
          <w:tab w:val="left" w:pos="1701"/>
          <w:tab w:val="left" w:pos="2835"/>
        </w:tabs>
        <w:spacing w:after="0" w:line="240" w:lineRule="auto"/>
        <w:ind w:left="1276" w:right="-568"/>
        <w:contextualSpacing w:val="0"/>
        <w:jc w:val="both"/>
        <w:rPr>
          <w:rFonts w:ascii="Times New Roman" w:hAnsi="Times New Roman" w:cs="Times New Roman"/>
        </w:rPr>
      </w:pPr>
      <w:r w:rsidRPr="00155016">
        <w:rPr>
          <w:rFonts w:ascii="Times New Roman" w:hAnsi="Times New Roman" w:cs="Times New Roman"/>
          <w:b/>
        </w:rPr>
        <w:t>i)</w:t>
      </w:r>
      <w:r>
        <w:rPr>
          <w:rFonts w:ascii="Times New Roman" w:hAnsi="Times New Roman" w:cs="Times New Roman"/>
          <w:b/>
        </w:rPr>
        <w:t xml:space="preserve"> </w:t>
      </w:r>
      <w:r w:rsidRPr="00D84571">
        <w:rPr>
          <w:rFonts w:ascii="Times New Roman" w:hAnsi="Times New Roman" w:cs="Times New Roman"/>
        </w:rPr>
        <w:t>Ressarcimento da Administração Pública por prejuízos decorrentes da não execução;</w:t>
      </w:r>
    </w:p>
    <w:p w14:paraId="1D5D70F7" w14:textId="77777777" w:rsidR="00B307DB" w:rsidRPr="000529D4" w:rsidRDefault="00B307DB" w:rsidP="00B307DB">
      <w:pPr>
        <w:tabs>
          <w:tab w:val="left" w:pos="1701"/>
          <w:tab w:val="left" w:pos="2835"/>
        </w:tabs>
        <w:spacing w:after="0" w:line="240" w:lineRule="auto"/>
        <w:ind w:left="1276" w:right="-568"/>
        <w:jc w:val="both"/>
        <w:rPr>
          <w:rFonts w:ascii="Times New Roman" w:hAnsi="Times New Roman" w:cs="Times New Roman"/>
        </w:rPr>
      </w:pPr>
      <w:r w:rsidRPr="000529D4">
        <w:rPr>
          <w:rFonts w:ascii="Times New Roman" w:hAnsi="Times New Roman" w:cs="Times New Roman"/>
          <w:b/>
        </w:rPr>
        <w:t>ii)</w:t>
      </w:r>
      <w:r>
        <w:rPr>
          <w:rFonts w:ascii="Times New Roman" w:hAnsi="Times New Roman" w:cs="Times New Roman"/>
          <w:b/>
        </w:rPr>
        <w:t xml:space="preserve"> </w:t>
      </w:r>
      <w:r w:rsidRPr="000529D4">
        <w:rPr>
          <w:rFonts w:ascii="Times New Roman" w:hAnsi="Times New Roman" w:cs="Times New Roman"/>
        </w:rPr>
        <w:t>Pagamento de verbas trabalhistas, fundiárias e previdenciárias, quando cabível;</w:t>
      </w:r>
    </w:p>
    <w:p w14:paraId="24C36675" w14:textId="77777777" w:rsidR="00B307DB" w:rsidRPr="00D84571" w:rsidRDefault="00B307DB" w:rsidP="00B307DB">
      <w:pPr>
        <w:pStyle w:val="PargrafodaLista"/>
        <w:tabs>
          <w:tab w:val="left" w:pos="1701"/>
          <w:tab w:val="left" w:pos="2835"/>
        </w:tabs>
        <w:spacing w:after="0" w:line="240" w:lineRule="auto"/>
        <w:ind w:left="1276" w:right="-568"/>
        <w:contextualSpacing w:val="0"/>
        <w:jc w:val="both"/>
        <w:rPr>
          <w:rFonts w:ascii="Times New Roman" w:hAnsi="Times New Roman" w:cs="Times New Roman"/>
        </w:rPr>
      </w:pPr>
      <w:r w:rsidRPr="000529D4">
        <w:rPr>
          <w:rFonts w:ascii="Times New Roman" w:hAnsi="Times New Roman" w:cs="Times New Roman"/>
          <w:b/>
        </w:rPr>
        <w:t>iii)</w:t>
      </w:r>
      <w:r>
        <w:rPr>
          <w:rFonts w:ascii="Times New Roman" w:hAnsi="Times New Roman" w:cs="Times New Roman"/>
          <w:b/>
        </w:rPr>
        <w:t xml:space="preserve"> </w:t>
      </w:r>
      <w:r w:rsidRPr="00D84571">
        <w:rPr>
          <w:rFonts w:ascii="Times New Roman" w:hAnsi="Times New Roman" w:cs="Times New Roman"/>
        </w:rPr>
        <w:t>Pagamento das multas devidas à Administração Pública;</w:t>
      </w:r>
    </w:p>
    <w:p w14:paraId="773E6F37" w14:textId="77777777" w:rsidR="00B307DB" w:rsidRPr="00D84571" w:rsidRDefault="00B307DB" w:rsidP="00B307DB">
      <w:pPr>
        <w:pStyle w:val="PargrafodaLista"/>
        <w:tabs>
          <w:tab w:val="left" w:pos="1701"/>
          <w:tab w:val="left" w:pos="2835"/>
        </w:tabs>
        <w:spacing w:after="0" w:line="240" w:lineRule="auto"/>
        <w:ind w:left="1276" w:right="-568"/>
        <w:contextualSpacing w:val="0"/>
        <w:jc w:val="both"/>
        <w:rPr>
          <w:rFonts w:ascii="Times New Roman" w:hAnsi="Times New Roman" w:cs="Times New Roman"/>
        </w:rPr>
      </w:pPr>
      <w:r w:rsidRPr="000529D4">
        <w:rPr>
          <w:rFonts w:ascii="Times New Roman" w:hAnsi="Times New Roman" w:cs="Times New Roman"/>
          <w:b/>
        </w:rPr>
        <w:t>iv)</w:t>
      </w:r>
      <w:r>
        <w:rPr>
          <w:rFonts w:ascii="Times New Roman" w:hAnsi="Times New Roman" w:cs="Times New Roman"/>
          <w:b/>
        </w:rPr>
        <w:t xml:space="preserve"> </w:t>
      </w:r>
      <w:r w:rsidRPr="00D84571">
        <w:rPr>
          <w:rFonts w:ascii="Times New Roman" w:hAnsi="Times New Roman" w:cs="Times New Roman"/>
        </w:rPr>
        <w:t>Exigência da assunção da execução e da conclusão do objeto do contrato pela seguradora, quando cabível;</w:t>
      </w:r>
    </w:p>
    <w:p w14:paraId="313D9395" w14:textId="77777777" w:rsidR="00B307DB" w:rsidRPr="00D84571" w:rsidRDefault="00B307DB" w:rsidP="00B307DB">
      <w:pPr>
        <w:pStyle w:val="PargrafodaLista"/>
        <w:tabs>
          <w:tab w:val="left" w:pos="851"/>
        </w:tabs>
        <w:spacing w:after="0" w:line="240" w:lineRule="auto"/>
        <w:ind w:left="1134" w:right="-568"/>
        <w:contextualSpacing w:val="0"/>
        <w:jc w:val="both"/>
        <w:rPr>
          <w:rFonts w:ascii="Times New Roman" w:hAnsi="Times New Roman" w:cs="Times New Roman"/>
        </w:rPr>
      </w:pPr>
      <w:r w:rsidRPr="00155016">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Retenção dos créditos decorrentes do contrato até o limite dos prejuízos causados à Administração Pública e das multas aplicadas.</w:t>
      </w:r>
    </w:p>
    <w:p w14:paraId="225385AF" w14:textId="77777777" w:rsidR="00B307DB" w:rsidRPr="00D84571" w:rsidRDefault="00B307DB" w:rsidP="00B307DB">
      <w:pPr>
        <w:pStyle w:val="PargrafodaLista"/>
        <w:tabs>
          <w:tab w:val="left" w:pos="709"/>
        </w:tabs>
        <w:spacing w:after="0" w:line="240" w:lineRule="auto"/>
        <w:ind w:left="0" w:right="-568"/>
        <w:contextualSpacing w:val="0"/>
        <w:jc w:val="both"/>
        <w:rPr>
          <w:rFonts w:ascii="Times New Roman" w:hAnsi="Times New Roman" w:cs="Times New Roman"/>
        </w:rPr>
      </w:pPr>
      <w:r w:rsidRPr="009D4DAF">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 xml:space="preserve">Os emitentes das garantias previstas no </w:t>
      </w:r>
      <w:hyperlink r:id="rId186" w:anchor="art96" w:history="1">
        <w:r w:rsidRPr="00D84571">
          <w:rPr>
            <w:rStyle w:val="Hyperlink"/>
            <w:rFonts w:ascii="Times New Roman" w:hAnsi="Times New Roman" w:cs="Times New Roman"/>
          </w:rPr>
          <w:t>art. 96 da Lei nº 14.133/2021</w:t>
        </w:r>
      </w:hyperlink>
      <w:r w:rsidRPr="00D84571">
        <w:rPr>
          <w:rFonts w:ascii="Times New Roman" w:hAnsi="Times New Roman" w:cs="Times New Roman"/>
        </w:rPr>
        <w:t xml:space="preserve"> serão notificados pelo CONTRATANTE quanto ao início de processo administrativo para apuração de descumprimento de cláusulas contratuais (</w:t>
      </w:r>
      <w:hyperlink r:id="rId187" w:anchor="art136%C2%A74" w:history="1">
        <w:r w:rsidRPr="00D84571">
          <w:rPr>
            <w:rStyle w:val="Hyperlink"/>
            <w:rFonts w:ascii="Times New Roman" w:hAnsi="Times New Roman" w:cs="Times New Roman"/>
          </w:rPr>
          <w:t>art. 136, § 4º da Lei nº 14.133/2021</w:t>
        </w:r>
      </w:hyperlink>
      <w:r w:rsidRPr="00D84571">
        <w:rPr>
          <w:rFonts w:ascii="Times New Roman" w:hAnsi="Times New Roman" w:cs="Times New Roman"/>
        </w:rPr>
        <w:t>).</w:t>
      </w:r>
    </w:p>
    <w:p w14:paraId="793C5A25" w14:textId="77777777" w:rsidR="00B307DB" w:rsidRPr="00D84571" w:rsidRDefault="00B307DB" w:rsidP="00B307DB">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18.2 GESTÃO DO CONTRATO</w:t>
      </w:r>
    </w:p>
    <w:p w14:paraId="1B5B39E6" w14:textId="77777777" w:rsidR="00B307DB" w:rsidRPr="00D84571" w:rsidRDefault="00B307DB" w:rsidP="00B307DB">
      <w:pPr>
        <w:tabs>
          <w:tab w:val="left" w:pos="1134"/>
        </w:tabs>
        <w:spacing w:after="0" w:line="240" w:lineRule="auto"/>
        <w:ind w:right="-568"/>
        <w:jc w:val="both"/>
        <w:rPr>
          <w:rFonts w:ascii="Times New Roman" w:hAnsi="Times New Roman" w:cs="Times New Roman"/>
          <w:b/>
          <w:iCs/>
        </w:rPr>
      </w:pPr>
      <w:r w:rsidRPr="00D84571">
        <w:rPr>
          <w:rFonts w:ascii="Times New Roman" w:hAnsi="Times New Roman" w:cs="Times New Roman"/>
          <w:b/>
          <w:iCs/>
        </w:rPr>
        <w:t xml:space="preserve">18.2.1 </w:t>
      </w:r>
      <w:r w:rsidRPr="00D84571">
        <w:rPr>
          <w:rFonts w:ascii="Times New Roman" w:hAnsi="Times New Roman" w:cs="Times New Roman"/>
          <w:iCs/>
        </w:rPr>
        <w:t>A gestão do contrat</w:t>
      </w:r>
      <w:r w:rsidRPr="00837366">
        <w:rPr>
          <w:rFonts w:ascii="Times New Roman" w:hAnsi="Times New Roman" w:cs="Times New Roman"/>
          <w:iCs/>
        </w:rPr>
        <w:t xml:space="preserve">o caberá </w:t>
      </w:r>
      <w:r w:rsidRPr="002721EF">
        <w:rPr>
          <w:rFonts w:ascii="Times New Roman" w:hAnsi="Times New Roman" w:cs="Times New Roman"/>
          <w:iCs/>
        </w:rPr>
        <w:t>ao Sr. Renaldo Mueller e Sr</w:t>
      </w:r>
      <w:r>
        <w:rPr>
          <w:rFonts w:ascii="Times New Roman" w:hAnsi="Times New Roman" w:cs="Times New Roman"/>
          <w:iCs/>
        </w:rPr>
        <w:t>.</w:t>
      </w:r>
      <w:r w:rsidRPr="002721EF">
        <w:rPr>
          <w:rFonts w:ascii="Times New Roman" w:hAnsi="Times New Roman" w:cs="Times New Roman"/>
          <w:iCs/>
        </w:rPr>
        <w:t xml:space="preserve"> Junior Steffen.</w:t>
      </w:r>
      <w:r w:rsidRPr="00D84571">
        <w:rPr>
          <w:rFonts w:ascii="Times New Roman" w:hAnsi="Times New Roman" w:cs="Times New Roman"/>
          <w:b/>
          <w:iCs/>
        </w:rPr>
        <w:t xml:space="preserve"> </w:t>
      </w:r>
    </w:p>
    <w:p w14:paraId="15C8FB28" w14:textId="77777777" w:rsidR="00B307DB" w:rsidRPr="005A6CA6" w:rsidRDefault="00B307DB" w:rsidP="00B307DB">
      <w:pPr>
        <w:spacing w:after="0" w:line="240" w:lineRule="auto"/>
        <w:ind w:right="-568"/>
        <w:jc w:val="both"/>
        <w:rPr>
          <w:rFonts w:ascii="Times New Roman" w:hAnsi="Times New Roman" w:cs="Times New Roman"/>
        </w:rPr>
      </w:pPr>
      <w:r w:rsidRPr="005A6CA6">
        <w:rPr>
          <w:rFonts w:ascii="Times New Roman" w:hAnsi="Times New Roman" w:cs="Times New Roman"/>
          <w:b/>
        </w:rPr>
        <w:t>18.2.2</w:t>
      </w:r>
      <w:r>
        <w:rPr>
          <w:rFonts w:ascii="Times New Roman" w:hAnsi="Times New Roman" w:cs="Times New Roman"/>
        </w:rPr>
        <w:t xml:space="preserve"> </w:t>
      </w:r>
      <w:r w:rsidRPr="005A6CA6">
        <w:rPr>
          <w:rFonts w:ascii="Times New Roman" w:hAnsi="Times New Roman" w:cs="Times New Roman"/>
        </w:rPr>
        <w:t>Caberá o Gestor de Contrato</w:t>
      </w:r>
      <w:r w:rsidRPr="005A6CA6">
        <w:rPr>
          <w:rFonts w:ascii="Times New Roman" w:hAnsi="Times New Roman" w:cs="Times New Roman"/>
          <w:b/>
        </w:rPr>
        <w:t xml:space="preserve"> </w:t>
      </w:r>
      <w:r w:rsidRPr="005A6CA6">
        <w:rPr>
          <w:rFonts w:ascii="Times New Roman" w:hAnsi="Times New Roman" w:cs="Times New Roman"/>
        </w:rPr>
        <w:t>conforme Decreto Municipal nº 4788/2023</w:t>
      </w:r>
      <w:r>
        <w:rPr>
          <w:rFonts w:ascii="Times New Roman" w:hAnsi="Times New Roman" w:cs="Times New Roman"/>
        </w:rPr>
        <w:t xml:space="preserve"> e Resolução nº 03/2024</w:t>
      </w:r>
      <w:r w:rsidRPr="005A6CA6">
        <w:rPr>
          <w:rFonts w:ascii="Times New Roman" w:hAnsi="Times New Roman" w:cs="Times New Roman"/>
        </w:rPr>
        <w:t>, as seguintes obrigações:</w:t>
      </w:r>
    </w:p>
    <w:p w14:paraId="5A57F5C3" w14:textId="77777777" w:rsidR="00B307DB" w:rsidRPr="00D84571" w:rsidRDefault="00B307DB" w:rsidP="00B307DB">
      <w:pPr>
        <w:pStyle w:val="PargrafodaLista"/>
        <w:tabs>
          <w:tab w:val="left" w:pos="284"/>
          <w:tab w:val="left" w:pos="709"/>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Seguir o Edital quanto às regras relativas à gestão do contrato;</w:t>
      </w:r>
    </w:p>
    <w:p w14:paraId="7B7C1792" w14:textId="77777777" w:rsidR="00B307DB" w:rsidRPr="00D84571" w:rsidRDefault="00B307DB" w:rsidP="00B307DB">
      <w:pPr>
        <w:pStyle w:val="PargrafodaLista"/>
        <w:tabs>
          <w:tab w:val="left" w:pos="284"/>
          <w:tab w:val="left" w:pos="426"/>
          <w:tab w:val="left" w:pos="709"/>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Seguir o modelo de gestão previsto no contrato administrativo;</w:t>
      </w:r>
    </w:p>
    <w:p w14:paraId="62A14528" w14:textId="77777777" w:rsidR="00B307DB" w:rsidRPr="00D84571" w:rsidRDefault="00B307DB" w:rsidP="00B307DB">
      <w:pPr>
        <w:pStyle w:val="PargrafodaLista"/>
        <w:tabs>
          <w:tab w:val="left" w:pos="284"/>
          <w:tab w:val="left" w:pos="426"/>
          <w:tab w:val="left" w:pos="567"/>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Coordenar as atividades relacionadas à fiscalização;</w:t>
      </w:r>
    </w:p>
    <w:p w14:paraId="5FE6F8F4" w14:textId="77777777" w:rsidR="00B307DB" w:rsidRPr="00D84571" w:rsidRDefault="00B307DB" w:rsidP="00B307DB">
      <w:pPr>
        <w:pStyle w:val="PargrafodaLista"/>
        <w:tabs>
          <w:tab w:val="left" w:pos="284"/>
          <w:tab w:val="left" w:pos="426"/>
          <w:tab w:val="left" w:pos="567"/>
          <w:tab w:val="left" w:pos="709"/>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3AE99849" w14:textId="77777777" w:rsidR="00B307DB" w:rsidRPr="00D84571" w:rsidRDefault="00B307DB" w:rsidP="00B307DB">
      <w:pPr>
        <w:pStyle w:val="PargrafodaLista"/>
        <w:tabs>
          <w:tab w:val="left" w:pos="284"/>
          <w:tab w:val="left" w:pos="426"/>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2E83F4B9" w14:textId="77777777" w:rsidR="00B307DB" w:rsidRPr="00D84571" w:rsidRDefault="00B307DB" w:rsidP="00B307DB">
      <w:pPr>
        <w:pStyle w:val="PargrafodaLista"/>
        <w:tabs>
          <w:tab w:val="left" w:pos="284"/>
          <w:tab w:val="left" w:pos="567"/>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17502CA2" w14:textId="77777777" w:rsidR="00B307DB" w:rsidRPr="00D84571" w:rsidRDefault="00B307DB" w:rsidP="00B307DB">
      <w:pPr>
        <w:pStyle w:val="PargrafodaLista"/>
        <w:tabs>
          <w:tab w:val="left" w:pos="284"/>
          <w:tab w:val="left" w:pos="567"/>
          <w:tab w:val="left" w:pos="1134"/>
        </w:tabs>
        <w:spacing w:after="0" w:line="240" w:lineRule="auto"/>
        <w:ind w:left="567" w:right="-568"/>
        <w:jc w:val="both"/>
        <w:rPr>
          <w:rFonts w:ascii="Times New Roman" w:hAnsi="Times New Roman" w:cs="Times New Roman"/>
        </w:rPr>
      </w:pPr>
      <w:r w:rsidRPr="00A46E85">
        <w:rPr>
          <w:rFonts w:ascii="Times New Roman" w:hAnsi="Times New Roman" w:cs="Times New Roman"/>
          <w:b/>
        </w:rPr>
        <w:t xml:space="preserve">VII - </w:t>
      </w:r>
      <w:r w:rsidRPr="00D84571">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79CD0B01" w14:textId="77777777" w:rsidR="00B307DB" w:rsidRPr="00D84571" w:rsidRDefault="00B307DB" w:rsidP="00B307DB">
      <w:pPr>
        <w:pStyle w:val="PargrafodaLista"/>
        <w:tabs>
          <w:tab w:val="left" w:pos="284"/>
          <w:tab w:val="left" w:pos="709"/>
        </w:tabs>
        <w:spacing w:after="0" w:line="240" w:lineRule="auto"/>
        <w:ind w:left="567" w:right="-568"/>
        <w:jc w:val="both"/>
        <w:rPr>
          <w:rFonts w:ascii="Times New Roman" w:hAnsi="Times New Roman" w:cs="Times New Roman"/>
        </w:rPr>
      </w:pPr>
      <w:r w:rsidRPr="00A56F24">
        <w:rPr>
          <w:rFonts w:ascii="Times New Roman" w:hAnsi="Times New Roman" w:cs="Times New Roman"/>
          <w:b/>
        </w:rPr>
        <w:t>VIII -</w:t>
      </w:r>
      <w:r>
        <w:rPr>
          <w:rFonts w:ascii="Times New Roman" w:hAnsi="Times New Roman" w:cs="Times New Roman"/>
        </w:rPr>
        <w:t xml:space="preserve"> </w:t>
      </w:r>
      <w:r w:rsidRPr="00D84571">
        <w:rPr>
          <w:rFonts w:ascii="Times New Roman" w:hAnsi="Times New Roman" w:cs="Times New Roman"/>
        </w:rPr>
        <w:t>Coordenar a atualização contínua do relatório de riscos durante a gestão do contrato, com apoio dos fiscais;</w:t>
      </w:r>
    </w:p>
    <w:p w14:paraId="4A2C227E" w14:textId="77777777" w:rsidR="00B307DB" w:rsidRPr="00D84571" w:rsidRDefault="00B307DB" w:rsidP="00B307DB">
      <w:pPr>
        <w:pStyle w:val="PargrafodaLista"/>
        <w:tabs>
          <w:tab w:val="left" w:pos="284"/>
          <w:tab w:val="left" w:pos="567"/>
          <w:tab w:val="left" w:pos="1134"/>
        </w:tabs>
        <w:spacing w:after="0" w:line="240" w:lineRule="auto"/>
        <w:ind w:left="567" w:right="-568"/>
        <w:jc w:val="both"/>
        <w:rPr>
          <w:rFonts w:ascii="Times New Roman" w:hAnsi="Times New Roman" w:cs="Times New Roman"/>
        </w:rPr>
      </w:pPr>
      <w:r w:rsidRPr="00A56F24">
        <w:rPr>
          <w:rFonts w:ascii="Times New Roman" w:hAnsi="Times New Roman" w:cs="Times New Roman"/>
          <w:b/>
        </w:rPr>
        <w:t>IX -</w:t>
      </w:r>
      <w:r>
        <w:rPr>
          <w:rFonts w:ascii="Times New Roman" w:hAnsi="Times New Roman" w:cs="Times New Roman"/>
        </w:rPr>
        <w:t xml:space="preserve"> </w:t>
      </w: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1A3422CD" w14:textId="77777777" w:rsidR="00B307DB" w:rsidRPr="00D84571" w:rsidRDefault="00B307DB" w:rsidP="00B307DB">
      <w:pPr>
        <w:pStyle w:val="PargrafodaLista"/>
        <w:tabs>
          <w:tab w:val="left" w:pos="284"/>
          <w:tab w:val="left" w:pos="567"/>
          <w:tab w:val="left" w:pos="993"/>
        </w:tabs>
        <w:spacing w:after="0" w:line="240" w:lineRule="auto"/>
        <w:ind w:left="567" w:right="-568"/>
        <w:jc w:val="both"/>
        <w:rPr>
          <w:rFonts w:ascii="Times New Roman" w:hAnsi="Times New Roman" w:cs="Times New Roman"/>
        </w:rPr>
      </w:pPr>
      <w:r w:rsidRPr="00A56F24">
        <w:rPr>
          <w:rFonts w:ascii="Times New Roman" w:hAnsi="Times New Roman" w:cs="Times New Roman"/>
          <w:b/>
        </w:rPr>
        <w:t>X -</w:t>
      </w:r>
      <w:r>
        <w:rPr>
          <w:rFonts w:ascii="Times New Roman" w:hAnsi="Times New Roman" w:cs="Times New Roman"/>
        </w:rPr>
        <w:t xml:space="preserve"> </w:t>
      </w:r>
      <w:r w:rsidRPr="00D84571">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5D27E2F2" w14:textId="77777777" w:rsidR="00B307DB" w:rsidRPr="00D84571" w:rsidRDefault="00B307DB" w:rsidP="00B307DB">
      <w:pPr>
        <w:pStyle w:val="PargrafodaLista"/>
        <w:tabs>
          <w:tab w:val="left" w:pos="284"/>
          <w:tab w:val="left" w:pos="567"/>
          <w:tab w:val="left" w:pos="1134"/>
          <w:tab w:val="left" w:pos="1418"/>
        </w:tabs>
        <w:spacing w:after="0" w:line="240" w:lineRule="auto"/>
        <w:ind w:left="567" w:right="-568"/>
        <w:jc w:val="both"/>
        <w:rPr>
          <w:rFonts w:ascii="Times New Roman" w:hAnsi="Times New Roman" w:cs="Times New Roman"/>
        </w:rPr>
      </w:pPr>
      <w:r w:rsidRPr="00A56F24">
        <w:rPr>
          <w:rFonts w:ascii="Times New Roman" w:hAnsi="Times New Roman" w:cs="Times New Roman"/>
          <w:b/>
        </w:rPr>
        <w:t>XI -</w:t>
      </w:r>
      <w:r>
        <w:rPr>
          <w:rFonts w:ascii="Times New Roman" w:hAnsi="Times New Roman" w:cs="Times New Roman"/>
        </w:rPr>
        <w:t xml:space="preserve"> </w:t>
      </w:r>
      <w:r w:rsidRPr="00D84571">
        <w:rPr>
          <w:rFonts w:ascii="Times New Roman" w:hAnsi="Times New Roman" w:cs="Times New Roman"/>
        </w:rPr>
        <w:t xml:space="preserve">Constituir relatório final, de que trata a </w:t>
      </w:r>
      <w:hyperlink r:id="rId188" w:anchor="art174%C2%A73vid" w:history="1">
        <w:r w:rsidRPr="00D84571">
          <w:rPr>
            <w:rStyle w:val="Hyperlink"/>
            <w:rFonts w:ascii="Times New Roman" w:hAnsi="Times New Roman" w:cs="Times New Roman"/>
          </w:rPr>
          <w:t>alínea "d" do inciso VI do § 3º do art. 174 da Lei nº 14.133, de 2021</w:t>
        </w:r>
      </w:hyperlink>
      <w:r w:rsidRPr="00D84571">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5E3A3AE6" w14:textId="77777777" w:rsidR="00B307DB" w:rsidRPr="00D84571" w:rsidRDefault="00B307DB" w:rsidP="00B307DB">
      <w:pPr>
        <w:pStyle w:val="PargrafodaLista"/>
        <w:tabs>
          <w:tab w:val="left" w:pos="284"/>
          <w:tab w:val="left" w:pos="567"/>
          <w:tab w:val="left" w:pos="993"/>
          <w:tab w:val="left" w:pos="1134"/>
        </w:tabs>
        <w:spacing w:after="0" w:line="240" w:lineRule="auto"/>
        <w:ind w:left="567" w:right="-568"/>
        <w:jc w:val="both"/>
        <w:rPr>
          <w:rFonts w:ascii="Times New Roman" w:hAnsi="Times New Roman" w:cs="Times New Roman"/>
        </w:rPr>
      </w:pPr>
      <w:r w:rsidRPr="00A56F24">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7AF2735A" w14:textId="77777777" w:rsidR="00B307DB" w:rsidRPr="00D84571" w:rsidRDefault="00B307DB" w:rsidP="00B307DB">
      <w:pPr>
        <w:pStyle w:val="PargrafodaLista"/>
        <w:tabs>
          <w:tab w:val="left" w:pos="284"/>
          <w:tab w:val="left" w:pos="709"/>
          <w:tab w:val="left" w:pos="1276"/>
        </w:tabs>
        <w:spacing w:after="0" w:line="240" w:lineRule="auto"/>
        <w:ind w:left="567" w:right="-568"/>
        <w:jc w:val="both"/>
        <w:rPr>
          <w:rFonts w:ascii="Times New Roman" w:hAnsi="Times New Roman" w:cs="Times New Roman"/>
        </w:rPr>
      </w:pPr>
      <w:r w:rsidRPr="00A56F24">
        <w:rPr>
          <w:rFonts w:ascii="Times New Roman" w:hAnsi="Times New Roman" w:cs="Times New Roman"/>
          <w:b/>
        </w:rPr>
        <w:t>XIII -</w:t>
      </w:r>
      <w:r>
        <w:rPr>
          <w:rFonts w:ascii="Times New Roman" w:hAnsi="Times New Roman" w:cs="Times New Roman"/>
        </w:rPr>
        <w:t xml:space="preserve"> </w:t>
      </w:r>
      <w:r w:rsidRPr="00D84571">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89" w:anchor="art158" w:history="1">
        <w:r w:rsidRPr="00D84571">
          <w:rPr>
            <w:rStyle w:val="Hyperlink"/>
            <w:rFonts w:ascii="Times New Roman" w:hAnsi="Times New Roman" w:cs="Times New Roman"/>
          </w:rPr>
          <w:t>art. 158 da Lei nº 14.133, de 2021</w:t>
        </w:r>
      </w:hyperlink>
      <w:r w:rsidRPr="00D84571">
        <w:rPr>
          <w:rFonts w:ascii="Times New Roman" w:hAnsi="Times New Roman" w:cs="Times New Roman"/>
        </w:rPr>
        <w:t xml:space="preserve"> ou pelo agente/setor com competência para tal, conforme o caso;</w:t>
      </w:r>
    </w:p>
    <w:p w14:paraId="42402FD1" w14:textId="77777777" w:rsidR="00B307DB" w:rsidRPr="00D84571" w:rsidRDefault="00B307DB" w:rsidP="00B307DB">
      <w:pPr>
        <w:pStyle w:val="PargrafodaLista"/>
        <w:tabs>
          <w:tab w:val="left" w:pos="284"/>
          <w:tab w:val="left" w:pos="709"/>
          <w:tab w:val="left" w:pos="1276"/>
        </w:tabs>
        <w:spacing w:after="0" w:line="240" w:lineRule="auto"/>
        <w:ind w:left="567" w:right="-568"/>
        <w:jc w:val="both"/>
        <w:rPr>
          <w:rFonts w:ascii="Times New Roman" w:hAnsi="Times New Roman" w:cs="Times New Roman"/>
        </w:rPr>
      </w:pPr>
      <w:r w:rsidRPr="00A56F24">
        <w:rPr>
          <w:rFonts w:ascii="Times New Roman" w:hAnsi="Times New Roman" w:cs="Times New Roman"/>
          <w:b/>
        </w:rPr>
        <w:t>XIV -</w:t>
      </w:r>
      <w:r>
        <w:rPr>
          <w:rFonts w:ascii="Times New Roman" w:hAnsi="Times New Roman" w:cs="Times New Roman"/>
        </w:rPr>
        <w:t xml:space="preserve"> </w:t>
      </w:r>
      <w:r w:rsidRPr="00D84571">
        <w:rPr>
          <w:rFonts w:ascii="Times New Roman" w:hAnsi="Times New Roman" w:cs="Times New Roman"/>
        </w:rPr>
        <w:t>Sugerir as demais providências cabíveis para o bom andamento e execução do contrato.</w:t>
      </w:r>
    </w:p>
    <w:p w14:paraId="337742F6" w14:textId="77777777" w:rsidR="00B307DB" w:rsidRPr="00D84571" w:rsidRDefault="00B307DB" w:rsidP="00B307DB">
      <w:pPr>
        <w:pStyle w:val="PargrafodaLista"/>
        <w:tabs>
          <w:tab w:val="left" w:pos="284"/>
          <w:tab w:val="left" w:pos="567"/>
          <w:tab w:val="left" w:pos="709"/>
          <w:tab w:val="left" w:pos="993"/>
          <w:tab w:val="left" w:pos="1134"/>
        </w:tabs>
        <w:spacing w:after="0" w:line="240" w:lineRule="auto"/>
        <w:ind w:left="567" w:right="-568"/>
        <w:jc w:val="both"/>
        <w:rPr>
          <w:rFonts w:ascii="Times New Roman" w:hAnsi="Times New Roman" w:cs="Times New Roman"/>
        </w:rPr>
      </w:pPr>
      <w:r w:rsidRPr="00A56F24">
        <w:rPr>
          <w:rFonts w:ascii="Times New Roman" w:hAnsi="Times New Roman" w:cs="Times New Roman"/>
          <w:b/>
          <w:bCs/>
        </w:rPr>
        <w:lastRenderedPageBreak/>
        <w:t>XV -</w:t>
      </w:r>
      <w:r>
        <w:rPr>
          <w:rFonts w:ascii="Times New Roman" w:hAnsi="Times New Roman" w:cs="Times New Roman"/>
          <w:bCs/>
        </w:rPr>
        <w:t xml:space="preserve"> </w:t>
      </w:r>
      <w:r w:rsidRPr="00D84571">
        <w:rPr>
          <w:rFonts w:ascii="Times New Roman" w:hAnsi="Times New Roman" w:cs="Times New Roman"/>
          <w:bCs/>
        </w:rPr>
        <w:t>Todos</w:t>
      </w:r>
      <w:r w:rsidRPr="00D84571">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150AFA3" w14:textId="77777777" w:rsidR="00B307DB" w:rsidRPr="00456982" w:rsidRDefault="00B307DB" w:rsidP="00B307DB">
      <w:pPr>
        <w:shd w:val="clear" w:color="auto" w:fill="D9D9D9" w:themeFill="background1" w:themeFillShade="D9"/>
        <w:tabs>
          <w:tab w:val="left" w:pos="567"/>
        </w:tabs>
        <w:spacing w:after="0" w:line="240" w:lineRule="auto"/>
        <w:ind w:right="-568"/>
        <w:jc w:val="both"/>
        <w:rPr>
          <w:rFonts w:ascii="Times New Roman" w:hAnsi="Times New Roman" w:cs="Times New Roman"/>
        </w:rPr>
      </w:pPr>
      <w:r w:rsidRPr="00D84571">
        <w:rPr>
          <w:rFonts w:ascii="Times New Roman" w:hAnsi="Times New Roman" w:cs="Times New Roman"/>
        </w:rPr>
        <w:t xml:space="preserve">18.3 </w:t>
      </w:r>
      <w:r w:rsidRPr="00456982">
        <w:rPr>
          <w:rFonts w:ascii="Times New Roman" w:hAnsi="Times New Roman" w:cs="Times New Roman"/>
        </w:rPr>
        <w:t>FISCALIZAÇÃO DO CONTRATO</w:t>
      </w:r>
    </w:p>
    <w:p w14:paraId="0F6EB2A5" w14:textId="77777777" w:rsidR="00B307DB" w:rsidRPr="00D84571" w:rsidRDefault="00B307DB" w:rsidP="00B307DB">
      <w:pPr>
        <w:tabs>
          <w:tab w:val="left" w:pos="1134"/>
        </w:tabs>
        <w:spacing w:after="0" w:line="240" w:lineRule="auto"/>
        <w:ind w:right="-568"/>
        <w:jc w:val="both"/>
        <w:rPr>
          <w:rFonts w:ascii="Times New Roman" w:hAnsi="Times New Roman" w:cs="Times New Roman"/>
          <w:iCs/>
        </w:rPr>
      </w:pPr>
      <w:r w:rsidRPr="00456982">
        <w:rPr>
          <w:rFonts w:ascii="Times New Roman" w:hAnsi="Times New Roman" w:cs="Times New Roman"/>
          <w:b/>
          <w:iCs/>
        </w:rPr>
        <w:t xml:space="preserve">18.3.1 </w:t>
      </w:r>
      <w:r w:rsidRPr="00456982">
        <w:rPr>
          <w:rFonts w:ascii="Times New Roman" w:hAnsi="Times New Roman" w:cs="Times New Roman"/>
          <w:iCs/>
        </w:rPr>
        <w:t>A execução do contrato será acompanhada e fiscalizada pelo(a)s Sr(as). Ademar Antônio Pignat, Sandra Mara da Rosa, Edson Cesar Trentini, Eleni Rutzen Endrigo, Marcos Antônio Garlet, Ana Salete Bordignon e Paulo Henrique Heller, em observância ao disposto no art. 117 e seguintes da Lei 14.133/2021.</w:t>
      </w:r>
    </w:p>
    <w:p w14:paraId="24C820C9" w14:textId="77777777" w:rsidR="00B307DB" w:rsidRPr="00D84571" w:rsidRDefault="00B307DB" w:rsidP="00B307DB">
      <w:pPr>
        <w:spacing w:after="0" w:line="240" w:lineRule="auto"/>
        <w:ind w:right="-568"/>
        <w:jc w:val="both"/>
        <w:rPr>
          <w:rFonts w:ascii="Times New Roman" w:eastAsia="Times New Roman" w:hAnsi="Times New Roman" w:cs="Times New Roman"/>
        </w:rPr>
      </w:pPr>
      <w:r w:rsidRPr="00D84571">
        <w:rPr>
          <w:rFonts w:ascii="Times New Roman" w:eastAsia="Times New Roman" w:hAnsi="Times New Roman" w:cs="Times New Roman"/>
          <w:b/>
        </w:rPr>
        <w:t>18.3.2</w:t>
      </w:r>
      <w:r w:rsidRPr="00D84571">
        <w:rPr>
          <w:rFonts w:ascii="Times New Roman" w:hAnsi="Times New Roman" w:cs="Times New Roman"/>
        </w:rPr>
        <w:t xml:space="preserve"> Caberá ao Fiscal de Contrato conforme Decreto Municipal nº 4788/2023</w:t>
      </w:r>
      <w:r>
        <w:rPr>
          <w:rFonts w:ascii="Times New Roman" w:hAnsi="Times New Roman" w:cs="Times New Roman"/>
        </w:rPr>
        <w:t xml:space="preserve"> e Resolução nº 03/2024</w:t>
      </w:r>
      <w:r w:rsidRPr="00D84571">
        <w:rPr>
          <w:rFonts w:ascii="Times New Roman" w:hAnsi="Times New Roman" w:cs="Times New Roman"/>
        </w:rPr>
        <w:t>,</w:t>
      </w:r>
      <w:r w:rsidRPr="00D84571">
        <w:rPr>
          <w:rFonts w:ascii="Times New Roman" w:hAnsi="Times New Roman" w:cs="Times New Roman"/>
          <w:b/>
        </w:rPr>
        <w:t xml:space="preserve"> </w:t>
      </w:r>
      <w:r w:rsidRPr="00D84571">
        <w:rPr>
          <w:rFonts w:ascii="Times New Roman" w:eastAsia="Times New Roman" w:hAnsi="Times New Roman" w:cs="Times New Roman"/>
        </w:rPr>
        <w:t xml:space="preserve">acompanhar e fiscalizar a execução do objeto contratual, com as seguintes obrigações: </w:t>
      </w:r>
    </w:p>
    <w:p w14:paraId="2C9E90E1" w14:textId="77777777" w:rsidR="00B307DB" w:rsidRPr="00D84571" w:rsidRDefault="00B307DB" w:rsidP="00B307DB">
      <w:pPr>
        <w:pStyle w:val="PargrafodaLista"/>
        <w:tabs>
          <w:tab w:val="left" w:pos="567"/>
          <w:tab w:val="left" w:pos="851"/>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 -</w:t>
      </w:r>
      <w:r>
        <w:rPr>
          <w:rFonts w:ascii="Times New Roman" w:eastAsia="Times New Roman" w:hAnsi="Times New Roman" w:cs="Times New Roman"/>
        </w:rPr>
        <w:t xml:space="preserve"> </w:t>
      </w:r>
      <w:r w:rsidRPr="00D84571">
        <w:rPr>
          <w:rFonts w:ascii="Times New Roman" w:eastAsia="Times New Roman" w:hAnsi="Times New Roman" w:cs="Times New Roman"/>
        </w:rPr>
        <w:t>Prestar apoio técnico e operacional ao gestor do contrato, subsidiando-o de informações pertinentes às suas competências;</w:t>
      </w:r>
    </w:p>
    <w:p w14:paraId="5A28DF5E" w14:textId="77777777" w:rsidR="00B307DB" w:rsidRPr="00D84571" w:rsidRDefault="00B307DB" w:rsidP="00B307DB">
      <w:pPr>
        <w:pStyle w:val="PargrafodaLista"/>
        <w:tabs>
          <w:tab w:val="left" w:pos="567"/>
          <w:tab w:val="left" w:pos="993"/>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II -</w:t>
      </w:r>
      <w:r>
        <w:rPr>
          <w:rFonts w:ascii="Times New Roman" w:eastAsia="Times New Roman" w:hAnsi="Times New Roman" w:cs="Times New Roman"/>
        </w:rPr>
        <w:t xml:space="preserve"> </w:t>
      </w:r>
      <w:r w:rsidRPr="00D84571">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6D0DF040" w14:textId="77777777" w:rsidR="00B307DB" w:rsidRPr="00D84571" w:rsidRDefault="00B307DB" w:rsidP="00B307DB">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III -</w:t>
      </w:r>
      <w:r>
        <w:rPr>
          <w:rFonts w:ascii="Times New Roman" w:eastAsia="Times New Roman" w:hAnsi="Times New Roman" w:cs="Times New Roman"/>
        </w:rPr>
        <w:t xml:space="preserve"> </w:t>
      </w:r>
      <w:r w:rsidRPr="00D84571">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4AC6BA57" w14:textId="77777777" w:rsidR="00B307DB" w:rsidRPr="00D84571" w:rsidRDefault="00B307DB" w:rsidP="00B307DB">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IV -</w:t>
      </w:r>
      <w:r>
        <w:rPr>
          <w:rFonts w:ascii="Times New Roman" w:eastAsia="Times New Roman" w:hAnsi="Times New Roman" w:cs="Times New Roman"/>
        </w:rPr>
        <w:t xml:space="preserve"> </w:t>
      </w:r>
      <w:r w:rsidRPr="00D84571">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44E77572" w14:textId="77777777" w:rsidR="00B307DB" w:rsidRPr="00D84571" w:rsidRDefault="00B307DB" w:rsidP="00B307DB">
      <w:pPr>
        <w:pStyle w:val="PargrafodaLista"/>
        <w:tabs>
          <w:tab w:val="left" w:pos="567"/>
          <w:tab w:val="left" w:pos="993"/>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V -</w:t>
      </w:r>
      <w:r>
        <w:rPr>
          <w:rFonts w:ascii="Times New Roman" w:eastAsia="Times New Roman" w:hAnsi="Times New Roman" w:cs="Times New Roman"/>
        </w:rPr>
        <w:t xml:space="preserve"> </w:t>
      </w:r>
      <w:r w:rsidRPr="00D84571">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7E916815" w14:textId="77777777" w:rsidR="00B307DB" w:rsidRPr="00D84571" w:rsidRDefault="00B307DB" w:rsidP="00B307DB">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VI -</w:t>
      </w:r>
      <w:r>
        <w:rPr>
          <w:rFonts w:ascii="Times New Roman" w:eastAsia="Times New Roman" w:hAnsi="Times New Roman" w:cs="Times New Roman"/>
        </w:rPr>
        <w:t xml:space="preserve"> </w:t>
      </w:r>
      <w:r w:rsidRPr="00D84571">
        <w:rPr>
          <w:rFonts w:ascii="Times New Roman" w:eastAsia="Times New Roman" w:hAnsi="Times New Roman" w:cs="Times New Roman"/>
        </w:rPr>
        <w:t>Seguir o Termo de Referência sobre como a execução do objeto deve ser acompanhada e fiscalizada;</w:t>
      </w:r>
    </w:p>
    <w:p w14:paraId="2B52ED62" w14:textId="77777777" w:rsidR="00B307DB" w:rsidRPr="00D84571" w:rsidRDefault="00B307DB" w:rsidP="00B307DB">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VII -</w:t>
      </w:r>
      <w:r>
        <w:rPr>
          <w:rFonts w:ascii="Times New Roman" w:eastAsia="Times New Roman" w:hAnsi="Times New Roman" w:cs="Times New Roman"/>
        </w:rPr>
        <w:t xml:space="preserve"> </w:t>
      </w:r>
      <w:r w:rsidRPr="00D84571">
        <w:rPr>
          <w:rFonts w:ascii="Times New Roman" w:eastAsia="Times New Roman" w:hAnsi="Times New Roman" w:cs="Times New Roman"/>
        </w:rPr>
        <w:t>Seguir o Projeto Básico quanto às normas de fiscalização do objeto a serem seguidas;</w:t>
      </w:r>
    </w:p>
    <w:p w14:paraId="276996E7" w14:textId="77777777" w:rsidR="00B307DB" w:rsidRPr="00D84571" w:rsidRDefault="00B307DB" w:rsidP="00B307DB">
      <w:pPr>
        <w:pStyle w:val="PargrafodaLista"/>
        <w:tabs>
          <w:tab w:val="left" w:pos="567"/>
          <w:tab w:val="left" w:pos="709"/>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VIII -</w:t>
      </w:r>
      <w:r>
        <w:rPr>
          <w:rFonts w:ascii="Times New Roman" w:eastAsia="Times New Roman" w:hAnsi="Times New Roman" w:cs="Times New Roman"/>
        </w:rPr>
        <w:t xml:space="preserve"> </w:t>
      </w:r>
      <w:r w:rsidRPr="00D84571">
        <w:rPr>
          <w:rFonts w:ascii="Times New Roman" w:eastAsia="Times New Roman" w:hAnsi="Times New Roman" w:cs="Times New Roman"/>
        </w:rPr>
        <w:t>Seguir o Edital quanto às regras relativas à fiscalização;</w:t>
      </w:r>
    </w:p>
    <w:p w14:paraId="18CEEEA4" w14:textId="77777777" w:rsidR="00B307DB" w:rsidRPr="00D84571" w:rsidRDefault="00B307DB" w:rsidP="00B307DB">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IX -</w:t>
      </w:r>
      <w:r>
        <w:rPr>
          <w:rFonts w:ascii="Times New Roman" w:eastAsia="Times New Roman" w:hAnsi="Times New Roman" w:cs="Times New Roman"/>
        </w:rPr>
        <w:t xml:space="preserve"> </w:t>
      </w:r>
      <w:r w:rsidRPr="00D84571">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55A5D16F" w14:textId="77777777" w:rsidR="00B307DB" w:rsidRPr="00D84571" w:rsidRDefault="00B307DB" w:rsidP="00B307DB">
      <w:pPr>
        <w:pStyle w:val="PargrafodaLista"/>
        <w:tabs>
          <w:tab w:val="left" w:pos="567"/>
          <w:tab w:val="left" w:pos="993"/>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X -</w:t>
      </w:r>
      <w:r>
        <w:rPr>
          <w:rFonts w:ascii="Times New Roman" w:eastAsia="Times New Roman" w:hAnsi="Times New Roman" w:cs="Times New Roman"/>
        </w:rPr>
        <w:t xml:space="preserve"> </w:t>
      </w:r>
      <w:r w:rsidRPr="00D84571">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55607095" w14:textId="77777777" w:rsidR="00B307DB" w:rsidRPr="00D84571" w:rsidRDefault="00B307DB" w:rsidP="00B307DB">
      <w:pPr>
        <w:pStyle w:val="PargrafodaLista"/>
        <w:tabs>
          <w:tab w:val="left" w:pos="567"/>
          <w:tab w:val="left" w:pos="1134"/>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XI -</w:t>
      </w:r>
      <w:r>
        <w:rPr>
          <w:rFonts w:ascii="Times New Roman" w:eastAsia="Times New Roman" w:hAnsi="Times New Roman" w:cs="Times New Roman"/>
        </w:rPr>
        <w:t xml:space="preserve"> </w:t>
      </w:r>
      <w:r w:rsidRPr="00D84571">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6FCBD520" w14:textId="77777777" w:rsidR="00B307DB" w:rsidRPr="00D84571" w:rsidRDefault="00B307DB" w:rsidP="00B307DB">
      <w:pPr>
        <w:pStyle w:val="PargrafodaLista"/>
        <w:tabs>
          <w:tab w:val="left" w:pos="567"/>
          <w:tab w:val="left" w:pos="1276"/>
        </w:tabs>
        <w:spacing w:after="0" w:line="240" w:lineRule="auto"/>
        <w:ind w:left="567" w:right="-568"/>
        <w:jc w:val="both"/>
        <w:rPr>
          <w:rFonts w:ascii="Times New Roman" w:eastAsia="Times New Roman" w:hAnsi="Times New Roman" w:cs="Times New Roman"/>
        </w:rPr>
      </w:pPr>
      <w:r w:rsidRPr="00196EEF">
        <w:rPr>
          <w:rFonts w:ascii="Times New Roman" w:eastAsia="Times New Roman" w:hAnsi="Times New Roman" w:cs="Times New Roman"/>
          <w:b/>
        </w:rPr>
        <w:t>XII -</w:t>
      </w:r>
      <w:r>
        <w:rPr>
          <w:rFonts w:ascii="Times New Roman" w:eastAsia="Times New Roman" w:hAnsi="Times New Roman" w:cs="Times New Roman"/>
        </w:rPr>
        <w:t xml:space="preserve"> </w:t>
      </w:r>
      <w:r w:rsidRPr="00D84571">
        <w:rPr>
          <w:rFonts w:ascii="Times New Roman" w:eastAsia="Times New Roman" w:hAnsi="Times New Roman" w:cs="Times New Roman"/>
        </w:rPr>
        <w:t>Receber o objeto do contrato provisoriamente:</w:t>
      </w:r>
    </w:p>
    <w:p w14:paraId="79BC1406" w14:textId="77777777" w:rsidR="00B307DB" w:rsidRPr="00087F65" w:rsidRDefault="00B307DB" w:rsidP="00B307DB">
      <w:pPr>
        <w:tabs>
          <w:tab w:val="left" w:pos="284"/>
          <w:tab w:val="left" w:pos="993"/>
        </w:tabs>
        <w:spacing w:after="0" w:line="240" w:lineRule="auto"/>
        <w:ind w:left="1134" w:right="-568"/>
        <w:contextualSpacing/>
        <w:jc w:val="both"/>
        <w:rPr>
          <w:rFonts w:ascii="Times New Roman" w:eastAsia="Times New Roman" w:hAnsi="Times New Roman" w:cs="Times New Roman"/>
          <w:b/>
        </w:rPr>
      </w:pPr>
      <w:r w:rsidRPr="00087F65">
        <w:rPr>
          <w:rFonts w:ascii="Times New Roman" w:eastAsia="Times New Roman" w:hAnsi="Times New Roman" w:cs="Times New Roman"/>
          <w:b/>
        </w:rPr>
        <w:t xml:space="preserve">a) Obras e serviços: </w:t>
      </w:r>
      <w:r w:rsidRPr="00087F65">
        <w:rPr>
          <w:rFonts w:ascii="Times New Roman" w:eastAsia="Times New Roman" w:hAnsi="Times New Roman" w:cs="Times New Roman"/>
        </w:rPr>
        <w:t>mediante termo detalhado, quando verificado o cumprimento das exigências de caráter técnico;</w:t>
      </w:r>
    </w:p>
    <w:p w14:paraId="3F591D7F" w14:textId="77777777" w:rsidR="00B307DB" w:rsidRPr="00087F65" w:rsidRDefault="00B307DB" w:rsidP="00B307DB">
      <w:pPr>
        <w:pStyle w:val="PargrafodaLista"/>
        <w:tabs>
          <w:tab w:val="left" w:pos="426"/>
        </w:tabs>
        <w:spacing w:after="0" w:line="240" w:lineRule="auto"/>
        <w:ind w:left="1134" w:right="-568"/>
        <w:jc w:val="both"/>
        <w:rPr>
          <w:rFonts w:ascii="Times New Roman" w:eastAsia="Times New Roman" w:hAnsi="Times New Roman" w:cs="Times New Roman"/>
        </w:rPr>
      </w:pPr>
      <w:r w:rsidRPr="00087F65">
        <w:rPr>
          <w:rFonts w:ascii="Times New Roman" w:eastAsia="Times New Roman" w:hAnsi="Times New Roman" w:cs="Times New Roman"/>
          <w:b/>
        </w:rPr>
        <w:t>b) Compras</w:t>
      </w:r>
      <w:r w:rsidRPr="00087F65">
        <w:rPr>
          <w:rFonts w:ascii="Times New Roman" w:eastAsia="Times New Roman" w:hAnsi="Times New Roman" w:cs="Times New Roman"/>
        </w:rPr>
        <w:t>: com verificação posterior da conformidade do material com as exigências contratuais;</w:t>
      </w:r>
    </w:p>
    <w:p w14:paraId="58CD5997" w14:textId="77777777" w:rsidR="00B307DB" w:rsidRPr="00D84571" w:rsidRDefault="00B307DB" w:rsidP="00B307DB">
      <w:pPr>
        <w:tabs>
          <w:tab w:val="left" w:pos="709"/>
        </w:tabs>
        <w:spacing w:after="0" w:line="240" w:lineRule="auto"/>
        <w:ind w:left="567" w:right="-568"/>
        <w:contextualSpacing/>
        <w:jc w:val="both"/>
        <w:rPr>
          <w:rFonts w:ascii="Times New Roman" w:eastAsia="Times New Roman" w:hAnsi="Times New Roman" w:cs="Times New Roman"/>
        </w:rPr>
      </w:pPr>
      <w:r w:rsidRPr="00D84571">
        <w:rPr>
          <w:rFonts w:ascii="Times New Roman" w:eastAsia="Times New Roman" w:hAnsi="Times New Roman" w:cs="Times New Roman"/>
          <w:b/>
        </w:rPr>
        <w:t xml:space="preserve">XIII </w:t>
      </w:r>
      <w:r w:rsidRPr="00D84571">
        <w:rPr>
          <w:rFonts w:ascii="Times New Roman" w:eastAsia="Times New Roman" w:hAnsi="Times New Roman" w:cs="Times New Roman"/>
        </w:rPr>
        <w:t xml:space="preserve">- </w:t>
      </w:r>
      <w:r w:rsidRPr="00D84571">
        <w:rPr>
          <w:rFonts w:ascii="Times New Roman" w:eastAsia="Times New Roman" w:hAnsi="Times New Roman" w:cs="Times New Roman"/>
          <w:bCs/>
        </w:rPr>
        <w:t>Todos</w:t>
      </w:r>
      <w:r w:rsidRPr="00D84571">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58F2E87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hAnsi="Times New Roman" w:cs="Times New Roman"/>
          <w:iCs/>
          <w:color w:val="FF0000"/>
        </w:rPr>
      </w:pPr>
    </w:p>
    <w:p w14:paraId="79CE2687"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19 RECEBIMENTO DO OBJETO</w:t>
      </w:r>
    </w:p>
    <w:p w14:paraId="74A8F370" w14:textId="77777777" w:rsidR="00B307DB" w:rsidRPr="00456294" w:rsidRDefault="00B307DB" w:rsidP="00B307DB">
      <w:pPr>
        <w:spacing w:after="0" w:line="240" w:lineRule="auto"/>
        <w:ind w:right="-568"/>
        <w:jc w:val="both"/>
        <w:rPr>
          <w:rFonts w:ascii="Times New Roman" w:eastAsia="Times New Roman" w:hAnsi="Times New Roman" w:cs="Times New Roman"/>
          <w:iCs/>
          <w:lang w:eastAsia="pt-BR"/>
        </w:rPr>
      </w:pPr>
      <w:r w:rsidRPr="00456294">
        <w:rPr>
          <w:rFonts w:ascii="Times New Roman" w:eastAsia="Times New Roman" w:hAnsi="Times New Roman" w:cs="Times New Roman"/>
          <w:b/>
          <w:iCs/>
          <w:lang w:eastAsia="pt-BR"/>
        </w:rPr>
        <w:t>19.1</w:t>
      </w:r>
      <w:r>
        <w:rPr>
          <w:rFonts w:ascii="Times New Roman" w:eastAsia="Times New Roman" w:hAnsi="Times New Roman" w:cs="Times New Roman"/>
          <w:iCs/>
          <w:lang w:eastAsia="pt-BR"/>
        </w:rPr>
        <w:t xml:space="preserve"> </w:t>
      </w:r>
      <w:r w:rsidRPr="00456294">
        <w:rPr>
          <w:rFonts w:ascii="Times New Roman" w:eastAsia="Times New Roman" w:hAnsi="Times New Roman" w:cs="Times New Roman"/>
          <w:iCs/>
          <w:lang w:eastAsia="pt-BR"/>
        </w:rPr>
        <w:t>O objeto será recebido (</w:t>
      </w:r>
      <w:hyperlink r:id="rId190" w:anchor="art140i" w:history="1">
        <w:r w:rsidRPr="00456294">
          <w:rPr>
            <w:rStyle w:val="Hyperlink"/>
            <w:rFonts w:ascii="Times New Roman" w:eastAsia="Times New Roman" w:hAnsi="Times New Roman" w:cs="Times New Roman"/>
            <w:iCs/>
            <w:lang w:eastAsia="pt-BR"/>
          </w:rPr>
          <w:t>art. 140, I da Lei nº 14.133/2021</w:t>
        </w:r>
      </w:hyperlink>
      <w:r w:rsidRPr="00456294">
        <w:rPr>
          <w:rFonts w:ascii="Times New Roman" w:eastAsia="Times New Roman" w:hAnsi="Times New Roman" w:cs="Times New Roman"/>
          <w:iCs/>
          <w:lang w:eastAsia="pt-BR"/>
        </w:rPr>
        <w:t>):</w:t>
      </w:r>
    </w:p>
    <w:p w14:paraId="10900D32" w14:textId="77777777" w:rsidR="00B307DB" w:rsidRPr="00D84571" w:rsidRDefault="00B307DB" w:rsidP="00B307DB">
      <w:pPr>
        <w:pStyle w:val="PargrafodaLista"/>
        <w:widowControl w:val="0"/>
        <w:tabs>
          <w:tab w:val="left" w:pos="284"/>
          <w:tab w:val="left" w:pos="993"/>
        </w:tabs>
        <w:adjustRightInd w:val="0"/>
        <w:spacing w:after="0" w:line="240" w:lineRule="auto"/>
        <w:ind w:left="567" w:right="-568"/>
        <w:contextualSpacing w:val="0"/>
        <w:jc w:val="both"/>
        <w:textAlignment w:val="baseline"/>
        <w:rPr>
          <w:rFonts w:ascii="Times New Roman" w:eastAsia="Times New Roman" w:hAnsi="Times New Roman" w:cs="Times New Roman"/>
          <w:iCs/>
          <w:lang w:eastAsia="pt-BR"/>
        </w:rPr>
      </w:pPr>
      <w:r w:rsidRPr="00E73A64">
        <w:rPr>
          <w:rFonts w:ascii="Times New Roman" w:eastAsia="Times New Roman" w:hAnsi="Times New Roman" w:cs="Times New Roman"/>
          <w:b/>
          <w:iCs/>
          <w:lang w:eastAsia="pt-BR"/>
        </w:rPr>
        <w:t>I -</w:t>
      </w:r>
      <w:r>
        <w:rPr>
          <w:rFonts w:ascii="Times New Roman" w:eastAsia="Times New Roman" w:hAnsi="Times New Roman" w:cs="Times New Roman"/>
          <w:iCs/>
          <w:lang w:eastAsia="pt-BR"/>
        </w:rPr>
        <w:t xml:space="preserve"> </w:t>
      </w:r>
      <w:r w:rsidRPr="00D84571">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0156F43C" w14:textId="77777777" w:rsidR="00B307DB" w:rsidRPr="00D84571"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eastAsia="Times New Roman" w:hAnsi="Times New Roman" w:cs="Times New Roman"/>
          <w:iCs/>
          <w:lang w:eastAsia="pt-BR"/>
        </w:rPr>
      </w:pPr>
      <w:r w:rsidRPr="00E73A64">
        <w:rPr>
          <w:rFonts w:ascii="Times New Roman" w:eastAsia="Times New Roman" w:hAnsi="Times New Roman" w:cs="Times New Roman"/>
          <w:b/>
          <w:iCs/>
          <w:lang w:eastAsia="pt-BR"/>
        </w:rPr>
        <w:t>II -</w:t>
      </w:r>
      <w:r>
        <w:rPr>
          <w:rFonts w:ascii="Times New Roman" w:eastAsia="Times New Roman" w:hAnsi="Times New Roman" w:cs="Times New Roman"/>
          <w:iCs/>
          <w:lang w:eastAsia="pt-BR"/>
        </w:rPr>
        <w:t xml:space="preserve"> </w:t>
      </w:r>
      <w:r w:rsidRPr="00D84571">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7FE456B1"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19.2</w:t>
      </w:r>
      <w:r w:rsidRPr="00D84571">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91" w:anchor="art140%C2%A71" w:history="1">
        <w:r w:rsidRPr="00D84571">
          <w:rPr>
            <w:rStyle w:val="Hyperlink"/>
            <w:rFonts w:ascii="Times New Roman" w:eastAsia="Times New Roman" w:hAnsi="Times New Roman" w:cs="Times New Roman"/>
            <w:iCs/>
            <w:lang w:eastAsia="pt-BR"/>
          </w:rPr>
          <w:t>art. 140, § 1º da Lei nº 14.133/2021</w:t>
        </w:r>
      </w:hyperlink>
      <w:r w:rsidRPr="00D84571">
        <w:rPr>
          <w:rFonts w:ascii="Times New Roman" w:eastAsia="Times New Roman" w:hAnsi="Times New Roman" w:cs="Times New Roman"/>
          <w:iCs/>
          <w:lang w:eastAsia="pt-BR"/>
        </w:rPr>
        <w:t>).</w:t>
      </w:r>
    </w:p>
    <w:p w14:paraId="75DECDA4"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19.3</w:t>
      </w:r>
      <w:r w:rsidRPr="00D84571">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w:t>
      </w:r>
      <w:r w:rsidRPr="00D84571">
        <w:rPr>
          <w:rFonts w:ascii="Times New Roman" w:eastAsia="Times New Roman" w:hAnsi="Times New Roman" w:cs="Times New Roman"/>
          <w:iCs/>
          <w:lang w:eastAsia="pt-BR"/>
        </w:rPr>
        <w:lastRenderedPageBreak/>
        <w:t>limites estabelecidos pela lei e neste edital (</w:t>
      </w:r>
      <w:hyperlink r:id="rId192" w:anchor="art140%C2%A72" w:history="1">
        <w:r w:rsidRPr="00D84571">
          <w:rPr>
            <w:rStyle w:val="Hyperlink"/>
            <w:rFonts w:ascii="Times New Roman" w:eastAsia="Times New Roman" w:hAnsi="Times New Roman" w:cs="Times New Roman"/>
            <w:iCs/>
            <w:lang w:eastAsia="pt-BR"/>
          </w:rPr>
          <w:t>art. 140, § 2º da Lei nº 14.133/2021</w:t>
        </w:r>
      </w:hyperlink>
      <w:r w:rsidRPr="00D84571">
        <w:rPr>
          <w:rFonts w:ascii="Times New Roman" w:eastAsia="Times New Roman" w:hAnsi="Times New Roman" w:cs="Times New Roman"/>
          <w:iCs/>
          <w:lang w:eastAsia="pt-BR"/>
        </w:rPr>
        <w:t>).</w:t>
      </w:r>
    </w:p>
    <w:p w14:paraId="7F84165E" w14:textId="77777777" w:rsidR="00B307DB" w:rsidRPr="00D84571" w:rsidRDefault="00B307DB" w:rsidP="00B307DB">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19.4</w:t>
      </w:r>
      <w:r w:rsidRPr="00D84571">
        <w:rPr>
          <w:rFonts w:ascii="Times New Roman" w:eastAsia="Times New Roman" w:hAnsi="Times New Roman" w:cs="Times New Roman"/>
          <w:iCs/>
          <w:lang w:eastAsia="pt-BR"/>
        </w:rPr>
        <w:t xml:space="preserve"> Os prazos e os métodos para a realização dos recebimentos provisório e definitivo serão, conforme Decreto municipal nº 4859/2023 (</w:t>
      </w:r>
      <w:hyperlink r:id="rId193" w:anchor="art140%C2%A73" w:history="1">
        <w:r w:rsidRPr="00D84571">
          <w:rPr>
            <w:rStyle w:val="Hyperlink"/>
            <w:rFonts w:ascii="Times New Roman" w:eastAsia="Times New Roman" w:hAnsi="Times New Roman" w:cs="Times New Roman"/>
            <w:iCs/>
            <w:lang w:eastAsia="pt-BR"/>
          </w:rPr>
          <w:t>art. 140, § 3º da Lei nº 14.133/2021</w:t>
        </w:r>
      </w:hyperlink>
      <w:r w:rsidRPr="00D84571">
        <w:rPr>
          <w:rFonts w:ascii="Times New Roman" w:eastAsia="Times New Roman" w:hAnsi="Times New Roman" w:cs="Times New Roman"/>
          <w:iCs/>
          <w:lang w:eastAsia="pt-BR"/>
        </w:rPr>
        <w:t>):</w:t>
      </w:r>
    </w:p>
    <w:p w14:paraId="095B15DA" w14:textId="77777777" w:rsidR="00B307DB" w:rsidRPr="00D84571" w:rsidRDefault="00B307DB" w:rsidP="00B307DB">
      <w:pPr>
        <w:tabs>
          <w:tab w:val="left" w:pos="567"/>
        </w:tabs>
        <w:spacing w:after="0" w:line="240" w:lineRule="auto"/>
        <w:ind w:right="-568"/>
        <w:jc w:val="both"/>
        <w:rPr>
          <w:rFonts w:ascii="Times New Roman" w:eastAsia="Times New Roman" w:hAnsi="Times New Roman" w:cs="Times New Roman"/>
          <w:b/>
        </w:rPr>
      </w:pPr>
      <w:r w:rsidRPr="00D84571">
        <w:rPr>
          <w:rFonts w:ascii="Times New Roman" w:eastAsia="Times New Roman" w:hAnsi="Times New Roman" w:cs="Times New Roman"/>
          <w:b/>
        </w:rPr>
        <w:t>19.5</w:t>
      </w:r>
      <w:r w:rsidRPr="00D84571">
        <w:rPr>
          <w:rFonts w:ascii="Times New Roman" w:eastAsia="Times New Roman" w:hAnsi="Times New Roman" w:cs="Times New Roman"/>
        </w:rPr>
        <w:t xml:space="preserve"> Os recebimentos provisórios e definitivos deverão conter no mínimo as seguinte informações:</w:t>
      </w:r>
    </w:p>
    <w:p w14:paraId="06620FDC" w14:textId="77777777" w:rsidR="00B307DB" w:rsidRPr="00D84571" w:rsidRDefault="00B307DB" w:rsidP="00B307DB">
      <w:pPr>
        <w:tabs>
          <w:tab w:val="left" w:pos="284"/>
          <w:tab w:val="left" w:pos="993"/>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t xml:space="preserve">I - </w:t>
      </w:r>
      <w:r w:rsidRPr="00D84571">
        <w:rPr>
          <w:rFonts w:ascii="Times New Roman" w:eastAsia="Times New Roman" w:hAnsi="Times New Roman" w:cs="Times New Roman"/>
          <w:b/>
        </w:rPr>
        <w:t>Provisório:</w:t>
      </w:r>
      <w:r w:rsidRPr="00D84571">
        <w:rPr>
          <w:rFonts w:ascii="Times New Roman" w:eastAsia="Times New Roman" w:hAnsi="Times New Roman" w:cs="Times New Roman"/>
        </w:rPr>
        <w:t xml:space="preserve"> </w:t>
      </w:r>
    </w:p>
    <w:p w14:paraId="7B071F38" w14:textId="77777777" w:rsidR="00B307DB" w:rsidRDefault="00B307DB" w:rsidP="00A80083">
      <w:pPr>
        <w:pStyle w:val="PargrafodaLista"/>
        <w:numPr>
          <w:ilvl w:val="0"/>
          <w:numId w:val="256"/>
        </w:numPr>
        <w:tabs>
          <w:tab w:val="left" w:pos="567"/>
          <w:tab w:val="left" w:pos="1418"/>
        </w:tabs>
        <w:spacing w:after="0" w:line="240" w:lineRule="auto"/>
        <w:jc w:val="both"/>
        <w:rPr>
          <w:rFonts w:ascii="Times New Roman" w:eastAsia="Times New Roman" w:hAnsi="Times New Roman" w:cs="Times New Roman"/>
        </w:rPr>
      </w:pPr>
      <w:r w:rsidRPr="00456294">
        <w:rPr>
          <w:rFonts w:ascii="Times New Roman" w:eastAsia="Times New Roman" w:hAnsi="Times New Roman" w:cs="Times New Roman"/>
        </w:rPr>
        <w:t>Número do processo de contratação;</w:t>
      </w:r>
    </w:p>
    <w:p w14:paraId="5B459F4D" w14:textId="77777777" w:rsidR="00B307DB" w:rsidRDefault="00B307DB" w:rsidP="00A80083">
      <w:pPr>
        <w:pStyle w:val="PargrafodaLista"/>
        <w:numPr>
          <w:ilvl w:val="0"/>
          <w:numId w:val="256"/>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O serviço executado é o serviço que foi contratado;</w:t>
      </w:r>
    </w:p>
    <w:p w14:paraId="18FD45D6" w14:textId="77777777" w:rsidR="00B307DB" w:rsidRDefault="00B307DB" w:rsidP="00A80083">
      <w:pPr>
        <w:pStyle w:val="PargrafodaLista"/>
        <w:numPr>
          <w:ilvl w:val="0"/>
          <w:numId w:val="256"/>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Execução no prazo e forma contratados;</w:t>
      </w:r>
    </w:p>
    <w:p w14:paraId="476CD5B1" w14:textId="77777777" w:rsidR="00B307DB" w:rsidRDefault="00B307DB" w:rsidP="00A80083">
      <w:pPr>
        <w:pStyle w:val="PargrafodaLista"/>
        <w:numPr>
          <w:ilvl w:val="0"/>
          <w:numId w:val="256"/>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O serviço cumpre as exigências de caráter técnico;</w:t>
      </w:r>
    </w:p>
    <w:p w14:paraId="354ED4EC" w14:textId="77777777" w:rsidR="00B307DB" w:rsidRDefault="00B307DB" w:rsidP="00A80083">
      <w:pPr>
        <w:pStyle w:val="PargrafodaLista"/>
        <w:numPr>
          <w:ilvl w:val="0"/>
          <w:numId w:val="256"/>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Nome e assinatura de quem recebeu;</w:t>
      </w:r>
    </w:p>
    <w:p w14:paraId="2C4B319C" w14:textId="77777777" w:rsidR="00B307DB" w:rsidRDefault="00B307DB" w:rsidP="00A80083">
      <w:pPr>
        <w:pStyle w:val="PargrafodaLista"/>
        <w:numPr>
          <w:ilvl w:val="0"/>
          <w:numId w:val="256"/>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Data do recebimento;</w:t>
      </w:r>
    </w:p>
    <w:p w14:paraId="5BBAF946" w14:textId="77777777" w:rsidR="00B307DB" w:rsidRPr="00456294" w:rsidRDefault="00B307DB" w:rsidP="00A80083">
      <w:pPr>
        <w:pStyle w:val="PargrafodaLista"/>
        <w:numPr>
          <w:ilvl w:val="0"/>
          <w:numId w:val="256"/>
        </w:numPr>
        <w:tabs>
          <w:tab w:val="left" w:pos="567"/>
          <w:tab w:val="left" w:pos="1418"/>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 xml:space="preserve">Informação de que o pagamento está condicionado ao recebimento </w:t>
      </w:r>
      <w:r w:rsidRPr="00456294">
        <w:rPr>
          <w:rFonts w:ascii="Times New Roman" w:eastAsia="Times New Roman" w:hAnsi="Times New Roman" w:cs="Times New Roman"/>
          <w:b/>
        </w:rPr>
        <w:t>definitivo</w:t>
      </w:r>
      <w:r w:rsidRPr="00456294">
        <w:rPr>
          <w:rFonts w:ascii="Times New Roman" w:eastAsia="Times New Roman" w:hAnsi="Times New Roman" w:cs="Times New Roman"/>
        </w:rPr>
        <w:t>.</w:t>
      </w:r>
    </w:p>
    <w:p w14:paraId="2EF9D6D6" w14:textId="77777777" w:rsidR="00B307DB" w:rsidRPr="00D84571" w:rsidRDefault="00B307DB" w:rsidP="00B307DB">
      <w:pPr>
        <w:tabs>
          <w:tab w:val="left" w:pos="426"/>
          <w:tab w:val="left" w:pos="993"/>
        </w:tabs>
        <w:spacing w:after="0" w:line="240" w:lineRule="auto"/>
        <w:ind w:left="567"/>
        <w:contextualSpacing/>
        <w:jc w:val="both"/>
        <w:rPr>
          <w:rFonts w:ascii="Times New Roman" w:eastAsia="Times New Roman" w:hAnsi="Times New Roman" w:cs="Times New Roman"/>
        </w:rPr>
      </w:pPr>
      <w:r>
        <w:rPr>
          <w:rFonts w:ascii="Times New Roman" w:eastAsia="Times New Roman" w:hAnsi="Times New Roman" w:cs="Times New Roman"/>
          <w:b/>
        </w:rPr>
        <w:t xml:space="preserve">II - </w:t>
      </w:r>
      <w:r w:rsidRPr="00D84571">
        <w:rPr>
          <w:rFonts w:ascii="Times New Roman" w:eastAsia="Times New Roman" w:hAnsi="Times New Roman" w:cs="Times New Roman"/>
          <w:b/>
        </w:rPr>
        <w:t>Definitivo:</w:t>
      </w:r>
    </w:p>
    <w:p w14:paraId="41B39281" w14:textId="77777777" w:rsidR="00B307DB" w:rsidRPr="00456294" w:rsidRDefault="00B307DB" w:rsidP="00A80083">
      <w:pPr>
        <w:pStyle w:val="PargrafodaLista"/>
        <w:numPr>
          <w:ilvl w:val="0"/>
          <w:numId w:val="257"/>
        </w:numPr>
        <w:tabs>
          <w:tab w:val="left" w:pos="567"/>
        </w:tabs>
        <w:spacing w:after="0" w:line="240" w:lineRule="auto"/>
        <w:jc w:val="both"/>
        <w:rPr>
          <w:rFonts w:ascii="Times New Roman" w:eastAsia="Times New Roman" w:hAnsi="Times New Roman" w:cs="Times New Roman"/>
        </w:rPr>
      </w:pPr>
      <w:r w:rsidRPr="00456294">
        <w:rPr>
          <w:rFonts w:ascii="Times New Roman" w:eastAsia="Times New Roman" w:hAnsi="Times New Roman" w:cs="Times New Roman"/>
        </w:rPr>
        <w:t>Número do processo de contratação;</w:t>
      </w:r>
    </w:p>
    <w:p w14:paraId="210832A3" w14:textId="77777777" w:rsidR="00B307DB" w:rsidRPr="00456294" w:rsidRDefault="00B307DB" w:rsidP="00A80083">
      <w:pPr>
        <w:pStyle w:val="PargrafodaLista"/>
        <w:numPr>
          <w:ilvl w:val="0"/>
          <w:numId w:val="257"/>
        </w:numPr>
        <w:tabs>
          <w:tab w:val="left" w:pos="567"/>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O serviço executado é o serviço que foi contratado;</w:t>
      </w:r>
    </w:p>
    <w:p w14:paraId="528B4D89" w14:textId="77777777" w:rsidR="00B307DB" w:rsidRPr="00456294" w:rsidRDefault="00B307DB" w:rsidP="00A80083">
      <w:pPr>
        <w:pStyle w:val="PargrafodaLista"/>
        <w:numPr>
          <w:ilvl w:val="0"/>
          <w:numId w:val="257"/>
        </w:numPr>
        <w:tabs>
          <w:tab w:val="left" w:pos="567"/>
        </w:tabs>
        <w:spacing w:after="0" w:line="240" w:lineRule="auto"/>
        <w:ind w:left="1134" w:firstLine="0"/>
        <w:jc w:val="both"/>
        <w:rPr>
          <w:rFonts w:ascii="Times New Roman" w:eastAsia="Times New Roman" w:hAnsi="Times New Roman" w:cs="Times New Roman"/>
        </w:rPr>
      </w:pPr>
      <w:r w:rsidRPr="00456294">
        <w:rPr>
          <w:rFonts w:ascii="Times New Roman" w:eastAsia="Times New Roman" w:hAnsi="Times New Roman" w:cs="Times New Roman"/>
        </w:rPr>
        <w:t>Execução no prazo e forma contratados;</w:t>
      </w:r>
    </w:p>
    <w:p w14:paraId="452A750F" w14:textId="77777777" w:rsidR="00B307DB" w:rsidRPr="00D84571" w:rsidRDefault="00B307DB" w:rsidP="00B307DB">
      <w:pPr>
        <w:tabs>
          <w:tab w:val="left" w:pos="567"/>
        </w:tabs>
        <w:spacing w:after="0" w:line="240" w:lineRule="auto"/>
        <w:ind w:left="1134"/>
        <w:contextualSpacing/>
        <w:jc w:val="both"/>
        <w:rPr>
          <w:rFonts w:ascii="Times New Roman" w:eastAsia="Times New Roman" w:hAnsi="Times New Roman" w:cs="Times New Roman"/>
        </w:rPr>
      </w:pPr>
      <w:r w:rsidRPr="00456294">
        <w:rPr>
          <w:rFonts w:ascii="Times New Roman" w:eastAsia="Times New Roman" w:hAnsi="Times New Roman" w:cs="Times New Roman"/>
          <w:b/>
        </w:rPr>
        <w:t>d)</w:t>
      </w:r>
      <w:r>
        <w:rPr>
          <w:rFonts w:ascii="Times New Roman" w:eastAsia="Times New Roman" w:hAnsi="Times New Roman" w:cs="Times New Roman"/>
        </w:rPr>
        <w:t xml:space="preserve"> </w:t>
      </w:r>
      <w:r w:rsidRPr="00D84571">
        <w:rPr>
          <w:rFonts w:ascii="Times New Roman" w:eastAsia="Times New Roman" w:hAnsi="Times New Roman" w:cs="Times New Roman"/>
        </w:rPr>
        <w:t>O serviço cumpre as exigências de caráter técnico;</w:t>
      </w:r>
    </w:p>
    <w:p w14:paraId="08D996B2" w14:textId="77777777" w:rsidR="00B307DB" w:rsidRDefault="00B307DB" w:rsidP="00B307DB">
      <w:pPr>
        <w:tabs>
          <w:tab w:val="left" w:pos="567"/>
        </w:tabs>
        <w:spacing w:after="0" w:line="240" w:lineRule="auto"/>
        <w:ind w:left="1134"/>
        <w:contextualSpacing/>
        <w:jc w:val="both"/>
        <w:rPr>
          <w:rFonts w:ascii="Times New Roman" w:eastAsia="Times New Roman" w:hAnsi="Times New Roman" w:cs="Times New Roman"/>
        </w:rPr>
      </w:pPr>
      <w:r w:rsidRPr="00456294">
        <w:rPr>
          <w:rFonts w:ascii="Times New Roman" w:eastAsia="Times New Roman" w:hAnsi="Times New Roman" w:cs="Times New Roman"/>
          <w:b/>
        </w:rPr>
        <w:t>e)</w:t>
      </w:r>
      <w:r>
        <w:rPr>
          <w:rFonts w:ascii="Times New Roman" w:eastAsia="Times New Roman" w:hAnsi="Times New Roman" w:cs="Times New Roman"/>
        </w:rPr>
        <w:t xml:space="preserve"> </w:t>
      </w:r>
      <w:r w:rsidRPr="00D84571">
        <w:rPr>
          <w:rFonts w:ascii="Times New Roman" w:eastAsia="Times New Roman" w:hAnsi="Times New Roman" w:cs="Times New Roman"/>
        </w:rPr>
        <w:t xml:space="preserve"> serviço atende as exigências contratuais, incluindo as habilitatórias;</w:t>
      </w:r>
    </w:p>
    <w:p w14:paraId="1E76E0C4" w14:textId="77777777" w:rsidR="00B307DB" w:rsidRDefault="00B307DB" w:rsidP="00B307DB">
      <w:pPr>
        <w:tabs>
          <w:tab w:val="left" w:pos="567"/>
        </w:tabs>
        <w:spacing w:after="0" w:line="240" w:lineRule="auto"/>
        <w:ind w:left="1134"/>
        <w:contextualSpacing/>
        <w:jc w:val="both"/>
        <w:rPr>
          <w:rFonts w:ascii="Times New Roman" w:eastAsia="Times New Roman" w:hAnsi="Times New Roman" w:cs="Times New Roman"/>
        </w:rPr>
      </w:pPr>
      <w:r w:rsidRPr="00CE0E5A">
        <w:rPr>
          <w:rFonts w:ascii="Times New Roman" w:eastAsia="Times New Roman" w:hAnsi="Times New Roman" w:cs="Times New Roman"/>
          <w:b/>
        </w:rPr>
        <w:t>f)</w:t>
      </w:r>
      <w:r>
        <w:t xml:space="preserve"> </w:t>
      </w:r>
      <w:r w:rsidRPr="00456294">
        <w:rPr>
          <w:rFonts w:ascii="Times New Roman" w:eastAsia="Times New Roman" w:hAnsi="Times New Roman" w:cs="Times New Roman"/>
        </w:rPr>
        <w:t>Nome e assinatura de quem recebeu;</w:t>
      </w:r>
    </w:p>
    <w:p w14:paraId="51997839" w14:textId="77777777" w:rsidR="00B307DB" w:rsidRPr="00D84571" w:rsidRDefault="00B307DB" w:rsidP="00B307DB">
      <w:pPr>
        <w:tabs>
          <w:tab w:val="left" w:pos="567"/>
        </w:tabs>
        <w:spacing w:after="0" w:line="240" w:lineRule="auto"/>
        <w:ind w:left="1134"/>
        <w:contextualSpacing/>
        <w:jc w:val="both"/>
        <w:rPr>
          <w:rFonts w:ascii="Times New Roman" w:eastAsia="Times New Roman" w:hAnsi="Times New Roman" w:cs="Times New Roman"/>
        </w:rPr>
      </w:pPr>
      <w:r w:rsidRPr="00456294">
        <w:rPr>
          <w:rFonts w:ascii="Times New Roman" w:eastAsia="Times New Roman" w:hAnsi="Times New Roman" w:cs="Times New Roman"/>
          <w:b/>
        </w:rPr>
        <w:t>g)</w:t>
      </w:r>
      <w:r>
        <w:rPr>
          <w:rFonts w:ascii="Times New Roman" w:eastAsia="Times New Roman" w:hAnsi="Times New Roman" w:cs="Times New Roman"/>
        </w:rPr>
        <w:t xml:space="preserve"> </w:t>
      </w:r>
      <w:r w:rsidRPr="00D84571">
        <w:rPr>
          <w:rFonts w:ascii="Times New Roman" w:eastAsia="Times New Roman" w:hAnsi="Times New Roman" w:cs="Times New Roman"/>
        </w:rPr>
        <w:t>Data do recebimento.</w:t>
      </w:r>
    </w:p>
    <w:p w14:paraId="07A60551" w14:textId="77777777" w:rsidR="00B307DB" w:rsidRPr="00D84571" w:rsidRDefault="00B307DB" w:rsidP="00B307DB">
      <w:pPr>
        <w:spacing w:after="0" w:line="240" w:lineRule="auto"/>
        <w:ind w:right="-568"/>
        <w:jc w:val="both"/>
        <w:rPr>
          <w:rFonts w:ascii="Times New Roman" w:eastAsia="Times New Roman" w:hAnsi="Times New Roman" w:cs="Times New Roman"/>
          <w:iCs/>
          <w:lang w:eastAsia="pt-BR"/>
        </w:rPr>
      </w:pPr>
      <w:r w:rsidRPr="00D84571">
        <w:rPr>
          <w:rFonts w:ascii="Times New Roman" w:eastAsia="Times New Roman" w:hAnsi="Times New Roman" w:cs="Times New Roman"/>
          <w:b/>
          <w:iCs/>
          <w:lang w:eastAsia="pt-BR"/>
        </w:rPr>
        <w:t>19.6</w:t>
      </w:r>
      <w:r w:rsidRPr="00D84571">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4" w:anchor="art140%C2%A74" w:history="1">
        <w:r w:rsidRPr="00D84571">
          <w:rPr>
            <w:rStyle w:val="Hyperlink"/>
            <w:rFonts w:ascii="Times New Roman" w:eastAsia="Times New Roman" w:hAnsi="Times New Roman" w:cs="Times New Roman"/>
            <w:iCs/>
            <w:lang w:eastAsia="pt-BR"/>
          </w:rPr>
          <w:t>art. 140, § 4º da Lei nº 14.133/2021</w:t>
        </w:r>
      </w:hyperlink>
      <w:r w:rsidRPr="00D84571">
        <w:rPr>
          <w:rFonts w:ascii="Times New Roman" w:eastAsia="Times New Roman" w:hAnsi="Times New Roman" w:cs="Times New Roman"/>
          <w:iCs/>
          <w:lang w:eastAsia="pt-BR"/>
        </w:rPr>
        <w:t>).</w:t>
      </w:r>
    </w:p>
    <w:p w14:paraId="0726A96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13D9800" w14:textId="77777777" w:rsidR="00B307DB" w:rsidRPr="00D84571" w:rsidRDefault="00B307DB" w:rsidP="00B307DB">
      <w:pPr>
        <w:pStyle w:val="Ttulo1"/>
        <w:shd w:val="clear" w:color="auto" w:fill="BFBFBF" w:themeFill="background1" w:themeFillShade="BF"/>
        <w:tabs>
          <w:tab w:val="left" w:pos="3932"/>
          <w:tab w:val="left" w:pos="7263"/>
        </w:tabs>
        <w:spacing w:before="0" w:line="240" w:lineRule="auto"/>
        <w:ind w:right="-568"/>
        <w:rPr>
          <w:rFonts w:ascii="Times New Roman" w:hAnsi="Times New Roman" w:cs="Times New Roman"/>
          <w:sz w:val="22"/>
          <w:szCs w:val="22"/>
        </w:rPr>
      </w:pPr>
      <w:r w:rsidRPr="003C47CC">
        <w:rPr>
          <w:rFonts w:ascii="Times New Roman" w:hAnsi="Times New Roman" w:cs="Times New Roman"/>
          <w:sz w:val="22"/>
          <w:szCs w:val="22"/>
          <w:shd w:val="clear" w:color="auto" w:fill="BFBFBF" w:themeFill="background1" w:themeFillShade="BF"/>
        </w:rPr>
        <w:t>20 PAGAMENTO</w:t>
      </w:r>
      <w:r w:rsidRPr="003C47CC">
        <w:rPr>
          <w:rFonts w:ascii="Times New Roman" w:hAnsi="Times New Roman" w:cs="Times New Roman"/>
          <w:sz w:val="22"/>
          <w:szCs w:val="22"/>
          <w:shd w:val="clear" w:color="auto" w:fill="BFBFBF" w:themeFill="background1" w:themeFillShade="BF"/>
        </w:rPr>
        <w:tab/>
      </w:r>
      <w:r w:rsidRPr="003C47CC">
        <w:rPr>
          <w:rFonts w:ascii="Times New Roman" w:hAnsi="Times New Roman" w:cs="Times New Roman"/>
          <w:sz w:val="22"/>
          <w:szCs w:val="22"/>
          <w:shd w:val="clear" w:color="auto" w:fill="BFBFBF" w:themeFill="background1" w:themeFillShade="BF"/>
        </w:rPr>
        <w:tab/>
      </w:r>
    </w:p>
    <w:p w14:paraId="62FD320E"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20.1</w:t>
      </w:r>
      <w:r w:rsidRPr="00D84571">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95" w:anchor="art141" w:history="1">
        <w:r w:rsidRPr="00D84571">
          <w:rPr>
            <w:rStyle w:val="Hyperlink"/>
            <w:rFonts w:ascii="Times New Roman" w:hAnsi="Times New Roman" w:cs="Times New Roman"/>
          </w:rPr>
          <w:t xml:space="preserve">art. 141,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26763F3E" w14:textId="77777777" w:rsidR="00B307DB" w:rsidRPr="00D84571" w:rsidRDefault="00B307DB" w:rsidP="00B307DB">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Fornecimento de bens;</w:t>
      </w:r>
    </w:p>
    <w:p w14:paraId="2165068A" w14:textId="77777777" w:rsidR="00B307DB" w:rsidRPr="00D84571" w:rsidRDefault="00B307DB" w:rsidP="00B307DB">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Locações;</w:t>
      </w:r>
    </w:p>
    <w:p w14:paraId="3BB8ADE1" w14:textId="77777777" w:rsidR="00B307DB" w:rsidRPr="00D84571" w:rsidRDefault="00B307DB" w:rsidP="00B307DB">
      <w:pPr>
        <w:pStyle w:val="PargrafodaLista"/>
        <w:tabs>
          <w:tab w:val="left" w:pos="284"/>
          <w:tab w:val="left" w:pos="567"/>
          <w:tab w:val="left" w:pos="993"/>
          <w:tab w:val="left" w:pos="1134"/>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Prestação de serviços;</w:t>
      </w:r>
    </w:p>
    <w:p w14:paraId="36F37119" w14:textId="77777777" w:rsidR="00B307DB" w:rsidRPr="00D84571" w:rsidRDefault="00B307DB" w:rsidP="00B307DB">
      <w:pPr>
        <w:pStyle w:val="PargrafodaLista"/>
        <w:tabs>
          <w:tab w:val="left" w:pos="284"/>
          <w:tab w:val="left" w:pos="567"/>
          <w:tab w:val="left" w:pos="993"/>
          <w:tab w:val="left" w:pos="1134"/>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Realização de obras.</w:t>
      </w:r>
    </w:p>
    <w:p w14:paraId="34469630"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20.2</w:t>
      </w:r>
      <w:r w:rsidRPr="00D84571">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196" w:anchor="art141%C2%A71" w:history="1">
        <w:r w:rsidRPr="00D84571">
          <w:rPr>
            <w:rStyle w:val="Hyperlink"/>
            <w:rFonts w:ascii="Times New Roman" w:hAnsi="Times New Roman" w:cs="Times New Roman"/>
          </w:rPr>
          <w:t>art. 141, § 1º da Lei nº 14.133/2021</w:t>
        </w:r>
      </w:hyperlink>
      <w:r w:rsidRPr="00D84571">
        <w:rPr>
          <w:rFonts w:ascii="Times New Roman" w:hAnsi="Times New Roman" w:cs="Times New Roman"/>
        </w:rPr>
        <w:t>):</w:t>
      </w:r>
    </w:p>
    <w:p w14:paraId="12FC7B91" w14:textId="77777777" w:rsidR="00B307DB" w:rsidRPr="00D84571" w:rsidRDefault="00B307DB" w:rsidP="00B307DB">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Grave perturbação da ordem, situação de emergência ou calamidade pública;</w:t>
      </w:r>
    </w:p>
    <w:p w14:paraId="7B1D3221"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2A190EA1" w14:textId="77777777" w:rsidR="00B307DB" w:rsidRPr="00D84571" w:rsidRDefault="00B307DB" w:rsidP="00B307DB">
      <w:pPr>
        <w:pStyle w:val="PargrafodaLista"/>
        <w:tabs>
          <w:tab w:val="left" w:pos="284"/>
          <w:tab w:val="left" w:pos="567"/>
          <w:tab w:val="left" w:pos="993"/>
          <w:tab w:val="left" w:pos="1134"/>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Pagamento de serviços necessários ao funcionamento dos sistemas estruturantes, desde que demonstrado o risco de descontinuidade do cumprimento do objeto do contrato;</w:t>
      </w:r>
    </w:p>
    <w:p w14:paraId="1E530D08" w14:textId="77777777" w:rsidR="00B307DB" w:rsidRPr="00D84571" w:rsidRDefault="00B307DB" w:rsidP="00B307DB">
      <w:pPr>
        <w:pStyle w:val="PargrafodaLista"/>
        <w:tabs>
          <w:tab w:val="left" w:pos="284"/>
          <w:tab w:val="left" w:pos="567"/>
          <w:tab w:val="left" w:pos="993"/>
          <w:tab w:val="left" w:pos="1134"/>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Pagamento de direitos oriundos de contratos em caso de falência, recuperação judicial ou dissolução da empresa contratada;</w:t>
      </w:r>
    </w:p>
    <w:p w14:paraId="7327BDE0"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E73A64">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56AC2FA3"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20.3</w:t>
      </w:r>
      <w:r w:rsidRPr="00D84571">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197" w:anchor="art141%C2%A72" w:history="1">
        <w:r w:rsidRPr="00D84571">
          <w:rPr>
            <w:rStyle w:val="Hyperlink"/>
            <w:rFonts w:ascii="Times New Roman" w:hAnsi="Times New Roman" w:cs="Times New Roman"/>
          </w:rPr>
          <w:t>art. 141, § 2º da Lei nº 14.133/2021</w:t>
        </w:r>
      </w:hyperlink>
      <w:r w:rsidRPr="00D84571">
        <w:rPr>
          <w:rFonts w:ascii="Times New Roman" w:hAnsi="Times New Roman" w:cs="Times New Roman"/>
        </w:rPr>
        <w:t>).</w:t>
      </w:r>
    </w:p>
    <w:p w14:paraId="26AC6465"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20.4</w:t>
      </w:r>
      <w:r w:rsidRPr="00D84571">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198" w:anchor="art141%C2%A73" w:history="1">
        <w:r w:rsidRPr="00D84571">
          <w:rPr>
            <w:rStyle w:val="Hyperlink"/>
            <w:rFonts w:ascii="Times New Roman" w:hAnsi="Times New Roman" w:cs="Times New Roman"/>
          </w:rPr>
          <w:t>art. 141, § 3º da Lei nº 14.133/2021</w:t>
        </w:r>
      </w:hyperlink>
      <w:r w:rsidRPr="00D84571">
        <w:rPr>
          <w:rFonts w:ascii="Times New Roman" w:hAnsi="Times New Roman" w:cs="Times New Roman"/>
        </w:rPr>
        <w:t>).</w:t>
      </w:r>
    </w:p>
    <w:p w14:paraId="3E944AE9" w14:textId="77777777" w:rsidR="00B307DB" w:rsidRPr="00D84571" w:rsidRDefault="00B307DB" w:rsidP="00B307DB">
      <w:pPr>
        <w:tabs>
          <w:tab w:val="left" w:pos="1134"/>
        </w:tabs>
        <w:spacing w:after="0" w:line="240" w:lineRule="auto"/>
        <w:ind w:right="-568"/>
        <w:jc w:val="both"/>
        <w:rPr>
          <w:rFonts w:ascii="Times New Roman" w:hAnsi="Times New Roman" w:cs="Times New Roman"/>
          <w:b/>
        </w:rPr>
      </w:pPr>
      <w:r w:rsidRPr="00D84571">
        <w:rPr>
          <w:rFonts w:ascii="Times New Roman" w:hAnsi="Times New Roman" w:cs="Times New Roman"/>
          <w:b/>
        </w:rPr>
        <w:lastRenderedPageBreak/>
        <w:t xml:space="preserve">20.5 </w:t>
      </w:r>
      <w:r w:rsidRPr="00D84571">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199" w:anchor="art143" w:history="1">
        <w:r w:rsidRPr="00D84571">
          <w:rPr>
            <w:rStyle w:val="Hyperlink"/>
            <w:rFonts w:ascii="Times New Roman" w:hAnsi="Times New Roman" w:cs="Times New Roman"/>
          </w:rPr>
          <w:t>art. 143 da Lei nº 14.133/2021</w:t>
        </w:r>
      </w:hyperlink>
      <w:r w:rsidRPr="00D84571">
        <w:rPr>
          <w:rFonts w:ascii="Times New Roman" w:hAnsi="Times New Roman" w:cs="Times New Roman"/>
        </w:rPr>
        <w:t>).</w:t>
      </w:r>
    </w:p>
    <w:p w14:paraId="5A0AACC7"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20.6</w:t>
      </w:r>
      <w:r w:rsidRPr="00D84571">
        <w:rPr>
          <w:rFonts w:ascii="Times New Roman" w:hAnsi="Times New Roman" w:cs="Times New Roman"/>
        </w:rPr>
        <w:t xml:space="preserve"> Não será permitido pagamento antecipado, parcial ou total (</w:t>
      </w:r>
      <w:hyperlink r:id="rId200" w:anchor="art145" w:history="1">
        <w:r w:rsidRPr="00D84571">
          <w:rPr>
            <w:rStyle w:val="Hyperlink"/>
            <w:rFonts w:ascii="Times New Roman" w:hAnsi="Times New Roman" w:cs="Times New Roman"/>
          </w:rPr>
          <w:t xml:space="preserve">art. 145,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669329DA"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20.6.1</w:t>
      </w:r>
      <w:r w:rsidRPr="00D84571">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Pr="00D84571">
        <w:rPr>
          <w:rFonts w:ascii="Times New Roman" w:hAnsi="Times New Roman" w:cs="Times New Roman"/>
          <w:u w:val="single"/>
        </w:rPr>
        <w:t>previamente justificada</w:t>
      </w:r>
      <w:r w:rsidRPr="00D84571">
        <w:rPr>
          <w:rFonts w:ascii="Times New Roman" w:hAnsi="Times New Roman" w:cs="Times New Roman"/>
        </w:rPr>
        <w:t xml:space="preserve"> no processo licitatório (</w:t>
      </w:r>
      <w:hyperlink r:id="rId201" w:anchor="art145%C2%A71" w:history="1">
        <w:r w:rsidRPr="00D84571">
          <w:rPr>
            <w:rStyle w:val="Hyperlink"/>
            <w:rFonts w:ascii="Times New Roman" w:hAnsi="Times New Roman" w:cs="Times New Roman"/>
          </w:rPr>
          <w:t>art. 145, § 1º da Lei nº 14.133/2021</w:t>
        </w:r>
      </w:hyperlink>
      <w:r w:rsidRPr="00D84571">
        <w:rPr>
          <w:rFonts w:ascii="Times New Roman" w:hAnsi="Times New Roman" w:cs="Times New Roman"/>
        </w:rPr>
        <w:t>).</w:t>
      </w:r>
    </w:p>
    <w:p w14:paraId="36B98F0D"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20.6.2</w:t>
      </w:r>
      <w:r w:rsidRPr="00D84571">
        <w:rPr>
          <w:rFonts w:ascii="Times New Roman" w:hAnsi="Times New Roman" w:cs="Times New Roman"/>
        </w:rPr>
        <w:t xml:space="preserve"> Caso o objeto não seja executado no prazo contratual, o valor antecipado deverá ser devolvido (</w:t>
      </w:r>
      <w:hyperlink r:id="rId202" w:anchor="art145%C2%A73" w:history="1">
        <w:r w:rsidRPr="00D84571">
          <w:rPr>
            <w:rStyle w:val="Hyperlink"/>
            <w:rFonts w:ascii="Times New Roman" w:hAnsi="Times New Roman" w:cs="Times New Roman"/>
          </w:rPr>
          <w:t>art. 145, § 3º da Lei nº 14.133/2021</w:t>
        </w:r>
      </w:hyperlink>
      <w:r w:rsidRPr="00D84571">
        <w:rPr>
          <w:rFonts w:ascii="Times New Roman" w:hAnsi="Times New Roman" w:cs="Times New Roman"/>
        </w:rPr>
        <w:t>).</w:t>
      </w:r>
    </w:p>
    <w:p w14:paraId="07B1AD0F"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20.7</w:t>
      </w:r>
      <w:r w:rsidRPr="00D84571">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da </w:t>
      </w:r>
      <w:hyperlink r:id="rId203" w:history="1">
        <w:r w:rsidRPr="00D84571">
          <w:rPr>
            <w:rStyle w:val="Hyperlink"/>
            <w:rFonts w:ascii="Times New Roman" w:hAnsi="Times New Roman" w:cs="Times New Roman"/>
          </w:rPr>
          <w:t>Lei nº 4.320, de 17 de março de 1964</w:t>
        </w:r>
      </w:hyperlink>
      <w:r w:rsidRPr="00D84571">
        <w:rPr>
          <w:rFonts w:ascii="Times New Roman" w:hAnsi="Times New Roman" w:cs="Times New Roman"/>
        </w:rPr>
        <w:t xml:space="preserve"> – Estatui Normas Gerais de Direito Financeiro para elaboração e controle dos orçamentos e balanços da União, dos Estados, dos Municípios e do Distrito Federal (</w:t>
      </w:r>
      <w:hyperlink r:id="rId204" w:anchor="art146" w:history="1">
        <w:r w:rsidRPr="00D84571">
          <w:rPr>
            <w:rStyle w:val="Hyperlink"/>
            <w:rFonts w:ascii="Times New Roman" w:hAnsi="Times New Roman" w:cs="Times New Roman"/>
          </w:rPr>
          <w:t>art. 146 da Lei nº 14.133/2021</w:t>
        </w:r>
      </w:hyperlink>
      <w:r w:rsidRPr="00D84571">
        <w:rPr>
          <w:rFonts w:ascii="Times New Roman" w:hAnsi="Times New Roman" w:cs="Times New Roman"/>
        </w:rPr>
        <w:t>).</w:t>
      </w:r>
    </w:p>
    <w:p w14:paraId="4648C8EE"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15119F1"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21 INFRAÇÕES E SANÇÕES ADMINISTRATIVAS</w:t>
      </w:r>
    </w:p>
    <w:p w14:paraId="4F5D1754"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21.1</w:t>
      </w:r>
      <w:r w:rsidRPr="00D84571">
        <w:rPr>
          <w:rFonts w:ascii="Times New Roman" w:hAnsi="Times New Roman" w:cs="Times New Roman"/>
          <w:b/>
          <w:bCs/>
        </w:rPr>
        <w:t> </w:t>
      </w:r>
      <w:r w:rsidRPr="00D84571">
        <w:rPr>
          <w:rFonts w:ascii="Times New Roman" w:hAnsi="Times New Roman" w:cs="Times New Roman"/>
        </w:rPr>
        <w:t>O licitante ou o contratado será responsabilizado administrativamente pelas seguintes infrações, com aplicação das seguintes sanções (</w:t>
      </w:r>
      <w:hyperlink r:id="rId205" w:anchor="art155" w:history="1">
        <w:r w:rsidRPr="00D84571">
          <w:rPr>
            <w:rStyle w:val="Hyperlink"/>
            <w:rFonts w:ascii="Times New Roman" w:hAnsi="Times New Roman" w:cs="Times New Roman"/>
          </w:rPr>
          <w:t>art. 155 e 156 da Lei nº 14.133/2021</w:t>
        </w:r>
      </w:hyperlink>
      <w:r w:rsidRPr="00D84571">
        <w:rPr>
          <w:rFonts w:ascii="Times New Roman" w:hAnsi="Times New Roman" w:cs="Times New Roman"/>
        </w:rPr>
        <w:t>):</w:t>
      </w:r>
    </w:p>
    <w:p w14:paraId="4154D732" w14:textId="77777777" w:rsidR="00B307DB" w:rsidRPr="00D84571" w:rsidRDefault="00B307DB" w:rsidP="00B307DB">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Dar causa à inexecução parcial do contrato:</w:t>
      </w:r>
    </w:p>
    <w:p w14:paraId="6ED05F4B" w14:textId="77777777" w:rsidR="00B307DB" w:rsidRPr="00D84571" w:rsidRDefault="00B307DB" w:rsidP="00B307DB">
      <w:pPr>
        <w:pStyle w:val="PargrafodaLista"/>
        <w:tabs>
          <w:tab w:val="left" w:pos="284"/>
          <w:tab w:val="left" w:pos="426"/>
          <w:tab w:val="left" w:pos="993"/>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Dar causa à inexecução parcial do contrato que cause grave dano à Administração, ao funcionamento dos serviços públicos ou ao interesse coletivo;</w:t>
      </w:r>
    </w:p>
    <w:p w14:paraId="4AE4C10C" w14:textId="77777777" w:rsidR="00B307DB" w:rsidRPr="00D84571" w:rsidRDefault="00B307DB" w:rsidP="00B307DB">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Dar causa à inexecução total do contrato;</w:t>
      </w:r>
    </w:p>
    <w:p w14:paraId="44CECC7D" w14:textId="77777777" w:rsidR="00B307DB" w:rsidRPr="00D84571" w:rsidRDefault="00B307DB" w:rsidP="00B307DB">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Deixar de entregar a documentação exigida para o certame;</w:t>
      </w:r>
    </w:p>
    <w:p w14:paraId="4C87BD2A" w14:textId="77777777" w:rsidR="00B307DB" w:rsidRPr="00D84571" w:rsidRDefault="00B307DB" w:rsidP="00B307DB">
      <w:pPr>
        <w:pStyle w:val="PargrafodaLista"/>
        <w:tabs>
          <w:tab w:val="left" w:pos="284"/>
          <w:tab w:val="left" w:pos="426"/>
          <w:tab w:val="left" w:pos="1134"/>
        </w:tabs>
        <w:spacing w:after="0" w:line="240" w:lineRule="auto"/>
        <w:ind w:left="567" w:right="-568"/>
        <w:contextualSpacing w:val="0"/>
        <w:jc w:val="both"/>
        <w:rPr>
          <w:rFonts w:ascii="Times New Roman" w:hAnsi="Times New Roman" w:cs="Times New Roman"/>
        </w:rPr>
      </w:pPr>
      <w:r w:rsidRPr="008A20CF">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Não manter a proposta, salvo em decorrência de fato superveniente devidamente justificado;</w:t>
      </w:r>
    </w:p>
    <w:p w14:paraId="0E70C15D" w14:textId="77777777" w:rsidR="00B307DB" w:rsidRPr="00D84571" w:rsidRDefault="00B307DB" w:rsidP="00B307DB">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Não celebrar o contrato ou não entregar a documentação exigida para a contratação, quando convocado dentro do prazo de validade de sua proposta;</w:t>
      </w:r>
    </w:p>
    <w:p w14:paraId="16B6BCBE" w14:textId="77777777" w:rsidR="00B307DB" w:rsidRPr="00D84571" w:rsidRDefault="00B307DB" w:rsidP="00B307DB">
      <w:pPr>
        <w:pStyle w:val="PargrafodaLista"/>
        <w:tabs>
          <w:tab w:val="left" w:pos="284"/>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VII -</w:t>
      </w:r>
      <w:r>
        <w:rPr>
          <w:rFonts w:ascii="Times New Roman" w:hAnsi="Times New Roman" w:cs="Times New Roman"/>
        </w:rPr>
        <w:t xml:space="preserve"> </w:t>
      </w:r>
      <w:r w:rsidRPr="00D84571">
        <w:rPr>
          <w:rFonts w:ascii="Times New Roman" w:hAnsi="Times New Roman" w:cs="Times New Roman"/>
        </w:rPr>
        <w:t>Ensejar o retardamento da execução ou da entrega do objeto da licitação sem motivo justificado;</w:t>
      </w:r>
    </w:p>
    <w:p w14:paraId="7B738216" w14:textId="77777777" w:rsidR="00B307DB" w:rsidRPr="00D84571" w:rsidRDefault="00B307DB" w:rsidP="00B307DB">
      <w:pPr>
        <w:pStyle w:val="PargrafodaLista"/>
        <w:tabs>
          <w:tab w:val="left" w:pos="284"/>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VIII -</w:t>
      </w:r>
      <w:r>
        <w:rPr>
          <w:rFonts w:ascii="Times New Roman" w:hAnsi="Times New Roman" w:cs="Times New Roman"/>
        </w:rPr>
        <w:t xml:space="preserve"> </w:t>
      </w:r>
      <w:r w:rsidRPr="00D84571">
        <w:rPr>
          <w:rFonts w:ascii="Times New Roman" w:hAnsi="Times New Roman" w:cs="Times New Roman"/>
        </w:rPr>
        <w:t>Apresentar declaração ou documentação falsa exigida para o certame ou prestar declaração falsa durante a licitação ou a execução do contrato;</w:t>
      </w:r>
    </w:p>
    <w:p w14:paraId="1952879F" w14:textId="77777777" w:rsidR="00B307DB" w:rsidRPr="00D84571" w:rsidRDefault="00B307DB" w:rsidP="00B307DB">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IX -</w:t>
      </w:r>
      <w:r>
        <w:rPr>
          <w:rFonts w:ascii="Times New Roman" w:hAnsi="Times New Roman" w:cs="Times New Roman"/>
        </w:rPr>
        <w:t xml:space="preserve"> </w:t>
      </w:r>
      <w:r w:rsidRPr="00D84571">
        <w:rPr>
          <w:rFonts w:ascii="Times New Roman" w:hAnsi="Times New Roman" w:cs="Times New Roman"/>
        </w:rPr>
        <w:t>Fraudar a licitação ou praticar ato fraudulento na execução do contrato;</w:t>
      </w:r>
    </w:p>
    <w:p w14:paraId="0E299B88" w14:textId="77777777" w:rsidR="00B307DB" w:rsidRPr="00D84571" w:rsidRDefault="00B307DB" w:rsidP="00B307DB">
      <w:pPr>
        <w:pStyle w:val="PargrafodaLista"/>
        <w:tabs>
          <w:tab w:val="left" w:pos="284"/>
          <w:tab w:val="left" w:pos="426"/>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X -</w:t>
      </w:r>
      <w:r>
        <w:rPr>
          <w:rFonts w:ascii="Times New Roman" w:hAnsi="Times New Roman" w:cs="Times New Roman"/>
        </w:rPr>
        <w:t xml:space="preserve"> </w:t>
      </w:r>
      <w:r w:rsidRPr="00D84571">
        <w:rPr>
          <w:rFonts w:ascii="Times New Roman" w:hAnsi="Times New Roman" w:cs="Times New Roman"/>
        </w:rPr>
        <w:t>Comportar-se de modo inidôneo ou cometer fraude de qualquer natureza;</w:t>
      </w:r>
    </w:p>
    <w:p w14:paraId="6D406FCB" w14:textId="77777777" w:rsidR="00B307DB" w:rsidRPr="00D84571" w:rsidRDefault="00B307DB" w:rsidP="00B307DB">
      <w:pPr>
        <w:pStyle w:val="PargrafodaLista"/>
        <w:tabs>
          <w:tab w:val="left" w:pos="284"/>
          <w:tab w:val="left" w:pos="426"/>
          <w:tab w:val="left" w:pos="567"/>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XI -</w:t>
      </w:r>
      <w:r>
        <w:rPr>
          <w:rFonts w:ascii="Times New Roman" w:hAnsi="Times New Roman" w:cs="Times New Roman"/>
        </w:rPr>
        <w:t xml:space="preserve"> </w:t>
      </w:r>
      <w:r w:rsidRPr="00D84571">
        <w:rPr>
          <w:rFonts w:ascii="Times New Roman" w:hAnsi="Times New Roman" w:cs="Times New Roman"/>
        </w:rPr>
        <w:t>Praticar atos ilícitos com vistas a frustrar os objetivos da licitação;</w:t>
      </w:r>
    </w:p>
    <w:p w14:paraId="5C0DB236" w14:textId="77777777" w:rsidR="00B307DB" w:rsidRPr="00D84571" w:rsidRDefault="00B307DB" w:rsidP="00B307DB">
      <w:pPr>
        <w:pStyle w:val="PargrafodaLista"/>
        <w:tabs>
          <w:tab w:val="left" w:pos="142"/>
          <w:tab w:val="left" w:pos="284"/>
          <w:tab w:val="left" w:pos="1134"/>
        </w:tabs>
        <w:spacing w:after="0" w:line="240" w:lineRule="auto"/>
        <w:ind w:left="567" w:right="-568"/>
        <w:contextualSpacing w:val="0"/>
        <w:jc w:val="both"/>
        <w:rPr>
          <w:rFonts w:ascii="Times New Roman" w:hAnsi="Times New Roman" w:cs="Times New Roman"/>
        </w:rPr>
      </w:pPr>
      <w:r w:rsidRPr="00F67225">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Praticar ato lesivo previsto no </w:t>
      </w:r>
      <w:hyperlink r:id="rId206"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147A9803"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21.2</w:t>
      </w:r>
      <w:r w:rsidRPr="00D84571">
        <w:rPr>
          <w:rFonts w:ascii="Times New Roman" w:hAnsi="Times New Roman" w:cs="Times New Roman"/>
        </w:rPr>
        <w:t xml:space="preserve"> Serão aplicadas as seguintes sanções às penalidades acima indicadas:</w:t>
      </w:r>
    </w:p>
    <w:tbl>
      <w:tblPr>
        <w:tblStyle w:val="Tabelacomgrade2"/>
        <w:tblW w:w="9079" w:type="dxa"/>
        <w:tblLook w:val="04A0" w:firstRow="1" w:lastRow="0" w:firstColumn="1" w:lastColumn="0" w:noHBand="0" w:noVBand="1"/>
      </w:tblPr>
      <w:tblGrid>
        <w:gridCol w:w="582"/>
        <w:gridCol w:w="4544"/>
        <w:gridCol w:w="3953"/>
      </w:tblGrid>
      <w:tr w:rsidR="00B307DB" w:rsidRPr="00D84571" w14:paraId="2C29BF91" w14:textId="77777777" w:rsidTr="00B307DB">
        <w:trPr>
          <w:trHeight w:val="1372"/>
        </w:trPr>
        <w:tc>
          <w:tcPr>
            <w:tcW w:w="582" w:type="dxa"/>
            <w:vAlign w:val="center"/>
          </w:tcPr>
          <w:p w14:paraId="3E266F20" w14:textId="77777777" w:rsidR="00B307DB" w:rsidRPr="00D84571" w:rsidRDefault="00B307DB" w:rsidP="00B307DB">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544" w:type="dxa"/>
            <w:vAlign w:val="center"/>
          </w:tcPr>
          <w:p w14:paraId="6381F5C4" w14:textId="77777777" w:rsidR="00B307DB" w:rsidRPr="00D84571" w:rsidRDefault="00B307DB" w:rsidP="00B307D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207"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53" w:type="dxa"/>
            <w:vAlign w:val="center"/>
          </w:tcPr>
          <w:p w14:paraId="0BBE4390"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1D32993F"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392DC6A0"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08"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B307DB" w:rsidRPr="00D84571" w14:paraId="09BB1E8C" w14:textId="77777777" w:rsidTr="00B307DB">
        <w:trPr>
          <w:trHeight w:val="230"/>
        </w:trPr>
        <w:tc>
          <w:tcPr>
            <w:tcW w:w="582" w:type="dxa"/>
            <w:vAlign w:val="center"/>
          </w:tcPr>
          <w:p w14:paraId="58A6F68A" w14:textId="77777777" w:rsidR="00B307DB" w:rsidRPr="00D84571" w:rsidRDefault="00B307DB" w:rsidP="00B307DB">
            <w:pPr>
              <w:tabs>
                <w:tab w:val="left" w:pos="1134"/>
              </w:tabs>
              <w:ind w:right="-249"/>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 II -</w:t>
            </w:r>
          </w:p>
        </w:tc>
        <w:tc>
          <w:tcPr>
            <w:tcW w:w="4544" w:type="dxa"/>
            <w:vAlign w:val="center"/>
          </w:tcPr>
          <w:p w14:paraId="184CF64F" w14:textId="77777777" w:rsidR="00B307DB" w:rsidRPr="00D84571" w:rsidRDefault="00B307DB" w:rsidP="00B307D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53" w:type="dxa"/>
            <w:vAlign w:val="center"/>
          </w:tcPr>
          <w:p w14:paraId="5B91F6EF" w14:textId="77777777" w:rsidR="00B307DB" w:rsidRPr="00D84571" w:rsidRDefault="00B307DB" w:rsidP="00B307DB">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209"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B307DB" w:rsidRPr="00D84571" w14:paraId="721E2DF2" w14:textId="77777777" w:rsidTr="00B307DB">
        <w:trPr>
          <w:trHeight w:val="1381"/>
        </w:trPr>
        <w:tc>
          <w:tcPr>
            <w:tcW w:w="582" w:type="dxa"/>
            <w:vAlign w:val="center"/>
          </w:tcPr>
          <w:p w14:paraId="6A8F8DAA" w14:textId="77777777" w:rsidR="00B307DB" w:rsidRPr="00D84571" w:rsidRDefault="00B307DB" w:rsidP="00B307DB">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544" w:type="dxa"/>
            <w:vAlign w:val="center"/>
          </w:tcPr>
          <w:p w14:paraId="203AA46D" w14:textId="77777777" w:rsidR="00B307DB" w:rsidRPr="00D84571" w:rsidRDefault="00B307DB" w:rsidP="00B307D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0"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53" w:type="dxa"/>
            <w:vAlign w:val="center"/>
          </w:tcPr>
          <w:p w14:paraId="04C2B222"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3C386F3C"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5C102311"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211"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B307DB" w:rsidRPr="00D84571" w14:paraId="478AD290" w14:textId="77777777" w:rsidTr="00B307DB">
        <w:trPr>
          <w:trHeight w:val="1142"/>
        </w:trPr>
        <w:tc>
          <w:tcPr>
            <w:tcW w:w="582" w:type="dxa"/>
            <w:vAlign w:val="center"/>
          </w:tcPr>
          <w:p w14:paraId="0AD596E7" w14:textId="77777777" w:rsidR="00B307DB" w:rsidRPr="00D84571" w:rsidRDefault="00B307DB" w:rsidP="00B307DB">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IV -</w:t>
            </w:r>
          </w:p>
        </w:tc>
        <w:tc>
          <w:tcPr>
            <w:tcW w:w="4544" w:type="dxa"/>
            <w:vAlign w:val="center"/>
          </w:tcPr>
          <w:p w14:paraId="3F0AC44E" w14:textId="77777777" w:rsidR="00B307DB" w:rsidRPr="00D84571" w:rsidRDefault="00B307DB" w:rsidP="00B307DB">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12"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53" w:type="dxa"/>
            <w:vAlign w:val="center"/>
          </w:tcPr>
          <w:p w14:paraId="1B19BA82"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4514BC5B"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213"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33BCC08B" w14:textId="77777777" w:rsidR="00B307DB" w:rsidRPr="00080C74" w:rsidRDefault="00B307DB" w:rsidP="00B307DB">
      <w:pPr>
        <w:tabs>
          <w:tab w:val="left" w:pos="567"/>
        </w:tabs>
        <w:spacing w:after="0" w:line="240" w:lineRule="auto"/>
        <w:ind w:right="-568"/>
        <w:jc w:val="both"/>
        <w:rPr>
          <w:rFonts w:ascii="Times New Roman" w:hAnsi="Times New Roman" w:cs="Times New Roman"/>
        </w:rPr>
      </w:pPr>
      <w:r w:rsidRPr="00080C74">
        <w:rPr>
          <w:rFonts w:ascii="Times New Roman" w:hAnsi="Times New Roman" w:cs="Times New Roman"/>
          <w:b/>
        </w:rPr>
        <w:t>21.3</w:t>
      </w:r>
      <w:r>
        <w:rPr>
          <w:rFonts w:ascii="Times New Roman" w:hAnsi="Times New Roman" w:cs="Times New Roman"/>
        </w:rPr>
        <w:t xml:space="preserve"> </w:t>
      </w:r>
      <w:r w:rsidRPr="00080C74">
        <w:rPr>
          <w:rFonts w:ascii="Times New Roman" w:hAnsi="Times New Roman" w:cs="Times New Roman"/>
        </w:rPr>
        <w:t>Na aplicação das sanções serão considerados (</w:t>
      </w:r>
      <w:hyperlink r:id="rId214" w:anchor="art156%C2%A71" w:history="1">
        <w:r w:rsidRPr="00080C74">
          <w:rPr>
            <w:rStyle w:val="Hyperlink"/>
            <w:rFonts w:ascii="Times New Roman" w:hAnsi="Times New Roman" w:cs="Times New Roman"/>
          </w:rPr>
          <w:t>art. 156, § 1º da Lei nº 14.133/2021</w:t>
        </w:r>
      </w:hyperlink>
      <w:r w:rsidRPr="00080C74">
        <w:rPr>
          <w:rFonts w:ascii="Times New Roman" w:hAnsi="Times New Roman" w:cs="Times New Roman"/>
        </w:rPr>
        <w:t>):</w:t>
      </w:r>
    </w:p>
    <w:p w14:paraId="6B33735A"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A natureza e a gravidade da infração cometida;</w:t>
      </w:r>
    </w:p>
    <w:p w14:paraId="2FDD4240"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lastRenderedPageBreak/>
        <w:t>II -</w:t>
      </w:r>
      <w:r>
        <w:rPr>
          <w:rFonts w:ascii="Times New Roman" w:hAnsi="Times New Roman" w:cs="Times New Roman"/>
        </w:rPr>
        <w:t xml:space="preserve"> </w:t>
      </w:r>
      <w:r w:rsidRPr="00D84571">
        <w:rPr>
          <w:rFonts w:ascii="Times New Roman" w:hAnsi="Times New Roman" w:cs="Times New Roman"/>
        </w:rPr>
        <w:t>As peculiaridades do caso concreto;</w:t>
      </w:r>
    </w:p>
    <w:p w14:paraId="56436325" w14:textId="77777777" w:rsidR="00B307DB" w:rsidRPr="00D84571" w:rsidRDefault="00B307DB" w:rsidP="00B307DB">
      <w:pPr>
        <w:pStyle w:val="PargrafodaLista"/>
        <w:tabs>
          <w:tab w:val="left" w:pos="567"/>
          <w:tab w:val="left" w:pos="993"/>
          <w:tab w:val="left" w:pos="1134"/>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As circunstâncias agravantes ou atenuantes;</w:t>
      </w:r>
    </w:p>
    <w:p w14:paraId="723F70BC" w14:textId="77777777" w:rsidR="00B307DB" w:rsidRPr="00D84571" w:rsidRDefault="00B307DB" w:rsidP="00B307DB">
      <w:pPr>
        <w:pStyle w:val="PargrafodaLista"/>
        <w:tabs>
          <w:tab w:val="left" w:pos="567"/>
          <w:tab w:val="left" w:pos="993"/>
          <w:tab w:val="left" w:pos="1134"/>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Os danos que dela provierem para a Administração Pública;</w:t>
      </w:r>
    </w:p>
    <w:p w14:paraId="06D4C487"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 implantação ou o aperfeiçoamento de programa de integridade, conforme normas e orientações dos órgãos de controle.</w:t>
      </w:r>
    </w:p>
    <w:p w14:paraId="2B8415A2" w14:textId="48ABC6EB" w:rsidR="00B307DB" w:rsidRPr="00A80083" w:rsidRDefault="00B307DB" w:rsidP="00A80083">
      <w:pPr>
        <w:pStyle w:val="PargrafodaLista"/>
        <w:numPr>
          <w:ilvl w:val="1"/>
          <w:numId w:val="258"/>
        </w:numPr>
        <w:tabs>
          <w:tab w:val="left" w:pos="0"/>
        </w:tabs>
        <w:spacing w:after="0" w:line="240" w:lineRule="auto"/>
        <w:ind w:left="0" w:right="-568" w:firstLine="0"/>
        <w:jc w:val="both"/>
        <w:rPr>
          <w:rFonts w:ascii="Times New Roman" w:hAnsi="Times New Roman" w:cs="Times New Roman"/>
        </w:rPr>
      </w:pPr>
      <w:r w:rsidRPr="00A80083">
        <w:rPr>
          <w:rFonts w:ascii="Times New Roman" w:hAnsi="Times New Roman" w:cs="Times New Roman"/>
        </w:rPr>
        <w:t>Para aplicação das sanções (</w:t>
      </w:r>
      <w:hyperlink r:id="rId215" w:anchor="art156%C2%A76i" w:history="1">
        <w:r w:rsidRPr="00A80083">
          <w:rPr>
            <w:rStyle w:val="Hyperlink"/>
            <w:rFonts w:ascii="Times New Roman" w:hAnsi="Times New Roman" w:cs="Times New Roman"/>
          </w:rPr>
          <w:t>arts. 156, § 6º, I</w:t>
        </w:r>
      </w:hyperlink>
      <w:r w:rsidRPr="00A80083">
        <w:rPr>
          <w:rFonts w:ascii="Times New Roman" w:hAnsi="Times New Roman" w:cs="Times New Roman"/>
        </w:rPr>
        <w:t xml:space="preserve">, </w:t>
      </w:r>
      <w:hyperlink r:id="rId216" w:anchor="art157" w:history="1">
        <w:r w:rsidRPr="00A80083">
          <w:rPr>
            <w:rStyle w:val="Hyperlink"/>
            <w:rFonts w:ascii="Times New Roman" w:hAnsi="Times New Roman" w:cs="Times New Roman"/>
          </w:rPr>
          <w:t>157</w:t>
        </w:r>
      </w:hyperlink>
      <w:r w:rsidRPr="00A80083">
        <w:rPr>
          <w:rFonts w:ascii="Times New Roman" w:hAnsi="Times New Roman" w:cs="Times New Roman"/>
        </w:rPr>
        <w:t xml:space="preserve"> e </w:t>
      </w:r>
      <w:hyperlink r:id="rId217" w:anchor="art158" w:history="1">
        <w:r w:rsidRPr="00A80083">
          <w:rPr>
            <w:rStyle w:val="Hyperlink"/>
            <w:rFonts w:ascii="Times New Roman" w:hAnsi="Times New Roman" w:cs="Times New Roman"/>
          </w:rPr>
          <w:t>158</w:t>
        </w:r>
      </w:hyperlink>
      <w:r w:rsidRPr="00A80083">
        <w:rPr>
          <w:rFonts w:ascii="Times New Roman" w:hAnsi="Times New Roman" w:cs="Times New Roman"/>
        </w:rPr>
        <w:t xml:space="preserve"> da </w:t>
      </w:r>
      <w:hyperlink r:id="rId218" w:history="1">
        <w:r w:rsidRPr="00A80083">
          <w:rPr>
            <w:rStyle w:val="Hyperlink"/>
            <w:rFonts w:ascii="Times New Roman" w:hAnsi="Times New Roman" w:cs="Times New Roman"/>
          </w:rPr>
          <w:t>Lei nº 14.133/2021</w:t>
        </w:r>
      </w:hyperlink>
      <w:r w:rsidRPr="00A80083">
        <w:rPr>
          <w:rFonts w:ascii="Times New Roman" w:hAnsi="Times New Roman" w:cs="Times New Roman"/>
        </w:rPr>
        <w:t>):</w:t>
      </w:r>
    </w:p>
    <w:p w14:paraId="053EB03C"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Inciso II do item 1: será facultada a defesa do interessado no prazo de 15 (quinze) dias úteis, contado da data de sua intimação;</w:t>
      </w:r>
    </w:p>
    <w:p w14:paraId="50FBB31B" w14:textId="77777777" w:rsidR="00B307DB" w:rsidRPr="00D84571" w:rsidRDefault="00B307DB" w:rsidP="00B307DB">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Previamente ao encaminhamento à cobrança judicial, a multa poderá ser recolhida administrativamente no prazo máximo de 30 (trinta) dias, a contar da data do recebimento da comunicação enviada pela autoridade competente.</w:t>
      </w:r>
    </w:p>
    <w:p w14:paraId="6312ED52"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A22977">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 xml:space="preserve">Incisos III e IV do item 1: </w:t>
      </w:r>
    </w:p>
    <w:p w14:paraId="68274CCF" w14:textId="77777777" w:rsidR="00B307DB" w:rsidRPr="00D84571" w:rsidRDefault="00B307DB" w:rsidP="00B307DB">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6BAA23A" w14:textId="77777777" w:rsidR="00B307DB" w:rsidRPr="00D84571" w:rsidRDefault="00B307DB" w:rsidP="00B307DB">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0EE5CAC" w14:textId="77777777" w:rsidR="00B307DB" w:rsidRPr="00D84571" w:rsidRDefault="00B307DB" w:rsidP="00B307DB">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365DE8B" w14:textId="77777777" w:rsidR="00B307DB" w:rsidRPr="00D84571" w:rsidRDefault="00B307DB" w:rsidP="00B307DB">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Serão indeferidas pela comissão, mediante decisão fundamentada, provas ilícitas, impertinentes, desnecessárias, protelatórias ou intempestivas;</w:t>
      </w:r>
    </w:p>
    <w:p w14:paraId="06174CD9" w14:textId="77777777" w:rsidR="00B307DB" w:rsidRPr="00D84571" w:rsidRDefault="00B307DB" w:rsidP="00B307DB">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A sanção prevista no inciso IV do item 1 será precedida de análise jurídica e será de competência exclusiva de secretário municipal (</w:t>
      </w:r>
      <w:hyperlink r:id="rId219"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46EBD14F" w14:textId="77777777" w:rsidR="00B307DB" w:rsidRPr="00D84571" w:rsidRDefault="00B307DB" w:rsidP="00B307DB">
      <w:pPr>
        <w:pStyle w:val="PargrafodaLista"/>
        <w:tabs>
          <w:tab w:val="left" w:pos="426"/>
        </w:tabs>
        <w:spacing w:after="0" w:line="240" w:lineRule="auto"/>
        <w:ind w:left="1134" w:right="-568"/>
        <w:contextualSpacing w:val="0"/>
        <w:jc w:val="both"/>
        <w:rPr>
          <w:rFonts w:ascii="Times New Roman" w:hAnsi="Times New Roman" w:cs="Times New Roman"/>
        </w:rPr>
      </w:pPr>
      <w:r w:rsidRPr="00A22977">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A prescrição ocorrerá em 5 (cinco) anos, contados da ciência da infração pela Administração Pública Municipal, e será:</w:t>
      </w:r>
    </w:p>
    <w:p w14:paraId="5FC9B18B" w14:textId="77777777" w:rsidR="00B307DB" w:rsidRPr="00D84571" w:rsidRDefault="00B307DB" w:rsidP="00B307DB">
      <w:pPr>
        <w:pStyle w:val="PargrafodaLista"/>
        <w:tabs>
          <w:tab w:val="left" w:pos="2127"/>
        </w:tabs>
        <w:spacing w:after="0" w:line="240" w:lineRule="auto"/>
        <w:ind w:left="1985" w:right="-568"/>
        <w:contextualSpacing w:val="0"/>
        <w:jc w:val="both"/>
        <w:rPr>
          <w:rFonts w:ascii="Times New Roman" w:hAnsi="Times New Roman" w:cs="Times New Roman"/>
        </w:rPr>
      </w:pPr>
      <w:r w:rsidRPr="00A22977">
        <w:rPr>
          <w:rFonts w:ascii="Times New Roman" w:hAnsi="Times New Roman" w:cs="Times New Roman"/>
          <w:b/>
        </w:rPr>
        <w:t>i)</w:t>
      </w:r>
      <w:r w:rsidRPr="009E240F">
        <w:rPr>
          <w:rFonts w:ascii="Times New Roman" w:hAnsi="Times New Roman" w:cs="Times New Roman"/>
        </w:rPr>
        <w:t xml:space="preserve">Interrompida </w:t>
      </w:r>
      <w:r w:rsidRPr="00D84571">
        <w:rPr>
          <w:rFonts w:ascii="Times New Roman" w:hAnsi="Times New Roman" w:cs="Times New Roman"/>
        </w:rPr>
        <w:t>pela instauração do processo de responsabilização a que se refere este item;</w:t>
      </w:r>
    </w:p>
    <w:p w14:paraId="57AD0646" w14:textId="77777777" w:rsidR="00B307DB" w:rsidRPr="00D84571" w:rsidRDefault="00B307DB" w:rsidP="00B307DB">
      <w:pPr>
        <w:pStyle w:val="PargrafodaLista"/>
        <w:tabs>
          <w:tab w:val="left" w:pos="2127"/>
        </w:tabs>
        <w:spacing w:after="0" w:line="240" w:lineRule="auto"/>
        <w:ind w:left="1985" w:right="-568"/>
        <w:contextualSpacing w:val="0"/>
        <w:jc w:val="both"/>
        <w:rPr>
          <w:rFonts w:ascii="Times New Roman" w:hAnsi="Times New Roman" w:cs="Times New Roman"/>
        </w:rPr>
      </w:pPr>
      <w:r w:rsidRPr="00A22977">
        <w:rPr>
          <w:rFonts w:ascii="Times New Roman" w:hAnsi="Times New Roman" w:cs="Times New Roman"/>
          <w:b/>
        </w:rPr>
        <w:t>ii)</w:t>
      </w:r>
      <w:r w:rsidRPr="00D84571">
        <w:rPr>
          <w:rFonts w:ascii="Times New Roman" w:hAnsi="Times New Roman" w:cs="Times New Roman"/>
        </w:rPr>
        <w:t>Suspensa pela celebração de acordo de leniência previsto na </w:t>
      </w:r>
      <w:hyperlink r:id="rId220"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xml:space="preserve">; </w:t>
      </w:r>
    </w:p>
    <w:p w14:paraId="23D69109" w14:textId="77777777" w:rsidR="00B307DB" w:rsidRPr="00D84571" w:rsidRDefault="00B307DB" w:rsidP="00B307DB">
      <w:pPr>
        <w:pStyle w:val="PargrafodaLista"/>
        <w:tabs>
          <w:tab w:val="left" w:pos="2127"/>
        </w:tabs>
        <w:spacing w:after="0" w:line="240" w:lineRule="auto"/>
        <w:ind w:left="1985" w:right="-568"/>
        <w:contextualSpacing w:val="0"/>
        <w:jc w:val="both"/>
        <w:rPr>
          <w:rFonts w:ascii="Times New Roman" w:hAnsi="Times New Roman" w:cs="Times New Roman"/>
        </w:rPr>
      </w:pPr>
      <w:r w:rsidRPr="00A22977">
        <w:rPr>
          <w:rFonts w:ascii="Times New Roman" w:hAnsi="Times New Roman" w:cs="Times New Roman"/>
          <w:b/>
        </w:rPr>
        <w:t>iii)</w:t>
      </w:r>
      <w:r w:rsidRPr="00D84571">
        <w:rPr>
          <w:rFonts w:ascii="Times New Roman" w:hAnsi="Times New Roman" w:cs="Times New Roman"/>
        </w:rPr>
        <w:t>Suspensa por decisão judicial que inviabilize a conclusão da apuração administrativa.</w:t>
      </w:r>
    </w:p>
    <w:p w14:paraId="7986C56E"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21.5</w:t>
      </w:r>
      <w:r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1" w:anchor="art156%C2%A78" w:history="1">
        <w:r w:rsidRPr="00D84571">
          <w:rPr>
            <w:rStyle w:val="Hyperlink"/>
            <w:rFonts w:ascii="Times New Roman" w:hAnsi="Times New Roman" w:cs="Times New Roman"/>
          </w:rPr>
          <w:t>art. 156, § 8º da Lei nº 14.133/2021</w:t>
        </w:r>
      </w:hyperlink>
      <w:r w:rsidRPr="00D84571">
        <w:rPr>
          <w:rFonts w:ascii="Times New Roman" w:hAnsi="Times New Roman" w:cs="Times New Roman"/>
        </w:rPr>
        <w:t>).</w:t>
      </w:r>
    </w:p>
    <w:p w14:paraId="425111E2"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21.6</w:t>
      </w:r>
      <w:r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222" w:anchor="art156%C2%A79" w:history="1">
        <w:r w:rsidRPr="00D84571">
          <w:rPr>
            <w:rStyle w:val="Hyperlink"/>
            <w:rFonts w:ascii="Times New Roman" w:hAnsi="Times New Roman" w:cs="Times New Roman"/>
          </w:rPr>
          <w:t>art. 156, § 9º da Lei nº 14.133/2021</w:t>
        </w:r>
      </w:hyperlink>
      <w:r w:rsidRPr="00D84571">
        <w:rPr>
          <w:rFonts w:ascii="Times New Roman" w:hAnsi="Times New Roman" w:cs="Times New Roman"/>
        </w:rPr>
        <w:t>).</w:t>
      </w:r>
    </w:p>
    <w:p w14:paraId="3B27EDEF"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21.7 </w:t>
      </w:r>
      <w:r w:rsidRPr="00D84571">
        <w:rPr>
          <w:rFonts w:ascii="Times New Roman" w:hAnsi="Times New Roman" w:cs="Times New Roman"/>
        </w:rPr>
        <w:t xml:space="preserve">Os atos previstos como infrações administrativas na </w:t>
      </w:r>
      <w:hyperlink r:id="rId223"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em outras leis de licitações e contratos da Administração Pública que também sejam tipificados como atos lesivos na </w:t>
      </w:r>
      <w:hyperlink r:id="rId224"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serão apurados e julgados conjuntamente, nos mesmos autos, observados o rito procedimental e a autoridade competente definidos na referida Lei (</w:t>
      </w:r>
      <w:hyperlink r:id="rId225" w:anchor="art159" w:history="1">
        <w:r w:rsidRPr="00D84571">
          <w:rPr>
            <w:rStyle w:val="Hyperlink"/>
            <w:rFonts w:ascii="Times New Roman" w:hAnsi="Times New Roman" w:cs="Times New Roman"/>
          </w:rPr>
          <w:t>art. 159 da Lei nº 14.133/2021</w:t>
        </w:r>
      </w:hyperlink>
      <w:r w:rsidRPr="00D84571">
        <w:rPr>
          <w:rFonts w:ascii="Times New Roman" w:hAnsi="Times New Roman" w:cs="Times New Roman"/>
        </w:rPr>
        <w:t>).</w:t>
      </w:r>
    </w:p>
    <w:p w14:paraId="05DFB3B5"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21.8 </w:t>
      </w:r>
      <w:r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26"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27" w:anchor="art160" w:history="1">
        <w:r w:rsidRPr="00D84571">
          <w:rPr>
            <w:rStyle w:val="Hyperlink"/>
            <w:rFonts w:ascii="Times New Roman" w:hAnsi="Times New Roman" w:cs="Times New Roman"/>
          </w:rPr>
          <w:t>art. 160 da Lei nº 14.133/2021</w:t>
        </w:r>
      </w:hyperlink>
      <w:r w:rsidRPr="00D84571">
        <w:rPr>
          <w:rFonts w:ascii="Times New Roman" w:hAnsi="Times New Roman" w:cs="Times New Roman"/>
        </w:rPr>
        <w:t>).</w:t>
      </w:r>
    </w:p>
    <w:p w14:paraId="71FDDDF9"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21.9</w:t>
      </w:r>
      <w:r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28" w:history="1">
        <w:r w:rsidRPr="00D84571">
          <w:rPr>
            <w:rStyle w:val="Hyperlink"/>
            <w:rFonts w:ascii="Times New Roman" w:hAnsi="Times New Roman" w:cs="Times New Roman"/>
          </w:rPr>
          <w:t>Cadastro Nacional de Empresas Inidôneas e Suspensas (Ceis)</w:t>
        </w:r>
      </w:hyperlink>
      <w:r w:rsidRPr="00D84571">
        <w:rPr>
          <w:rFonts w:ascii="Times New Roman" w:hAnsi="Times New Roman" w:cs="Times New Roman"/>
        </w:rPr>
        <w:t xml:space="preserve"> e no </w:t>
      </w:r>
      <w:hyperlink r:id="rId229" w:history="1">
        <w:r w:rsidRPr="00D84571">
          <w:rPr>
            <w:rStyle w:val="Hyperlink"/>
            <w:rFonts w:ascii="Times New Roman" w:hAnsi="Times New Roman" w:cs="Times New Roman"/>
          </w:rPr>
          <w:t xml:space="preserve">Cadastro </w:t>
        </w:r>
        <w:r w:rsidRPr="00D84571">
          <w:rPr>
            <w:rStyle w:val="Hyperlink"/>
            <w:rFonts w:ascii="Times New Roman" w:hAnsi="Times New Roman" w:cs="Times New Roman"/>
          </w:rPr>
          <w:lastRenderedPageBreak/>
          <w:t>Nacional de Empresas Punidas (Cnep)</w:t>
        </w:r>
      </w:hyperlink>
      <w:r w:rsidRPr="00D84571">
        <w:rPr>
          <w:rFonts w:ascii="Times New Roman" w:hAnsi="Times New Roman" w:cs="Times New Roman"/>
        </w:rPr>
        <w:t>, instituídos no âmbito do Poder Executivo federal (</w:t>
      </w:r>
      <w:hyperlink r:id="rId230" w:anchor="art161" w:history="1">
        <w:r w:rsidRPr="00D84571">
          <w:rPr>
            <w:rStyle w:val="Hyperlink"/>
            <w:rFonts w:ascii="Times New Roman" w:hAnsi="Times New Roman" w:cs="Times New Roman"/>
          </w:rPr>
          <w:t>art. 161 da Lei nº 14.133/2021</w:t>
        </w:r>
      </w:hyperlink>
      <w:r w:rsidRPr="00D84571">
        <w:rPr>
          <w:rFonts w:ascii="Times New Roman" w:hAnsi="Times New Roman" w:cs="Times New Roman"/>
        </w:rPr>
        <w:t>).</w:t>
      </w:r>
    </w:p>
    <w:p w14:paraId="333994A4"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21.10 </w:t>
      </w:r>
      <w:r w:rsidRPr="00D84571">
        <w:rPr>
          <w:rFonts w:ascii="Times New Roman" w:hAnsi="Times New Roman" w:cs="Times New Roman"/>
        </w:rPr>
        <w:t>A forma de cômputo e as consequências da soma de diversas sanções aplicadas a uma mesma empresa e derivadas de contratos distintos seguirá o disposto (</w:t>
      </w:r>
      <w:hyperlink r:id="rId231" w:anchor="art161" w:history="1">
        <w:r w:rsidRPr="00D84571">
          <w:rPr>
            <w:rStyle w:val="Hyperlink"/>
            <w:rFonts w:ascii="Times New Roman" w:hAnsi="Times New Roman" w:cs="Times New Roman"/>
          </w:rPr>
          <w:t>art. 161, parágrafo único da Lei nº 14.133/2021</w:t>
        </w:r>
      </w:hyperlink>
      <w:r w:rsidRPr="00D84571">
        <w:rPr>
          <w:rFonts w:ascii="Times New Roman" w:hAnsi="Times New Roman" w:cs="Times New Roman"/>
        </w:rPr>
        <w:t>).</w:t>
      </w:r>
    </w:p>
    <w:p w14:paraId="430822BB"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21.11</w:t>
      </w:r>
      <w:r w:rsidRPr="00D84571">
        <w:rPr>
          <w:rFonts w:ascii="Times New Roman" w:hAnsi="Times New Roman" w:cs="Times New Roman"/>
        </w:rPr>
        <w:t xml:space="preserve"> O atraso injustificado na execução do contrato sujeitará o contratado a multa de mora, na forma prevista no inciso II do item 2 (</w:t>
      </w:r>
      <w:hyperlink r:id="rId232" w:anchor="art162" w:history="1">
        <w:r w:rsidRPr="00D84571">
          <w:rPr>
            <w:rStyle w:val="Hyperlink"/>
            <w:rFonts w:ascii="Times New Roman" w:hAnsi="Times New Roman" w:cs="Times New Roman"/>
          </w:rPr>
          <w:t>art. 162 da Lei nº 14.133/2021</w:t>
        </w:r>
      </w:hyperlink>
      <w:r w:rsidRPr="00D84571">
        <w:rPr>
          <w:rFonts w:ascii="Times New Roman" w:hAnsi="Times New Roman" w:cs="Times New Roman"/>
        </w:rPr>
        <w:t>).</w:t>
      </w:r>
    </w:p>
    <w:p w14:paraId="2A2940E4"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21.11.1</w:t>
      </w:r>
      <w:r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33"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w:t>
      </w:r>
      <w:hyperlink r:id="rId234" w:anchor="art162" w:history="1">
        <w:r w:rsidRPr="00D84571">
          <w:rPr>
            <w:rStyle w:val="Hyperlink"/>
            <w:rFonts w:ascii="Times New Roman" w:hAnsi="Times New Roman" w:cs="Times New Roman"/>
          </w:rPr>
          <w:t>art. 162, parágrafo único da Lei nº 14.133/2021</w:t>
        </w:r>
      </w:hyperlink>
      <w:r w:rsidRPr="00D84571">
        <w:rPr>
          <w:rFonts w:ascii="Times New Roman" w:hAnsi="Times New Roman" w:cs="Times New Roman"/>
        </w:rPr>
        <w:t>).</w:t>
      </w:r>
    </w:p>
    <w:p w14:paraId="0BAB4652"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21.12</w:t>
      </w:r>
      <w:r w:rsidRPr="00D84571">
        <w:rPr>
          <w:rFonts w:ascii="Times New Roman" w:hAnsi="Times New Roman" w:cs="Times New Roman"/>
        </w:rPr>
        <w:t xml:space="preserve"> É admitida a reabilitação do licitante ou contratado perante o Município de Riqueza, exigidos, cumulativamente (</w:t>
      </w:r>
      <w:hyperlink r:id="rId235" w:anchor="art163" w:history="1">
        <w:r w:rsidRPr="00D84571">
          <w:rPr>
            <w:rStyle w:val="Hyperlink"/>
            <w:rFonts w:ascii="Times New Roman" w:hAnsi="Times New Roman" w:cs="Times New Roman"/>
          </w:rPr>
          <w:t>art. 163 da Lei nº 14.133/2021</w:t>
        </w:r>
      </w:hyperlink>
      <w:r w:rsidRPr="00D84571">
        <w:rPr>
          <w:rFonts w:ascii="Times New Roman" w:hAnsi="Times New Roman" w:cs="Times New Roman"/>
        </w:rPr>
        <w:t>):</w:t>
      </w:r>
    </w:p>
    <w:p w14:paraId="44B562F3" w14:textId="77777777" w:rsidR="00B307DB" w:rsidRPr="00D84571" w:rsidRDefault="00B307DB" w:rsidP="00B307DB">
      <w:pPr>
        <w:pStyle w:val="PargrafodaLista"/>
        <w:tabs>
          <w:tab w:val="left" w:pos="284"/>
          <w:tab w:val="left" w:pos="709"/>
          <w:tab w:val="left" w:pos="851"/>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Reparação integral do dano causado à Administração Pública Municipal;</w:t>
      </w:r>
    </w:p>
    <w:p w14:paraId="7DA1CFBA" w14:textId="77777777" w:rsidR="00B307DB" w:rsidRPr="00D84571" w:rsidRDefault="00B307DB" w:rsidP="00B307DB">
      <w:pPr>
        <w:pStyle w:val="PargrafodaLista"/>
        <w:tabs>
          <w:tab w:val="left" w:pos="284"/>
          <w:tab w:val="left" w:pos="426"/>
          <w:tab w:val="left" w:pos="709"/>
          <w:tab w:val="left" w:pos="851"/>
          <w:tab w:val="left" w:pos="993"/>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Pagamento da multa;</w:t>
      </w:r>
    </w:p>
    <w:p w14:paraId="43AB0F67" w14:textId="77777777" w:rsidR="00B307DB" w:rsidRPr="00D84571" w:rsidRDefault="00B307DB" w:rsidP="00B307DB">
      <w:pPr>
        <w:pStyle w:val="PargrafodaLista"/>
        <w:tabs>
          <w:tab w:val="left" w:pos="284"/>
          <w:tab w:val="left" w:pos="426"/>
          <w:tab w:val="left" w:pos="567"/>
          <w:tab w:val="left" w:pos="709"/>
          <w:tab w:val="left" w:pos="851"/>
          <w:tab w:val="left" w:pos="1134"/>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147AAD93" w14:textId="77777777" w:rsidR="00B307DB" w:rsidRPr="00D84571" w:rsidRDefault="00B307DB" w:rsidP="00B307DB">
      <w:pPr>
        <w:pStyle w:val="PargrafodaLista"/>
        <w:tabs>
          <w:tab w:val="left" w:pos="284"/>
          <w:tab w:val="left" w:pos="567"/>
          <w:tab w:val="left" w:pos="709"/>
          <w:tab w:val="left" w:pos="851"/>
          <w:tab w:val="left" w:pos="993"/>
          <w:tab w:val="left" w:pos="1134"/>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Cumprimento das condições de reabilitação definidas no ato punitivo;</w:t>
      </w:r>
    </w:p>
    <w:p w14:paraId="41619AFF" w14:textId="77777777" w:rsidR="00B307DB" w:rsidRPr="00D84571" w:rsidRDefault="00B307DB" w:rsidP="00B307DB">
      <w:pPr>
        <w:pStyle w:val="PargrafodaLista"/>
        <w:tabs>
          <w:tab w:val="left" w:pos="284"/>
          <w:tab w:val="left" w:pos="426"/>
          <w:tab w:val="left" w:pos="709"/>
          <w:tab w:val="left" w:pos="851"/>
          <w:tab w:val="left" w:pos="993"/>
        </w:tabs>
        <w:spacing w:after="0" w:line="240" w:lineRule="auto"/>
        <w:ind w:left="567" w:right="-568"/>
        <w:contextualSpacing w:val="0"/>
        <w:jc w:val="both"/>
        <w:rPr>
          <w:rFonts w:ascii="Times New Roman" w:hAnsi="Times New Roman" w:cs="Times New Roman"/>
        </w:rPr>
      </w:pPr>
      <w:r w:rsidRPr="009E240F">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Análise jurídica prévia, com posicionamento conclusivo quanto ao cumprimento dos requisitos definidos neste item.</w:t>
      </w:r>
    </w:p>
    <w:p w14:paraId="5884041F"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7834BF">
        <w:rPr>
          <w:rFonts w:ascii="Times New Roman" w:hAnsi="Times New Roman" w:cs="Times New Roman"/>
          <w:b/>
        </w:rPr>
        <w:t>21.12.1</w:t>
      </w:r>
      <w:r w:rsidRPr="007834BF">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36" w:anchor="art163" w:history="1">
        <w:r w:rsidRPr="007834BF">
          <w:rPr>
            <w:rStyle w:val="Hyperlink"/>
            <w:rFonts w:ascii="Times New Roman" w:hAnsi="Times New Roman" w:cs="Times New Roman"/>
          </w:rPr>
          <w:t>art. 163, parágrafo único da Lei nº 14.133/2021</w:t>
        </w:r>
      </w:hyperlink>
      <w:r w:rsidRPr="007834BF">
        <w:rPr>
          <w:rFonts w:ascii="Times New Roman" w:hAnsi="Times New Roman" w:cs="Times New Roman"/>
        </w:rPr>
        <w:t>).</w:t>
      </w:r>
    </w:p>
    <w:p w14:paraId="5B9F1125"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p>
    <w:p w14:paraId="0061AA43" w14:textId="77777777" w:rsidR="00B307DB" w:rsidRPr="00D84571" w:rsidRDefault="00B307DB" w:rsidP="00B307DB">
      <w:pPr>
        <w:pStyle w:val="Ttulo1"/>
        <w:shd w:val="clear" w:color="auto" w:fill="BFBFBF" w:themeFill="background1" w:themeFillShade="BF"/>
        <w:spacing w:before="0" w:line="240" w:lineRule="auto"/>
        <w:ind w:right="-568"/>
        <w:rPr>
          <w:rFonts w:ascii="Times New Roman" w:hAnsi="Times New Roman" w:cs="Times New Roman"/>
          <w:sz w:val="22"/>
          <w:szCs w:val="22"/>
        </w:rPr>
      </w:pPr>
      <w:r w:rsidRPr="00D84571">
        <w:rPr>
          <w:rFonts w:ascii="Times New Roman" w:hAnsi="Times New Roman" w:cs="Times New Roman"/>
          <w:sz w:val="22"/>
          <w:szCs w:val="22"/>
        </w:rPr>
        <w:t>22 DISPOSIÇÕES FINAIS</w:t>
      </w:r>
    </w:p>
    <w:p w14:paraId="3DCD7C72"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22.1</w:t>
      </w:r>
      <w:r w:rsidRPr="00D84571">
        <w:rPr>
          <w:rFonts w:ascii="Times New Roman" w:hAnsi="Times New Roman" w:cs="Times New Roman"/>
        </w:rPr>
        <w:t xml:space="preserve"> É facultado ao pregoeiro ou ao Prefeito de Riqueza,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0F2BEC6C"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22.2 </w:t>
      </w:r>
      <w:r w:rsidRPr="00D84571">
        <w:rPr>
          <w:rFonts w:ascii="Times New Roman" w:hAnsi="Times New Roman" w:cs="Times New Roman"/>
        </w:rPr>
        <w:t>Sobre a contagem dos prazos:</w:t>
      </w:r>
    </w:p>
    <w:p w14:paraId="2319A648" w14:textId="77777777" w:rsidR="00B307DB" w:rsidRPr="00D84571" w:rsidRDefault="00B307DB" w:rsidP="00B307DB">
      <w:pPr>
        <w:pStyle w:val="PargrafodaLista"/>
        <w:tabs>
          <w:tab w:val="left" w:pos="284"/>
          <w:tab w:val="left" w:pos="993"/>
        </w:tabs>
        <w:spacing w:after="0" w:line="240" w:lineRule="auto"/>
        <w:ind w:left="567" w:right="-568"/>
        <w:contextualSpacing w:val="0"/>
        <w:jc w:val="both"/>
        <w:rPr>
          <w:rFonts w:ascii="Times New Roman" w:hAnsi="Times New Roman" w:cs="Times New Roman"/>
        </w:rPr>
      </w:pPr>
      <w:r w:rsidRPr="00937D05">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 xml:space="preserve">Sempre observará o </w:t>
      </w:r>
      <w:hyperlink r:id="rId237" w:anchor="art183" w:history="1">
        <w:r w:rsidRPr="00D84571">
          <w:rPr>
            <w:rStyle w:val="Hyperlink"/>
            <w:rFonts w:ascii="Times New Roman" w:hAnsi="Times New Roman" w:cs="Times New Roman"/>
          </w:rPr>
          <w:t>art. 183 da Lei nº 14.133/2021</w:t>
        </w:r>
      </w:hyperlink>
      <w:r w:rsidRPr="00D84571">
        <w:rPr>
          <w:rFonts w:ascii="Times New Roman" w:hAnsi="Times New Roman" w:cs="Times New Roman"/>
        </w:rPr>
        <w:t>;</w:t>
      </w:r>
    </w:p>
    <w:p w14:paraId="2A0CD0BB"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937D05">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48B04EBB"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22.3</w:t>
      </w:r>
      <w:r w:rsidRPr="00D84571">
        <w:rPr>
          <w:rFonts w:ascii="Times New Roman" w:hAnsi="Times New Roman" w:cs="Times New Roman"/>
        </w:rPr>
        <w:t xml:space="preserve"> Para fins de garantir a ampla publicidade, este edital e seus anexos serão divulgados:</w:t>
      </w:r>
    </w:p>
    <w:p w14:paraId="2EC929A3"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rPr>
      </w:pPr>
      <w:r w:rsidRPr="00937D05">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Portal Nacional de Contratações Públicas – PNCP, a partir da adoção pelo Município (</w:t>
      </w:r>
      <w:hyperlink r:id="rId238"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764F138D" w14:textId="77777777" w:rsidR="00B307DB" w:rsidRPr="00D84571" w:rsidRDefault="00B307DB" w:rsidP="00B307DB">
      <w:pPr>
        <w:pStyle w:val="PargrafodaLista"/>
        <w:tabs>
          <w:tab w:val="left" w:pos="426"/>
          <w:tab w:val="left" w:pos="993"/>
        </w:tabs>
        <w:spacing w:after="0" w:line="240" w:lineRule="auto"/>
        <w:ind w:left="567" w:right="-568"/>
        <w:contextualSpacing w:val="0"/>
        <w:jc w:val="both"/>
        <w:rPr>
          <w:rFonts w:ascii="Times New Roman" w:hAnsi="Times New Roman" w:cs="Times New Roman"/>
          <w:color w:val="000000" w:themeColor="text1"/>
        </w:rPr>
      </w:pPr>
      <w:r w:rsidRPr="00937D05">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Página do Município de Riqueza (</w:t>
      </w:r>
      <w:hyperlink r:id="rId239" w:history="1">
        <w:r w:rsidRPr="00D84571">
          <w:rPr>
            <w:rStyle w:val="Hyperlink"/>
            <w:rFonts w:ascii="Times New Roman" w:hAnsi="Times New Roman" w:cs="Times New Roman"/>
          </w:rPr>
          <w:t>https://riqueza.sc.gov.br/</w:t>
        </w:r>
      </w:hyperlink>
      <w:r w:rsidRPr="00D84571">
        <w:rPr>
          <w:rFonts w:ascii="Times New Roman" w:hAnsi="Times New Roman" w:cs="Times New Roman"/>
        </w:rPr>
        <w:t>)</w:t>
      </w:r>
      <w:r w:rsidRPr="00D84571">
        <w:rPr>
          <w:rFonts w:ascii="Times New Roman" w:hAnsi="Times New Roman" w:cs="Times New Roman"/>
          <w:color w:val="000000" w:themeColor="text1"/>
        </w:rPr>
        <w:t>;</w:t>
      </w:r>
    </w:p>
    <w:p w14:paraId="52ADF10C" w14:textId="77777777" w:rsidR="00B307DB" w:rsidRPr="00D84571" w:rsidRDefault="00B307DB" w:rsidP="00B307DB">
      <w:pPr>
        <w:pStyle w:val="PargrafodaLista"/>
        <w:tabs>
          <w:tab w:val="left" w:pos="142"/>
          <w:tab w:val="left" w:pos="1134"/>
        </w:tabs>
        <w:spacing w:after="0" w:line="240" w:lineRule="auto"/>
        <w:ind w:left="567" w:right="-568"/>
        <w:contextualSpacing w:val="0"/>
        <w:jc w:val="both"/>
        <w:rPr>
          <w:rFonts w:ascii="Times New Roman" w:hAnsi="Times New Roman" w:cs="Times New Roman"/>
          <w:color w:val="000000" w:themeColor="text1"/>
        </w:rPr>
      </w:pPr>
      <w:r w:rsidRPr="00937D05">
        <w:rPr>
          <w:rFonts w:ascii="Times New Roman" w:hAnsi="Times New Roman" w:cs="Times New Roman"/>
          <w:b/>
          <w:color w:val="000000" w:themeColor="text1"/>
        </w:rPr>
        <w:t>III -</w:t>
      </w:r>
      <w:r>
        <w:rPr>
          <w:rFonts w:ascii="Times New Roman" w:hAnsi="Times New Roman" w:cs="Times New Roman"/>
          <w:color w:val="000000" w:themeColor="text1"/>
        </w:rPr>
        <w:t xml:space="preserve"> </w:t>
      </w:r>
      <w:r w:rsidRPr="00D84571">
        <w:rPr>
          <w:rFonts w:ascii="Times New Roman" w:hAnsi="Times New Roman" w:cs="Times New Roman"/>
          <w:color w:val="000000" w:themeColor="text1"/>
        </w:rPr>
        <w:t>Jornal diário de grande circulação local (</w:t>
      </w:r>
      <w:hyperlink r:id="rId240" w:anchor="art175%C2%A72" w:history="1">
        <w:r w:rsidRPr="00D84571">
          <w:rPr>
            <w:rStyle w:val="Hyperlink"/>
            <w:rFonts w:ascii="Times New Roman" w:hAnsi="Times New Roman" w:cs="Times New Roman"/>
          </w:rPr>
          <w:t>art. 175, § 2º da Lei nº 14.133/2021</w:t>
        </w:r>
      </w:hyperlink>
      <w:r w:rsidRPr="00D84571">
        <w:rPr>
          <w:rFonts w:ascii="Times New Roman" w:hAnsi="Times New Roman" w:cs="Times New Roman"/>
          <w:color w:val="000000" w:themeColor="text1"/>
        </w:rPr>
        <w:t>).</w:t>
      </w:r>
    </w:p>
    <w:p w14:paraId="760537B1" w14:textId="77777777" w:rsidR="00B307DB" w:rsidRPr="00D84571" w:rsidRDefault="00B307DB" w:rsidP="00B307DB">
      <w:pPr>
        <w:pStyle w:val="PargrafodaLista"/>
        <w:tabs>
          <w:tab w:val="left" w:pos="567"/>
          <w:tab w:val="left" w:pos="1134"/>
        </w:tabs>
        <w:spacing w:after="0" w:line="240" w:lineRule="auto"/>
        <w:ind w:left="567" w:right="-568"/>
        <w:contextualSpacing w:val="0"/>
        <w:jc w:val="both"/>
        <w:rPr>
          <w:rFonts w:ascii="Times New Roman" w:hAnsi="Times New Roman" w:cs="Times New Roman"/>
          <w:color w:val="000000" w:themeColor="text1"/>
        </w:rPr>
      </w:pPr>
      <w:r w:rsidRPr="00937D05">
        <w:rPr>
          <w:rFonts w:ascii="Times New Roman" w:hAnsi="Times New Roman" w:cs="Times New Roman"/>
          <w:b/>
          <w:color w:val="000000" w:themeColor="text1"/>
        </w:rPr>
        <w:t>IV -</w:t>
      </w:r>
      <w:r>
        <w:rPr>
          <w:rFonts w:ascii="Times New Roman" w:hAnsi="Times New Roman" w:cs="Times New Roman"/>
          <w:color w:val="000000" w:themeColor="text1"/>
        </w:rPr>
        <w:t xml:space="preserve"> </w:t>
      </w:r>
      <w:r w:rsidRPr="00D84571">
        <w:rPr>
          <w:rFonts w:ascii="Times New Roman" w:hAnsi="Times New Roman" w:cs="Times New Roman"/>
          <w:color w:val="000000" w:themeColor="text1"/>
        </w:rPr>
        <w:t>Diário Oficial dos Municípios – DOM (</w:t>
      </w:r>
      <w:r w:rsidRPr="00D84571">
        <w:rPr>
          <w:rFonts w:ascii="Times New Roman" w:hAnsi="Times New Roman" w:cs="Times New Roman"/>
          <w:color w:val="0070C0"/>
          <w:u w:val="single"/>
        </w:rPr>
        <w:t>art. 176, p. ú., I da Lei nº 14.133/2021</w:t>
      </w:r>
      <w:r w:rsidRPr="00D84571">
        <w:rPr>
          <w:rFonts w:ascii="Times New Roman" w:hAnsi="Times New Roman" w:cs="Times New Roman"/>
          <w:color w:val="000000" w:themeColor="text1"/>
        </w:rPr>
        <w:t>);</w:t>
      </w:r>
    </w:p>
    <w:p w14:paraId="41367571" w14:textId="77777777" w:rsidR="00B307DB" w:rsidRPr="00D84571" w:rsidRDefault="00B307DB" w:rsidP="00B307DB">
      <w:pPr>
        <w:tabs>
          <w:tab w:val="left" w:pos="1134"/>
        </w:tabs>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t>22.3.1</w:t>
      </w:r>
      <w:r w:rsidRPr="00D84571">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41" w:anchor="art25%C2%A73" w:history="1">
        <w:r w:rsidRPr="00D84571">
          <w:rPr>
            <w:rStyle w:val="Hyperlink"/>
            <w:rFonts w:ascii="Times New Roman" w:hAnsi="Times New Roman" w:cs="Times New Roman"/>
          </w:rPr>
          <w:t>art. 25, § 3º da Lei nº 14.133/2021</w:t>
        </w:r>
      </w:hyperlink>
      <w:r w:rsidRPr="00D84571">
        <w:rPr>
          <w:rFonts w:ascii="Times New Roman" w:hAnsi="Times New Roman" w:cs="Times New Roman"/>
          <w:color w:val="000000" w:themeColor="text1"/>
        </w:rPr>
        <w:t>).</w:t>
      </w:r>
    </w:p>
    <w:p w14:paraId="61443881" w14:textId="63B71C37" w:rsidR="00B307DB" w:rsidRPr="00667566" w:rsidRDefault="00B307DB" w:rsidP="000B0C4A">
      <w:pPr>
        <w:pStyle w:val="PargrafodaLista"/>
        <w:numPr>
          <w:ilvl w:val="1"/>
          <w:numId w:val="259"/>
        </w:numPr>
        <w:tabs>
          <w:tab w:val="left" w:pos="567"/>
          <w:tab w:val="left" w:pos="851"/>
        </w:tabs>
        <w:spacing w:after="0" w:line="240" w:lineRule="auto"/>
        <w:ind w:left="0" w:right="-568" w:firstLine="0"/>
        <w:jc w:val="both"/>
        <w:rPr>
          <w:rFonts w:ascii="Times New Roman" w:hAnsi="Times New Roman" w:cs="Times New Roman"/>
        </w:rPr>
      </w:pPr>
      <w:r w:rsidRPr="00667566">
        <w:rPr>
          <w:rFonts w:ascii="Times New Roman" w:hAnsi="Times New Roman" w:cs="Times New Roman"/>
        </w:rPr>
        <w:t xml:space="preserve">São anexos deste edital: </w:t>
      </w:r>
    </w:p>
    <w:p w14:paraId="11389F82" w14:textId="77777777" w:rsidR="00B307DB" w:rsidRPr="00667566"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 -</w:t>
      </w:r>
      <w:r w:rsidRPr="00667566">
        <w:rPr>
          <w:rFonts w:ascii="Times New Roman" w:hAnsi="Times New Roman" w:cs="Times New Roman"/>
        </w:rPr>
        <w:t xml:space="preserve"> Estudo Técnico Preliminar – ETP;</w:t>
      </w:r>
    </w:p>
    <w:p w14:paraId="444BEE41" w14:textId="77777777" w:rsidR="00B307DB" w:rsidRPr="00667566"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II -</w:t>
      </w:r>
      <w:r w:rsidRPr="00667566">
        <w:rPr>
          <w:rFonts w:ascii="Times New Roman" w:hAnsi="Times New Roman" w:cs="Times New Roman"/>
        </w:rPr>
        <w:t xml:space="preserve"> Termo de Referência – TR;</w:t>
      </w:r>
    </w:p>
    <w:p w14:paraId="30001E03" w14:textId="77777777" w:rsidR="00B307DB" w:rsidRPr="00667566"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III –</w:t>
      </w:r>
      <w:r w:rsidRPr="00667566">
        <w:rPr>
          <w:rFonts w:ascii="Times New Roman" w:hAnsi="Times New Roman" w:cs="Times New Roman"/>
        </w:rPr>
        <w:t xml:space="preserve"> Especificações Técnicas da Solução;</w:t>
      </w:r>
    </w:p>
    <w:p w14:paraId="0F8C303C" w14:textId="77777777" w:rsidR="00B307DB" w:rsidRPr="00667566" w:rsidRDefault="00B307DB" w:rsidP="00B307DB">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IV -</w:t>
      </w:r>
      <w:r w:rsidRPr="00667566">
        <w:rPr>
          <w:rFonts w:ascii="Times New Roman" w:hAnsi="Times New Roman" w:cs="Times New Roman"/>
        </w:rPr>
        <w:t xml:space="preserve"> Declaração inexistência de impedimentos;</w:t>
      </w:r>
    </w:p>
    <w:p w14:paraId="10232ACB" w14:textId="77777777" w:rsidR="00B307DB" w:rsidRPr="00667566" w:rsidRDefault="00B307DB" w:rsidP="00B307DB">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V -</w:t>
      </w:r>
      <w:r w:rsidRPr="00667566">
        <w:rPr>
          <w:rFonts w:ascii="Times New Roman" w:hAnsi="Times New Roman" w:cs="Times New Roman"/>
        </w:rPr>
        <w:t xml:space="preserve"> Declaração LGPD;</w:t>
      </w:r>
    </w:p>
    <w:p w14:paraId="302D5BAE" w14:textId="77777777" w:rsidR="00B307DB" w:rsidRPr="00667566" w:rsidRDefault="00B307DB" w:rsidP="00B307DB">
      <w:pPr>
        <w:pStyle w:val="PargrafodaLista"/>
        <w:widowControl w:val="0"/>
        <w:tabs>
          <w:tab w:val="left" w:pos="426"/>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VI -</w:t>
      </w:r>
      <w:r w:rsidRPr="00667566">
        <w:rPr>
          <w:rFonts w:ascii="Times New Roman" w:hAnsi="Times New Roman" w:cs="Times New Roman"/>
        </w:rPr>
        <w:t xml:space="preserve"> Declaração para LC 123/2006;</w:t>
      </w:r>
    </w:p>
    <w:p w14:paraId="5722E2F3" w14:textId="77777777" w:rsidR="00B307DB" w:rsidRPr="00667566" w:rsidRDefault="00B307DB" w:rsidP="00B307DB">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VII -</w:t>
      </w:r>
      <w:r w:rsidRPr="00667566">
        <w:rPr>
          <w:rFonts w:ascii="Times New Roman" w:hAnsi="Times New Roman" w:cs="Times New Roman"/>
        </w:rPr>
        <w:t xml:space="preserve"> Proposta + Declaração </w:t>
      </w:r>
      <w:hyperlink r:id="rId242" w:anchor="art63%C2%A71" w:history="1">
        <w:r w:rsidRPr="00667566">
          <w:rPr>
            <w:rStyle w:val="Hyperlink"/>
            <w:rFonts w:ascii="Times New Roman" w:hAnsi="Times New Roman" w:cs="Times New Roman"/>
          </w:rPr>
          <w:t>art. 63, § 1º</w:t>
        </w:r>
      </w:hyperlink>
      <w:r w:rsidRPr="00667566">
        <w:rPr>
          <w:rFonts w:ascii="Times New Roman" w:hAnsi="Times New Roman" w:cs="Times New Roman"/>
        </w:rPr>
        <w:t xml:space="preserve"> </w:t>
      </w:r>
    </w:p>
    <w:p w14:paraId="70695BB7" w14:textId="77777777" w:rsidR="00B307DB" w:rsidRPr="00667566" w:rsidRDefault="00B307DB" w:rsidP="00B307DB">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VIII -</w:t>
      </w:r>
      <w:r w:rsidRPr="00667566">
        <w:rPr>
          <w:rFonts w:ascii="Times New Roman" w:hAnsi="Times New Roman" w:cs="Times New Roman"/>
        </w:rPr>
        <w:t xml:space="preserve"> Declaração </w:t>
      </w:r>
      <w:hyperlink r:id="rId243" w:anchor="art63i" w:history="1">
        <w:r w:rsidRPr="00667566">
          <w:rPr>
            <w:rStyle w:val="Hyperlink"/>
            <w:rFonts w:ascii="Times New Roman" w:hAnsi="Times New Roman" w:cs="Times New Roman"/>
          </w:rPr>
          <w:t>art. 63, I</w:t>
        </w:r>
      </w:hyperlink>
      <w:r w:rsidRPr="00667566">
        <w:rPr>
          <w:rFonts w:ascii="Times New Roman" w:hAnsi="Times New Roman" w:cs="Times New Roman"/>
        </w:rPr>
        <w:t xml:space="preserve"> – atende os requisitos de habilitação;</w:t>
      </w:r>
    </w:p>
    <w:p w14:paraId="14F07AB6" w14:textId="77777777" w:rsidR="00B307DB" w:rsidRPr="00667566" w:rsidRDefault="00B307DB" w:rsidP="00B307DB">
      <w:pPr>
        <w:pStyle w:val="PargrafodaLista"/>
        <w:widowControl w:val="0"/>
        <w:tabs>
          <w:tab w:val="left" w:pos="709"/>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IX -</w:t>
      </w:r>
      <w:r w:rsidRPr="00667566">
        <w:rPr>
          <w:rFonts w:ascii="Times New Roman" w:hAnsi="Times New Roman" w:cs="Times New Roman"/>
        </w:rPr>
        <w:t xml:space="preserve"> Declaração </w:t>
      </w:r>
      <w:hyperlink r:id="rId244" w:anchor="art63iv" w:history="1">
        <w:r w:rsidRPr="00667566">
          <w:rPr>
            <w:rStyle w:val="Hyperlink"/>
            <w:rFonts w:ascii="Times New Roman" w:hAnsi="Times New Roman" w:cs="Times New Roman"/>
          </w:rPr>
          <w:t>art. 63, IV</w:t>
        </w:r>
      </w:hyperlink>
      <w:r w:rsidRPr="00667566">
        <w:rPr>
          <w:rFonts w:ascii="Times New Roman" w:hAnsi="Times New Roman" w:cs="Times New Roman"/>
        </w:rPr>
        <w:t xml:space="preserve"> – PcD e reabilitado da Previdência Social;</w:t>
      </w:r>
    </w:p>
    <w:p w14:paraId="68A05C13" w14:textId="77777777" w:rsidR="00B307DB" w:rsidRPr="00667566" w:rsidRDefault="00B307DB" w:rsidP="00B307DB">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X -</w:t>
      </w:r>
      <w:r w:rsidRPr="00667566">
        <w:rPr>
          <w:rFonts w:ascii="Times New Roman" w:hAnsi="Times New Roman" w:cs="Times New Roman"/>
        </w:rPr>
        <w:t xml:space="preserve"> Declaração art. 7º, XXXIII da CF/88 – proibição trabalho noturno;</w:t>
      </w:r>
    </w:p>
    <w:p w14:paraId="6AF93B70" w14:textId="77777777" w:rsidR="00B307DB" w:rsidRPr="00667566" w:rsidRDefault="00B307DB" w:rsidP="00B307DB">
      <w:pPr>
        <w:pStyle w:val="PargrafodaLista"/>
        <w:widowControl w:val="0"/>
        <w:tabs>
          <w:tab w:val="left" w:pos="567"/>
          <w:tab w:val="left" w:pos="993"/>
          <w:tab w:val="left" w:pos="1134"/>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XI -</w:t>
      </w:r>
      <w:r w:rsidRPr="00667566">
        <w:rPr>
          <w:rFonts w:ascii="Times New Roman" w:hAnsi="Times New Roman" w:cs="Times New Roman"/>
        </w:rPr>
        <w:t xml:space="preserve"> Relação dos compromissos assumidos;</w:t>
      </w:r>
    </w:p>
    <w:p w14:paraId="766A1F29" w14:textId="77777777" w:rsidR="00B307DB" w:rsidRPr="00D84571" w:rsidRDefault="00B307DB" w:rsidP="00B307DB">
      <w:pPr>
        <w:pStyle w:val="PargrafodaLista"/>
        <w:widowControl w:val="0"/>
        <w:tabs>
          <w:tab w:val="left" w:pos="993"/>
        </w:tabs>
        <w:adjustRightInd w:val="0"/>
        <w:spacing w:after="0" w:line="240" w:lineRule="auto"/>
        <w:ind w:left="567" w:right="-568"/>
        <w:contextualSpacing w:val="0"/>
        <w:jc w:val="both"/>
        <w:textAlignment w:val="baseline"/>
        <w:rPr>
          <w:rFonts w:ascii="Times New Roman" w:hAnsi="Times New Roman" w:cs="Times New Roman"/>
        </w:rPr>
      </w:pPr>
      <w:r w:rsidRPr="00667566">
        <w:rPr>
          <w:rFonts w:ascii="Times New Roman" w:hAnsi="Times New Roman" w:cs="Times New Roman"/>
          <w:b/>
        </w:rPr>
        <w:t>XII -</w:t>
      </w:r>
      <w:r w:rsidRPr="00667566">
        <w:rPr>
          <w:rFonts w:ascii="Times New Roman" w:hAnsi="Times New Roman" w:cs="Times New Roman"/>
        </w:rPr>
        <w:t xml:space="preserve"> Contrato Administrativo.</w:t>
      </w:r>
    </w:p>
    <w:p w14:paraId="603A6240" w14:textId="77777777" w:rsidR="00B307DB" w:rsidRDefault="00B307DB" w:rsidP="00B307DB">
      <w:pPr>
        <w:tabs>
          <w:tab w:val="left" w:pos="1134"/>
        </w:tabs>
        <w:spacing w:after="0" w:line="240" w:lineRule="auto"/>
        <w:ind w:right="-568"/>
        <w:jc w:val="both"/>
        <w:rPr>
          <w:rFonts w:ascii="Times New Roman" w:hAnsi="Times New Roman" w:cs="Times New Roman"/>
          <w:b/>
        </w:rPr>
      </w:pPr>
    </w:p>
    <w:p w14:paraId="3AD822EB"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22.5</w:t>
      </w:r>
      <w:r w:rsidRPr="00D84571">
        <w:rPr>
          <w:rFonts w:ascii="Times New Roman" w:hAnsi="Times New Roman" w:cs="Times New Roman"/>
        </w:rPr>
        <w:t xml:space="preserve"> Os casos omissos serão dirimidos com estrita observância à </w:t>
      </w:r>
      <w:hyperlink r:id="rId245" w:history="1">
        <w:r w:rsidRPr="00D84571">
          <w:rPr>
            <w:rStyle w:val="Hyperlink"/>
            <w:rFonts w:ascii="Times New Roman" w:hAnsi="Times New Roman" w:cs="Times New Roman"/>
          </w:rPr>
          <w:t>Lei nº 14.133/2021</w:t>
        </w:r>
      </w:hyperlink>
      <w:r w:rsidRPr="00D84571">
        <w:rPr>
          <w:rFonts w:ascii="Times New Roman" w:hAnsi="Times New Roman" w:cs="Times New Roman"/>
        </w:rPr>
        <w:t>.</w:t>
      </w:r>
    </w:p>
    <w:p w14:paraId="10C059E8"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22.6</w:t>
      </w:r>
      <w:r w:rsidRPr="00D84571">
        <w:rPr>
          <w:rFonts w:ascii="Times New Roman" w:hAnsi="Times New Roman" w:cs="Times New Roman"/>
        </w:rPr>
        <w:t xml:space="preserve"> As questões decorrentes das previsões deste edital que não possam ser dirimidas administrativamente serão processadas e julgadas no Foro da Comarca de Mondai/SC, com exclusão de qualquer outro, por mais privilegiado que seja.</w:t>
      </w:r>
    </w:p>
    <w:p w14:paraId="3E45C62A" w14:textId="77777777" w:rsidR="00B307DB" w:rsidRDefault="00B307DB" w:rsidP="00B307DB">
      <w:pPr>
        <w:suppressAutoHyphens/>
        <w:spacing w:after="0" w:line="240" w:lineRule="auto"/>
        <w:ind w:right="-568"/>
        <w:jc w:val="right"/>
        <w:rPr>
          <w:rFonts w:ascii="Times New Roman" w:hAnsi="Times New Roman" w:cs="Times New Roman"/>
        </w:rPr>
      </w:pPr>
    </w:p>
    <w:p w14:paraId="15D00B88" w14:textId="0794EFC4" w:rsidR="00B307DB" w:rsidRDefault="00B307DB" w:rsidP="00B307DB">
      <w:pPr>
        <w:suppressAutoHyphens/>
        <w:spacing w:after="0" w:line="240" w:lineRule="auto"/>
        <w:ind w:right="-568"/>
        <w:jc w:val="right"/>
        <w:rPr>
          <w:rFonts w:ascii="Times New Roman" w:hAnsi="Times New Roman" w:cs="Times New Roman"/>
        </w:rPr>
      </w:pPr>
      <w:r w:rsidRPr="00D84571">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94080" behindDoc="1" locked="0" layoutInCell="1" allowOverlap="1" wp14:anchorId="42189436" wp14:editId="43FAAD24">
                <wp:simplePos x="0" y="0"/>
                <wp:positionH relativeFrom="margin">
                  <wp:posOffset>-526485</wp:posOffset>
                </wp:positionH>
                <wp:positionV relativeFrom="paragraph">
                  <wp:posOffset>89959</wp:posOffset>
                </wp:positionV>
                <wp:extent cx="2126615" cy="1415332"/>
                <wp:effectExtent l="0" t="0" r="26035" b="1397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15332"/>
                        </a:xfrm>
                        <a:prstGeom prst="rect">
                          <a:avLst/>
                        </a:prstGeom>
                        <a:solidFill>
                          <a:srgbClr val="FFFFFF"/>
                        </a:solidFill>
                        <a:ln w="9525">
                          <a:solidFill>
                            <a:srgbClr val="000000"/>
                          </a:solidFill>
                          <a:miter lim="800000"/>
                        </a:ln>
                      </wps:spPr>
                      <wps:txbx>
                        <w:txbxContent>
                          <w:p w14:paraId="73E6EF0E"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7D6DCEEA" w14:textId="77777777" w:rsidR="00B307DB" w:rsidRPr="00CD3874" w:rsidRDefault="00B307DB" w:rsidP="00B307DB">
                            <w:pPr>
                              <w:spacing w:after="0" w:line="240" w:lineRule="auto"/>
                              <w:ind w:right="65"/>
                              <w:jc w:val="center"/>
                              <w:rPr>
                                <w:rFonts w:ascii="Courier New" w:hAnsi="Courier New" w:cs="Courier New"/>
                                <w:sz w:val="18"/>
                                <w:szCs w:val="18"/>
                              </w:rPr>
                            </w:pPr>
                          </w:p>
                          <w:p w14:paraId="78A7D752" w14:textId="77777777" w:rsidR="00B307DB" w:rsidRDefault="00B307DB" w:rsidP="00B307DB">
                            <w:pPr>
                              <w:spacing w:after="0" w:line="240" w:lineRule="auto"/>
                              <w:ind w:right="65"/>
                              <w:jc w:val="center"/>
                              <w:rPr>
                                <w:rFonts w:ascii="Courier New" w:hAnsi="Courier New" w:cs="Courier New"/>
                                <w:sz w:val="18"/>
                                <w:szCs w:val="18"/>
                              </w:rPr>
                            </w:pPr>
                          </w:p>
                          <w:p w14:paraId="59FC6FC8" w14:textId="77777777" w:rsidR="00B307DB" w:rsidRDefault="00B307DB" w:rsidP="00B307DB">
                            <w:pPr>
                              <w:spacing w:after="0" w:line="240" w:lineRule="auto"/>
                              <w:ind w:right="65"/>
                              <w:jc w:val="center"/>
                              <w:rPr>
                                <w:rFonts w:ascii="Courier New" w:hAnsi="Courier New" w:cs="Courier New"/>
                                <w:sz w:val="18"/>
                                <w:szCs w:val="18"/>
                              </w:rPr>
                            </w:pPr>
                          </w:p>
                          <w:p w14:paraId="44592366"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2AAFCE6E"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358F2BA7"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508A6967"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89436" id="Caixa de Texto 17" o:spid="_x0000_s1040" type="#_x0000_t202" style="position:absolute;left:0;text-align:left;margin-left:-41.45pt;margin-top:7.1pt;width:167.45pt;height:111.4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">
                <v:textbox>
                  <w:txbxContent>
                    <w:p w14:paraId="73E6EF0E"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7D6DCEEA" w14:textId="77777777" w:rsidR="00B307DB" w:rsidRPr="00CD3874" w:rsidRDefault="00B307DB" w:rsidP="00B307DB">
                      <w:pPr>
                        <w:spacing w:after="0" w:line="240" w:lineRule="auto"/>
                        <w:ind w:right="65"/>
                        <w:jc w:val="center"/>
                        <w:rPr>
                          <w:rFonts w:ascii="Courier New" w:hAnsi="Courier New" w:cs="Courier New"/>
                          <w:sz w:val="18"/>
                          <w:szCs w:val="18"/>
                        </w:rPr>
                      </w:pPr>
                    </w:p>
                    <w:p w14:paraId="78A7D752" w14:textId="77777777" w:rsidR="00B307DB" w:rsidRDefault="00B307DB" w:rsidP="00B307DB">
                      <w:pPr>
                        <w:spacing w:after="0" w:line="240" w:lineRule="auto"/>
                        <w:ind w:right="65"/>
                        <w:jc w:val="center"/>
                        <w:rPr>
                          <w:rFonts w:ascii="Courier New" w:hAnsi="Courier New" w:cs="Courier New"/>
                          <w:sz w:val="18"/>
                          <w:szCs w:val="18"/>
                        </w:rPr>
                      </w:pPr>
                    </w:p>
                    <w:p w14:paraId="59FC6FC8" w14:textId="77777777" w:rsidR="00B307DB" w:rsidRDefault="00B307DB" w:rsidP="00B307DB">
                      <w:pPr>
                        <w:spacing w:after="0" w:line="240" w:lineRule="auto"/>
                        <w:ind w:right="65"/>
                        <w:jc w:val="center"/>
                        <w:rPr>
                          <w:rFonts w:ascii="Courier New" w:hAnsi="Courier New" w:cs="Courier New"/>
                          <w:sz w:val="18"/>
                          <w:szCs w:val="18"/>
                        </w:rPr>
                      </w:pPr>
                    </w:p>
                    <w:p w14:paraId="44592366"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2AAFCE6E"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358F2BA7"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508A6967" w14:textId="77777777" w:rsidR="00B307DB" w:rsidRPr="00CD3874" w:rsidRDefault="00B307DB" w:rsidP="00B307DB">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r w:rsidRPr="00D84571">
        <w:rPr>
          <w:rFonts w:ascii="Times New Roman" w:hAnsi="Times New Roman" w:cs="Times New Roman"/>
        </w:rPr>
        <w:t>Riqueza/</w:t>
      </w:r>
      <w:r w:rsidRPr="00E24650">
        <w:rPr>
          <w:rFonts w:ascii="Times New Roman" w:hAnsi="Times New Roman" w:cs="Times New Roman"/>
        </w:rPr>
        <w:t xml:space="preserve">SC, </w:t>
      </w:r>
      <w:r w:rsidRPr="008A7138">
        <w:rPr>
          <w:rFonts w:ascii="Times New Roman" w:hAnsi="Times New Roman" w:cs="Times New Roman"/>
          <w:strike/>
          <w:color w:val="FF0000"/>
        </w:rPr>
        <w:t>11</w:t>
      </w:r>
      <w:r>
        <w:rPr>
          <w:rFonts w:ascii="Times New Roman" w:hAnsi="Times New Roman" w:cs="Times New Roman"/>
        </w:rPr>
        <w:t xml:space="preserve"> </w:t>
      </w:r>
      <w:r w:rsidRPr="000F161C">
        <w:rPr>
          <w:rFonts w:ascii="Times New Roman" w:hAnsi="Times New Roman" w:cs="Times New Roman"/>
          <w:strike/>
          <w:color w:val="FF0000"/>
        </w:rPr>
        <w:t>13</w:t>
      </w:r>
      <w:r w:rsidR="000F161C">
        <w:rPr>
          <w:rFonts w:ascii="Times New Roman" w:hAnsi="Times New Roman" w:cs="Times New Roman"/>
        </w:rPr>
        <w:t xml:space="preserve"> 29 </w:t>
      </w:r>
      <w:r w:rsidRPr="00E24650">
        <w:rPr>
          <w:rFonts w:ascii="Times New Roman" w:hAnsi="Times New Roman" w:cs="Times New Roman"/>
        </w:rPr>
        <w:t>de</w:t>
      </w:r>
      <w:r w:rsidRPr="00D84571">
        <w:rPr>
          <w:rFonts w:ascii="Times New Roman" w:hAnsi="Times New Roman" w:cs="Times New Roman"/>
        </w:rPr>
        <w:t xml:space="preserve"> </w:t>
      </w:r>
      <w:r>
        <w:rPr>
          <w:rFonts w:ascii="Times New Roman" w:hAnsi="Times New Roman" w:cs="Times New Roman"/>
        </w:rPr>
        <w:t>novembro</w:t>
      </w:r>
      <w:r w:rsidRPr="00D84571">
        <w:rPr>
          <w:rFonts w:ascii="Times New Roman" w:hAnsi="Times New Roman" w:cs="Times New Roman"/>
        </w:rPr>
        <w:t xml:space="preserve"> de 2024.</w:t>
      </w:r>
    </w:p>
    <w:p w14:paraId="695724D0" w14:textId="77777777" w:rsidR="00B307DB" w:rsidRDefault="00B307DB" w:rsidP="00B307DB">
      <w:pPr>
        <w:suppressAutoHyphens/>
        <w:spacing w:after="0" w:line="240" w:lineRule="auto"/>
        <w:ind w:right="-568"/>
        <w:jc w:val="right"/>
        <w:rPr>
          <w:rFonts w:ascii="Times New Roman" w:hAnsi="Times New Roman" w:cs="Times New Roman"/>
        </w:rPr>
      </w:pPr>
    </w:p>
    <w:p w14:paraId="4F2C398C" w14:textId="77777777" w:rsidR="00B307DB" w:rsidRDefault="00B307DB" w:rsidP="00B307DB">
      <w:pPr>
        <w:suppressAutoHyphens/>
        <w:spacing w:after="0" w:line="240" w:lineRule="auto"/>
        <w:ind w:right="-568"/>
        <w:jc w:val="right"/>
        <w:rPr>
          <w:rFonts w:ascii="Times New Roman" w:hAnsi="Times New Roman" w:cs="Times New Roman"/>
        </w:rPr>
      </w:pPr>
    </w:p>
    <w:p w14:paraId="6EA87E9B" w14:textId="77777777" w:rsidR="00B307DB" w:rsidRDefault="00B307DB" w:rsidP="00B307DB">
      <w:pPr>
        <w:suppressAutoHyphens/>
        <w:spacing w:after="0" w:line="240" w:lineRule="auto"/>
        <w:ind w:right="-568"/>
        <w:jc w:val="right"/>
        <w:rPr>
          <w:rFonts w:ascii="Times New Roman" w:hAnsi="Times New Roman" w:cs="Times New Roman"/>
        </w:rPr>
      </w:pPr>
    </w:p>
    <w:p w14:paraId="510DFCD7" w14:textId="77777777" w:rsidR="00B307DB" w:rsidRPr="00D84571" w:rsidRDefault="00B307DB" w:rsidP="00B307DB">
      <w:pPr>
        <w:suppressAutoHyphens/>
        <w:spacing w:after="0" w:line="240" w:lineRule="auto"/>
        <w:ind w:right="-568"/>
        <w:jc w:val="right"/>
        <w:rPr>
          <w:rFonts w:ascii="Times New Roman" w:hAnsi="Times New Roman" w:cs="Times New Roman"/>
        </w:rPr>
      </w:pPr>
    </w:p>
    <w:p w14:paraId="20A999C0" w14:textId="0BE2F337" w:rsidR="00B307DB" w:rsidRPr="00D84571" w:rsidRDefault="000F161C" w:rsidP="00B307DB">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LEANDRO JOSÉ ALBA</w:t>
      </w:r>
    </w:p>
    <w:p w14:paraId="257C25D5" w14:textId="3202C47A" w:rsidR="00B307DB" w:rsidRDefault="000F161C"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ab/>
      </w:r>
      <w:r>
        <w:rPr>
          <w:rFonts w:ascii="Times New Roman" w:eastAsia="Times New Roman" w:hAnsi="Times New Roman" w:cs="Times New Roman"/>
          <w:lang w:eastAsia="pt-BR"/>
        </w:rPr>
        <w:tab/>
        <w:t>Prefeito em Exercício</w:t>
      </w:r>
    </w:p>
    <w:p w14:paraId="26C41002"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AA6D5F9" w14:textId="77777777" w:rsidR="00B307DB" w:rsidRPr="00D84571" w:rsidRDefault="00B307DB" w:rsidP="00B307DB">
      <w:pPr>
        <w:suppressAutoHyphens/>
        <w:spacing w:after="0" w:line="240" w:lineRule="auto"/>
        <w:ind w:right="-568"/>
        <w:jc w:val="center"/>
        <w:rPr>
          <w:rFonts w:ascii="Times New Roman" w:hAnsi="Times New Roman" w:cs="Times New Roman"/>
          <w:b/>
        </w:rPr>
      </w:pPr>
    </w:p>
    <w:p w14:paraId="7D6B829A"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07E4349"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6E80C61"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F2FBC4E"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557D8B9"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62209A0"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2D7FF7E"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3713960"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9B2DEFD"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E21427C"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D008030"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7429610"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083E1D7"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E7BE306"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1C148EE"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F178DBC"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5A50C6A"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7D9EAF0"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E16EE5F"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0C3B603"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F2A6289"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8130C9F"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DD7E423"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E57EB48"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DE9F775"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3C7163A"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7AC76EC"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E5B435B"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E33CB34"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4077F3B"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EA8BF4B"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3ABF7750"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E511473"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78A5831"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1663687"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946B402"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87477D5"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27260EAE"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7A0DFD0D"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05B1E5BF"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14C773FB"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42B92260"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53688D92" w14:textId="77777777" w:rsidR="00B307DB" w:rsidRDefault="00B307DB" w:rsidP="00B307DB">
      <w:pPr>
        <w:widowControl w:val="0"/>
        <w:tabs>
          <w:tab w:val="left" w:pos="1701"/>
          <w:tab w:val="center" w:pos="4536"/>
          <w:tab w:val="left" w:pos="7013"/>
        </w:tabs>
        <w:adjustRightInd w:val="0"/>
        <w:spacing w:after="0" w:line="240" w:lineRule="auto"/>
        <w:ind w:right="-568"/>
        <w:textAlignment w:val="baseline"/>
        <w:rPr>
          <w:rFonts w:ascii="Times New Roman" w:eastAsia="Times New Roman" w:hAnsi="Times New Roman" w:cs="Times New Roman"/>
          <w:lang w:eastAsia="pt-BR"/>
        </w:rPr>
      </w:pPr>
    </w:p>
    <w:p w14:paraId="6D0C0BED" w14:textId="77777777" w:rsidR="00B307DB" w:rsidRPr="00F621B2" w:rsidRDefault="00B307DB" w:rsidP="00B307DB">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F621B2">
        <w:rPr>
          <w:rFonts w:ascii="Times New Roman" w:hAnsi="Times New Roman" w:cs="Times New Roman"/>
          <w:b/>
        </w:rPr>
        <w:t xml:space="preserve">PROCESSO LICITATÓRIO Nº </w:t>
      </w:r>
      <w:r>
        <w:rPr>
          <w:rFonts w:ascii="Times New Roman" w:hAnsi="Times New Roman" w:cs="Times New Roman"/>
          <w:b/>
        </w:rPr>
        <w:t>965/2024</w:t>
      </w:r>
      <w:r w:rsidRPr="00F621B2">
        <w:rPr>
          <w:rFonts w:ascii="Times New Roman" w:hAnsi="Times New Roman" w:cs="Times New Roman"/>
          <w:b/>
        </w:rPr>
        <w:t xml:space="preserve"> </w:t>
      </w:r>
    </w:p>
    <w:p w14:paraId="023286E7" w14:textId="77777777" w:rsidR="00B307DB" w:rsidRPr="00F621B2" w:rsidRDefault="00B307DB" w:rsidP="00B307DB">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F621B2">
        <w:rPr>
          <w:rFonts w:ascii="Times New Roman" w:hAnsi="Times New Roman" w:cs="Times New Roman"/>
          <w:b/>
        </w:rPr>
        <w:t xml:space="preserve">PREGÃO ELETRÔNICO Nº </w:t>
      </w:r>
      <w:r>
        <w:rPr>
          <w:rFonts w:ascii="Times New Roman" w:hAnsi="Times New Roman" w:cs="Times New Roman"/>
          <w:b/>
        </w:rPr>
        <w:t>36/2024</w:t>
      </w:r>
      <w:r w:rsidRPr="00F621B2">
        <w:rPr>
          <w:rFonts w:ascii="Times New Roman" w:hAnsi="Times New Roman" w:cs="Times New Roman"/>
          <w:b/>
        </w:rPr>
        <w:t xml:space="preserve"> </w:t>
      </w:r>
    </w:p>
    <w:p w14:paraId="676DEC82" w14:textId="77777777" w:rsidR="00B307DB" w:rsidRPr="00F621B2" w:rsidRDefault="00B307DB" w:rsidP="00B307DB">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F1737F4" w14:textId="77777777" w:rsidR="00B307DB" w:rsidRPr="00F621B2" w:rsidRDefault="00B307DB" w:rsidP="00B307DB">
      <w:pPr>
        <w:pStyle w:val="Ttulo1"/>
        <w:shd w:val="clear" w:color="auto" w:fill="BFBFBF" w:themeFill="background1" w:themeFillShade="BF"/>
        <w:spacing w:before="0" w:line="240" w:lineRule="auto"/>
        <w:ind w:right="-568"/>
        <w:jc w:val="center"/>
        <w:rPr>
          <w:rFonts w:ascii="Times New Roman" w:hAnsi="Times New Roman" w:cs="Times New Roman"/>
          <w:sz w:val="22"/>
          <w:szCs w:val="22"/>
        </w:rPr>
      </w:pPr>
      <w:r w:rsidRPr="00F621B2">
        <w:rPr>
          <w:rFonts w:ascii="Times New Roman" w:hAnsi="Times New Roman" w:cs="Times New Roman"/>
          <w:sz w:val="22"/>
          <w:szCs w:val="22"/>
        </w:rPr>
        <w:t>ANEXO I – ESTUDO TÉCNICO PRELIMINAR</w:t>
      </w:r>
    </w:p>
    <w:p w14:paraId="38CA7EBB" w14:textId="77777777" w:rsidR="00B307DB" w:rsidRPr="00F621B2" w:rsidRDefault="00B307DB" w:rsidP="00B307DB">
      <w:pPr>
        <w:spacing w:after="0" w:line="240" w:lineRule="auto"/>
        <w:ind w:right="-568"/>
        <w:jc w:val="center"/>
        <w:rPr>
          <w:rFonts w:ascii="Times New Roman" w:hAnsi="Times New Roman" w:cs="Times New Roman"/>
          <w:b/>
        </w:rPr>
      </w:pPr>
    </w:p>
    <w:p w14:paraId="4B6CA5C6" w14:textId="77777777" w:rsidR="00B307DB" w:rsidRPr="00F621B2" w:rsidRDefault="00B307DB" w:rsidP="00B307DB">
      <w:pPr>
        <w:spacing w:after="0" w:line="240" w:lineRule="auto"/>
        <w:ind w:right="-568"/>
        <w:jc w:val="center"/>
        <w:rPr>
          <w:rFonts w:ascii="Times New Roman" w:hAnsi="Times New Roman" w:cs="Times New Roman"/>
          <w:b/>
          <w:u w:val="single"/>
        </w:rPr>
      </w:pPr>
      <w:r w:rsidRPr="00F621B2">
        <w:rPr>
          <w:rFonts w:ascii="Times New Roman" w:hAnsi="Times New Roman" w:cs="Times New Roman"/>
          <w:b/>
          <w:u w:val="single"/>
        </w:rPr>
        <w:t xml:space="preserve">ESTUDO TÉCNICO PRELIMINAR </w:t>
      </w:r>
      <w:r>
        <w:rPr>
          <w:rFonts w:ascii="Times New Roman" w:hAnsi="Times New Roman" w:cs="Times New Roman"/>
          <w:b/>
          <w:u w:val="single"/>
        </w:rPr>
        <w:t>31</w:t>
      </w:r>
      <w:r w:rsidRPr="00F621B2">
        <w:rPr>
          <w:rFonts w:ascii="Times New Roman" w:hAnsi="Times New Roman" w:cs="Times New Roman"/>
          <w:b/>
          <w:u w:val="single"/>
        </w:rPr>
        <w:t>/2024</w:t>
      </w:r>
    </w:p>
    <w:p w14:paraId="22206E9B" w14:textId="77777777" w:rsidR="00B307DB" w:rsidRPr="00F621B2" w:rsidRDefault="00D52F36" w:rsidP="00B307DB">
      <w:pPr>
        <w:spacing w:after="0" w:line="240" w:lineRule="auto"/>
        <w:ind w:right="-568"/>
        <w:jc w:val="center"/>
        <w:rPr>
          <w:rFonts w:ascii="Times New Roman" w:hAnsi="Times New Roman" w:cs="Times New Roman"/>
          <w:color w:val="0563C1"/>
          <w:u w:val="single"/>
        </w:rPr>
      </w:pPr>
      <w:hyperlink r:id="rId246" w:history="1">
        <w:r w:rsidR="00B307DB" w:rsidRPr="00F621B2">
          <w:rPr>
            <w:rStyle w:val="Hyperlink"/>
            <w:rFonts w:ascii="Times New Roman" w:hAnsi="Times New Roman" w:cs="Times New Roman"/>
          </w:rPr>
          <w:t>Lei Federal nº 14.133/2021</w:t>
        </w:r>
      </w:hyperlink>
      <w:r w:rsidR="00B307DB" w:rsidRPr="00F621B2">
        <w:rPr>
          <w:rFonts w:ascii="Times New Roman" w:hAnsi="Times New Roman" w:cs="Times New Roman"/>
        </w:rPr>
        <w:t xml:space="preserve">: </w:t>
      </w:r>
      <w:hyperlink r:id="rId247" w:anchor="art6xx" w:history="1">
        <w:r w:rsidR="00B307DB" w:rsidRPr="00F621B2">
          <w:rPr>
            <w:rStyle w:val="Hyperlink"/>
            <w:rFonts w:ascii="Times New Roman" w:hAnsi="Times New Roman" w:cs="Times New Roman"/>
          </w:rPr>
          <w:t>art. 6º, XX</w:t>
        </w:r>
      </w:hyperlink>
      <w:r w:rsidR="00B307DB" w:rsidRPr="00F621B2">
        <w:rPr>
          <w:rFonts w:ascii="Times New Roman" w:hAnsi="Times New Roman" w:cs="Times New Roman"/>
        </w:rPr>
        <w:t xml:space="preserve"> c/c </w:t>
      </w:r>
      <w:hyperlink r:id="rId248" w:anchor="art18%C2%A71" w:history="1">
        <w:r w:rsidR="00B307DB" w:rsidRPr="00F621B2">
          <w:rPr>
            <w:rStyle w:val="Hyperlink"/>
            <w:rFonts w:ascii="Times New Roman" w:hAnsi="Times New Roman" w:cs="Times New Roman"/>
          </w:rPr>
          <w:t>art. 18, §§ 1º e 2º</w:t>
        </w:r>
      </w:hyperlink>
    </w:p>
    <w:p w14:paraId="513FE356" w14:textId="77777777" w:rsidR="00B307DB" w:rsidRPr="00E6193A" w:rsidRDefault="00B307DB" w:rsidP="00B307DB">
      <w:pPr>
        <w:spacing w:after="0" w:line="240" w:lineRule="auto"/>
        <w:ind w:right="-568"/>
        <w:jc w:val="both"/>
        <w:rPr>
          <w:rFonts w:ascii="Times New Roman" w:hAnsi="Times New Roman" w:cs="Times New Roman"/>
          <w:color w:val="0563C1"/>
          <w:u w:val="single"/>
        </w:rPr>
      </w:pPr>
    </w:p>
    <w:p w14:paraId="1B012878" w14:textId="77777777" w:rsidR="00B307DB" w:rsidRPr="004D65C9" w:rsidRDefault="00B307DB" w:rsidP="00147305">
      <w:pPr>
        <w:pStyle w:val="PargrafodaLista"/>
        <w:numPr>
          <w:ilvl w:val="0"/>
          <w:numId w:val="260"/>
        </w:numPr>
        <w:spacing w:after="0" w:line="240" w:lineRule="auto"/>
        <w:ind w:right="-568"/>
        <w:jc w:val="both"/>
        <w:rPr>
          <w:rFonts w:ascii="Times New Roman" w:eastAsia="Calibri" w:hAnsi="Times New Roman" w:cs="Times New Roman"/>
          <w:b/>
          <w:color w:val="000000" w:themeColor="text1"/>
          <w:u w:val="single"/>
        </w:rPr>
      </w:pPr>
      <w:r w:rsidRPr="004D65C9">
        <w:rPr>
          <w:rFonts w:ascii="Times New Roman" w:eastAsia="Calibri" w:hAnsi="Times New Roman" w:cs="Times New Roman"/>
          <w:b/>
          <w:color w:val="000000" w:themeColor="text1"/>
          <w:u w:val="single"/>
        </w:rPr>
        <w:t>INTRODUÇÃO</w:t>
      </w:r>
    </w:p>
    <w:p w14:paraId="167A4F59"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6D42D54F" w14:textId="77777777" w:rsidR="00B307DB" w:rsidRPr="00E6193A" w:rsidRDefault="00B307DB" w:rsidP="00B307DB">
      <w:pPr>
        <w:spacing w:after="0" w:line="240" w:lineRule="auto"/>
        <w:ind w:right="-568"/>
        <w:jc w:val="both"/>
        <w:rPr>
          <w:rFonts w:ascii="Times New Roman" w:eastAsia="Times New Roman" w:hAnsi="Times New Roman" w:cs="Times New Roman"/>
          <w:color w:val="0563C1" w:themeColor="hyperlink"/>
          <w:u w:val="single"/>
        </w:rPr>
      </w:pPr>
    </w:p>
    <w:p w14:paraId="37FE1895"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 Descrição da necessidade da contratação, considerado o problema a ser resolvido sob a perspectiva do interesse público.</w:t>
      </w:r>
    </w:p>
    <w:p w14:paraId="2A01E0BA"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1.1 </w:t>
      </w:r>
      <w:r w:rsidRPr="00E6193A">
        <w:rPr>
          <w:rFonts w:ascii="Times New Roman" w:eastAsia="SimSun" w:hAnsi="Times New Roman" w:cs="Times New Roman"/>
          <w:lang w:eastAsia="zh-CN" w:bidi="hi-IN"/>
        </w:rPr>
        <w:t>A descrição da necessidade da contratação, considerando o problema a ser resolvido sob a perspectiva do interesse público, engloba de forma crucial a atividade administrativa de forma sistêmica, como apresentado abaixo.</w:t>
      </w:r>
    </w:p>
    <w:p w14:paraId="2516F5D2"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 </w:t>
      </w:r>
      <w:r w:rsidRPr="00E6193A">
        <w:rPr>
          <w:rFonts w:ascii="Times New Roman" w:eastAsia="SimSun" w:hAnsi="Times New Roman" w:cs="Times New Roman"/>
          <w:lang w:eastAsia="zh-CN" w:bidi="hi-IN"/>
        </w:rPr>
        <w:t>Considerando, que a Administração Municipal precisa de solução informatizada que seja capaz de alinhar-se a realização de procedimentos internos, gestão de processos e prestação de serviços à comunidade, de maneira eficaz e eficiente, agilizando o deslinde das situações cotidianas, racionalizando métodos e reduzindo a circulação de processos e documentos em meio físico.</w:t>
      </w:r>
    </w:p>
    <w:p w14:paraId="7CE1403E"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1.3 </w:t>
      </w:r>
      <w:r w:rsidRPr="00E6193A">
        <w:rPr>
          <w:rFonts w:ascii="Times New Roman" w:eastAsia="Times New Roman" w:hAnsi="Times New Roman" w:cs="Times New Roman"/>
          <w:color w:val="000000"/>
          <w:lang w:eastAsia="pt-BR"/>
        </w:rPr>
        <w:t>Considerando, que a administração precisa realizar compras e processos licitatórios com total segurança quanto a disponibilidade de recursos e o fluxo de caixa, incluindo suas previsões e provisões, racionalizando os quantitativos de modo a promover o desenvolvimento regional sustentável e a sua responsável aplicação.</w:t>
      </w:r>
    </w:p>
    <w:p w14:paraId="686A8B40"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1.4 </w:t>
      </w:r>
      <w:r w:rsidRPr="00E6193A">
        <w:rPr>
          <w:rFonts w:ascii="Times New Roman" w:eastAsia="Times New Roman" w:hAnsi="Times New Roman" w:cs="Times New Roman"/>
          <w:color w:val="000000"/>
          <w:lang w:eastAsia="pt-BR"/>
        </w:rPr>
        <w:t>Considerando, que a Administração precisa adotar boas práticas, por meio do uso de ferramentas eficientes de gestão, que abranjam todos os setores envolvidos e apresentem elementos suficientes a tomada de decisão.</w:t>
      </w:r>
    </w:p>
    <w:p w14:paraId="5A6CF27C"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1.5 </w:t>
      </w:r>
      <w:r w:rsidRPr="00E6193A">
        <w:rPr>
          <w:rFonts w:ascii="Times New Roman" w:eastAsia="Times New Roman" w:hAnsi="Times New Roman" w:cs="Times New Roman"/>
          <w:color w:val="000000"/>
          <w:lang w:eastAsia="pt-BR"/>
        </w:rPr>
        <w:t>Considerando, que a Administração precisa que os dados e informações dos administrados, bem como as administrativas, sejam mantidas em ambiente seguro e imediatamente recuperáveis em caso de sinistro.</w:t>
      </w:r>
    </w:p>
    <w:p w14:paraId="209F6FE4"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color w:val="000000"/>
          <w:lang w:eastAsia="zh-CN" w:bidi="hi-IN"/>
        </w:rPr>
      </w:pPr>
      <w:r w:rsidRPr="00E6193A">
        <w:rPr>
          <w:rFonts w:ascii="Times New Roman" w:eastAsia="SimSun" w:hAnsi="Times New Roman" w:cs="Times New Roman"/>
          <w:b/>
          <w:color w:val="000000"/>
          <w:lang w:eastAsia="zh-CN" w:bidi="hi-IN"/>
        </w:rPr>
        <w:t xml:space="preserve">1.6 </w:t>
      </w:r>
      <w:r w:rsidRPr="00E6193A">
        <w:rPr>
          <w:rFonts w:ascii="Times New Roman" w:eastAsia="SimSun" w:hAnsi="Times New Roman" w:cs="Times New Roman"/>
          <w:color w:val="000000"/>
          <w:lang w:eastAsia="zh-CN" w:bidi="hi-IN"/>
        </w:rPr>
        <w:t>Considerando, que a Administração precisa que os dados e aplicativos estejam disponíveis para uso não só dentro das unidades administrativas, mas como em campo pelos agentes públicos e servidores ou empregados públicos em serviço no desempenho de suas funções institucionais (mobilidade) e alimentando em tempo real os bancos de informações disponíveis aos setores envolvidos; o</w:t>
      </w:r>
      <w:r w:rsidRPr="00E6193A">
        <w:rPr>
          <w:rFonts w:ascii="Times New Roman" w:eastAsia="SimSun" w:hAnsi="Times New Roman" w:cs="Times New Roman"/>
          <w:lang w:eastAsia="zh-CN" w:bidi="hi-IN"/>
        </w:rPr>
        <w:t xml:space="preserve"> objetivo principal da escolha deste tipo de solução, é viabilizar a conectividade de todos os laptops e desktops da Prefeitura e integração entre os diversos setores, e unidades administrativas que não ficam no edifício sede, inclusive dos integrantes da licitação conjunta, bem como a disponibilização de acesso a servidores que desempenham atividades em campo (fiscalização, atendimento ao cidadão, etc), ou que precisam de alguma maneira desenvolver trabalhos de maneira remota ou teletrabalho (como foi preciso na PANDEMIA COVID 19), ou autoridades ou servidores em trânsito que precisam de informações em tempo real, entre outras necessidades de aplicação e disponibilização de ferramentas de serviço de maneira instantânea, com dados confiáveis, atualizados em tempo real. Por isso, a Administração precisa de uma solução que seja 100% web.</w:t>
      </w:r>
    </w:p>
    <w:p w14:paraId="1F944670" w14:textId="77777777" w:rsidR="00B307DB" w:rsidRPr="00E6193A" w:rsidRDefault="00B307DB" w:rsidP="00B307DB">
      <w:pPr>
        <w:widowControl w:val="0"/>
        <w:tabs>
          <w:tab w:val="center" w:pos="567"/>
          <w:tab w:val="center" w:pos="4819"/>
          <w:tab w:val="right" w:pos="9360"/>
          <w:tab w:val="right" w:pos="9638"/>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1.7 </w:t>
      </w:r>
      <w:r w:rsidRPr="00E6193A">
        <w:rPr>
          <w:rFonts w:ascii="Times New Roman" w:eastAsia="SimSun" w:hAnsi="Times New Roman" w:cs="Times New Roman"/>
          <w:lang w:eastAsia="hi-IN" w:bidi="hi-IN"/>
        </w:rPr>
        <w:tab/>
        <w:t xml:space="preserve">Considerando, que a Administração precisa de softwares/aplicativos com alta disponibilidade, ou seja, disponíveis para acesso 24x7 dias em formato totalmente online com acesso Web e com Integração e compartilhamento de informações em tempo real sem limitadores de usuário, com modo de licenças de uso. Com facilidade de manutenção e uso (remota, de qualquer lugar com acesso à internet e qualquer aparelho com Android, Linux, Windows ou Mac/iOS. Tal se justifica: (1) uma porque os módulos que forem destinados ao uso pelo cidadão, precisam estar disponíveis quando de seu uso/necessidade, considerando os principais Sistemas Operacionais do mercado; (2) duas, porque rege no ordenamento jurídico brasileiro, no tocante ao serviço público, os princípios da continuidade, da regularidade, da adequação e da obrigatoriedade; e (3) três, para possibilitar a melhor gestão, economia de escala e maior </w:t>
      </w:r>
      <w:r w:rsidRPr="00E6193A">
        <w:rPr>
          <w:rFonts w:ascii="Times New Roman" w:eastAsia="SimSun" w:hAnsi="Times New Roman" w:cs="Times New Roman"/>
          <w:lang w:eastAsia="hi-IN" w:bidi="hi-IN"/>
        </w:rPr>
        <w:lastRenderedPageBreak/>
        <w:t>transparência.</w:t>
      </w:r>
    </w:p>
    <w:p w14:paraId="165EEA8A"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shd w:val="clear" w:color="auto" w:fill="FFFFFF"/>
          <w:lang w:eastAsia="zh-CN" w:bidi="hi-IN"/>
        </w:rPr>
        <w:t xml:space="preserve">1.8 </w:t>
      </w:r>
      <w:r w:rsidRPr="00E6193A">
        <w:rPr>
          <w:rFonts w:ascii="Times New Roman" w:eastAsia="SimSun" w:hAnsi="Times New Roman" w:cs="Times New Roman"/>
          <w:shd w:val="clear" w:color="auto" w:fill="FFFFFF"/>
          <w:lang w:eastAsia="zh-CN" w:bidi="hi-IN"/>
        </w:rPr>
        <w:t xml:space="preserve">Por estarem disponíveis </w:t>
      </w:r>
      <w:r w:rsidRPr="00E6193A">
        <w:rPr>
          <w:rFonts w:ascii="Times New Roman" w:eastAsia="SimSun" w:hAnsi="Times New Roman" w:cs="Times New Roman"/>
          <w:lang w:eastAsia="zh-CN" w:bidi="hi-IN"/>
        </w:rPr>
        <w:t>24x7 dias a todos os usuários, é preciso que o</w:t>
      </w:r>
      <w:r w:rsidRPr="00E6193A">
        <w:rPr>
          <w:rFonts w:ascii="Times New Roman" w:eastAsia="SimSun" w:hAnsi="Times New Roman" w:cs="Times New Roman"/>
          <w:shd w:val="clear" w:color="auto" w:fill="FFFFFF"/>
          <w:lang w:eastAsia="zh-CN" w:bidi="hi-IN"/>
        </w:rPr>
        <w:t xml:space="preserve">s dados do sistema sejam hospedados de forma segura de acordo com os requisitos de segurança da informação (Datacenter/servidor). O qual a Administração precisa que seja administrado pela contratada, por ser a </w:t>
      </w:r>
      <w:r w:rsidRPr="00E6193A">
        <w:rPr>
          <w:rFonts w:ascii="Times New Roman" w:eastAsia="SimSun" w:hAnsi="Times New Roman" w:cs="Times New Roman"/>
          <w:color w:val="000000"/>
          <w:lang w:eastAsia="zh-CN" w:bidi="hi-IN"/>
        </w:rPr>
        <w:t>detentora dos códigos fontes e da propriedade intelectual dos mesmos</w:t>
      </w:r>
      <w:r w:rsidRPr="00E6193A">
        <w:rPr>
          <w:rFonts w:ascii="Times New Roman" w:eastAsia="SimSun" w:hAnsi="Times New Roman" w:cs="Times New Roman"/>
          <w:shd w:val="clear" w:color="auto" w:fill="FFFFFF"/>
          <w:lang w:eastAsia="zh-CN" w:bidi="hi-IN"/>
        </w:rPr>
        <w:t xml:space="preserve">. </w:t>
      </w:r>
    </w:p>
    <w:p w14:paraId="52587E48"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shd w:val="clear" w:color="auto" w:fill="FFFFFF"/>
          <w:lang w:eastAsia="zh-CN" w:bidi="hi-IN"/>
        </w:rPr>
        <w:t xml:space="preserve">Nesse sentido, a Administração precisa, sendo </w:t>
      </w:r>
      <w:r w:rsidRPr="00E6193A">
        <w:rPr>
          <w:rFonts w:ascii="Times New Roman" w:eastAsia="SimSun" w:hAnsi="Times New Roman" w:cs="Times New Roman"/>
          <w:color w:val="000000"/>
          <w:lang w:eastAsia="zh-CN" w:bidi="hi-IN"/>
        </w:rPr>
        <w:t>essencial e imprescindível que sejam realizados serviços constantes de monitoramento, manutenção e assistência técnica de tais softwares, o que somente a Contratada poderá fazê-lo.</w:t>
      </w:r>
    </w:p>
    <w:p w14:paraId="27F17B4E"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1.9 </w:t>
      </w:r>
      <w:r w:rsidRPr="00E6193A">
        <w:rPr>
          <w:rFonts w:ascii="Times New Roman" w:eastAsia="SimSun" w:hAnsi="Times New Roman" w:cs="Times New Roman"/>
          <w:color w:val="000000"/>
          <w:lang w:eastAsia="zh-CN" w:bidi="hi-IN"/>
        </w:rPr>
        <w:t xml:space="preserve">Com a proximidade do fim de vigência do atual contrato, a Administração precisa de uma solução de informática que possa ser de imediato implantada, ou seja, que já esteja disponível no mercado. </w:t>
      </w:r>
    </w:p>
    <w:p w14:paraId="76142F6E"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1.10 </w:t>
      </w:r>
      <w:r w:rsidRPr="00E6193A">
        <w:rPr>
          <w:rFonts w:ascii="Times New Roman" w:eastAsia="SimSun" w:hAnsi="Times New Roman" w:cs="Times New Roman"/>
          <w:color w:val="000000"/>
          <w:lang w:eastAsia="zh-CN" w:bidi="hi-IN"/>
        </w:rPr>
        <w:t>A Administração precisa adotar boas práticas já reconhecidas pelo setor público de administração municipal, consistentes, evitando desperdício de tempo com desenvolvimento de soluções não padronizadas, que exijam tempo, esforço para a serem criadas, a custas de erros sistêmicos, sujeitos a maior ocasionalidade de inconsistências e mau funcionamento, convergindo em frustração, embaraços em processos e falta de agilidade, resultando em desperdício de tempo e de recursos públicos. Ou seja, a Administração não pretende penetrar em aventuras de resultados duvidosos e imprevisíveis.</w:t>
      </w:r>
    </w:p>
    <w:p w14:paraId="7F6C95D4"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1.11 </w:t>
      </w:r>
      <w:r w:rsidRPr="00E6193A">
        <w:rPr>
          <w:rFonts w:ascii="Times New Roman" w:eastAsia="SimSun" w:hAnsi="Times New Roman" w:cs="Times New Roman"/>
          <w:color w:val="000000"/>
          <w:lang w:eastAsia="zh-CN" w:bidi="hi-IN"/>
        </w:rPr>
        <w:t xml:space="preserve">Considerando, que a Administração precisa aumentar receitas e otimizar recursos, gerenciando contratos de tecnologia da informação de maneira racional e eficiente. </w:t>
      </w:r>
      <w:r w:rsidRPr="00E6193A">
        <w:rPr>
          <w:rFonts w:ascii="Times New Roman" w:eastAsia="SimSun" w:hAnsi="Times New Roman" w:cs="Times New Roman"/>
          <w:lang w:eastAsia="zh-CN" w:bidi="hi-IN"/>
        </w:rPr>
        <w:t xml:space="preserve">Nesse sentido, a solução precisa ser disponibilizada exclusivamente no modelo SaaS (software como serviço), 100% (cem por cento) por meio da internet, sem limite de usuários, </w:t>
      </w:r>
      <w:r w:rsidRPr="00E6193A">
        <w:rPr>
          <w:rFonts w:ascii="Times New Roman" w:eastAsia="SimSun" w:hAnsi="Times New Roman" w:cs="Times New Roman"/>
          <w:bCs/>
          <w:lang w:eastAsia="zh-CN" w:bidi="hi-IN"/>
        </w:rPr>
        <w:t>sem a necessidade de a CONTRATANTE adquirir licenças adicionais durante toda a vigência do contrato, melhorando a previsibilidade de aplicação de recursos e gerando economia.</w:t>
      </w:r>
    </w:p>
    <w:p w14:paraId="03BCE46C"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1.12 </w:t>
      </w:r>
      <w:r w:rsidRPr="00E6193A">
        <w:rPr>
          <w:rFonts w:ascii="Times New Roman" w:eastAsia="SimSun" w:hAnsi="Times New Roman" w:cs="Times New Roman"/>
          <w:bCs/>
          <w:lang w:eastAsia="zh-CN" w:bidi="hi-IN"/>
        </w:rPr>
        <w:t xml:space="preserve">Considerando, que a Administração precisa garantir </w:t>
      </w:r>
      <w:r w:rsidRPr="00E6193A">
        <w:rPr>
          <w:rFonts w:ascii="Times New Roman" w:eastAsia="SimSun" w:hAnsi="Times New Roman" w:cs="Times New Roman"/>
          <w:lang w:eastAsia="zh-CN" w:bidi="hi-IN"/>
        </w:rPr>
        <w:t xml:space="preserve">mobilidade, acessibilidade, evitando retrabalho ou perda de informações e promovendo redução de custos operacionais. Ou seja, precisa que a </w:t>
      </w:r>
      <w:r w:rsidRPr="00E6193A">
        <w:rPr>
          <w:rFonts w:ascii="Times New Roman" w:eastAsia="SimSun" w:hAnsi="Times New Roman" w:cs="Times New Roman"/>
          <w:bCs/>
          <w:lang w:eastAsia="zh-CN" w:bidi="hi-IN"/>
        </w:rPr>
        <w:t xml:space="preserve">solução possa ser acessada por diversos usuários ao mesmo tempo a aplicação e </w:t>
      </w:r>
      <w:r w:rsidRPr="00E6193A">
        <w:rPr>
          <w:rFonts w:ascii="Times New Roman" w:eastAsia="SimSun" w:hAnsi="Times New Roman" w:cs="Times New Roman"/>
          <w:lang w:eastAsia="zh-CN" w:bidi="hi-IN"/>
        </w:rPr>
        <w:t xml:space="preserve">cada um podendo acessar múltiplas sessões ao mesmo tempo e </w:t>
      </w:r>
      <w:r w:rsidRPr="00E6193A">
        <w:rPr>
          <w:rFonts w:ascii="Times New Roman" w:eastAsia="SimSun" w:hAnsi="Times New Roman" w:cs="Times New Roman"/>
          <w:lang w:eastAsia="pt-BR" w:bidi="hi-IN"/>
        </w:rPr>
        <w:t>com integração total entre os módulos, garantindo que os usuários alimentem as informações em cadastro ÚNICO para todas as áreas (evitando-se inconsistências e erros sistemáticos), e que sejam integráveis automaticamente os existentes e os que vierem a ser implantados de outras áreas, caso necessário</w:t>
      </w:r>
      <w:r w:rsidRPr="00E6193A">
        <w:rPr>
          <w:rFonts w:ascii="Times New Roman" w:eastAsia="SimSun" w:hAnsi="Times New Roman" w:cs="Times New Roman"/>
          <w:lang w:eastAsia="zh-CN" w:bidi="hi-IN"/>
        </w:rPr>
        <w:t>.</w:t>
      </w:r>
    </w:p>
    <w:p w14:paraId="0093C733"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1.13 </w:t>
      </w:r>
      <w:r w:rsidRPr="00E6193A">
        <w:rPr>
          <w:rFonts w:ascii="Times New Roman" w:eastAsia="SimSun" w:hAnsi="Times New Roman" w:cs="Times New Roman"/>
          <w:bCs/>
          <w:lang w:eastAsia="zh-CN" w:bidi="hi-IN"/>
        </w:rPr>
        <w:t xml:space="preserve">Desta forma, a Administração precisa de uma solução que permita a sua operação de forma eficiente, racional e facilite o bom desempenho de operações, serviços, consultas, e de maneira completamente integrada entre as diversas unidades, entidades, setores, áreas de aplicação. Dessa maneira, é necessário que a solução possua recursos internos que permitam a operação através de multi-janelas, ou seja, </w:t>
      </w:r>
      <w:r w:rsidRPr="00E6193A">
        <w:rPr>
          <w:rFonts w:ascii="Times New Roman" w:eastAsia="SimSun" w:hAnsi="Times New Roman" w:cs="Times New Roman"/>
          <w:lang w:eastAsia="zh-CN" w:bidi="hi-IN"/>
        </w:rPr>
        <w:t>sem que seja necessário constantemente fechar a aplicação e abrir outra, ou sair de um módulo para entrar em outro.</w:t>
      </w:r>
    </w:p>
    <w:p w14:paraId="404D9956"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1.14 </w:t>
      </w:r>
      <w:r w:rsidRPr="00E6193A">
        <w:rPr>
          <w:rFonts w:ascii="Times New Roman" w:eastAsia="SimSun" w:hAnsi="Times New Roman" w:cs="Times New Roman"/>
          <w:lang w:eastAsia="zh-CN" w:bidi="hi-IN"/>
        </w:rPr>
        <w:t xml:space="preserve">Ainda, a Administração precisa agilizar e racionalizar processos de cadastro de informações, consultas e garantir que dados estejam de acordo com outras bases nacionais. Dessa maneira, no mínimo a solução deve integrar com o Diretório Nacional </w:t>
      </w:r>
      <w:r w:rsidRPr="00E6193A">
        <w:rPr>
          <w:rFonts w:ascii="Times New Roman" w:eastAsia="SimSun" w:hAnsi="Times New Roman" w:cs="Times New Roman"/>
          <w:spacing w:val="-7"/>
          <w:lang w:eastAsia="zh-CN" w:bidi="hi-IN"/>
        </w:rPr>
        <w:t xml:space="preserve">de </w:t>
      </w:r>
      <w:r w:rsidRPr="00E6193A">
        <w:rPr>
          <w:rFonts w:ascii="Times New Roman" w:eastAsia="SimSun" w:hAnsi="Times New Roman" w:cs="Times New Roman"/>
          <w:lang w:eastAsia="zh-CN" w:bidi="hi-IN"/>
        </w:rPr>
        <w:t>Endereços (DNE) dos Correios. A base de endereçamento deve ser atualizada mensalmente e um serviço de consulta de endereços deve ser disponibilizado integrado a aplicação, desta forma quando configurado para integrar com o DNE, toda vez que um endereço é informado no sistema o mesmo deve ser validado conforme o DNE e inconformidades alertadas ao usuário podendo ajustar o endereço.</w:t>
      </w:r>
    </w:p>
    <w:p w14:paraId="7C005FB7"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1.15 </w:t>
      </w:r>
      <w:r w:rsidRPr="00E6193A">
        <w:rPr>
          <w:rFonts w:ascii="Times New Roman" w:eastAsia="SimSun" w:hAnsi="Times New Roman" w:cs="Times New Roman"/>
          <w:bCs/>
          <w:lang w:eastAsia="zh-CN" w:bidi="hi-IN"/>
        </w:rPr>
        <w:t>Considerando, que a Administração precisa que os módulos que compõe o sistema, atendam a legislação federal e estadual vigente, incluindo os atos normativos dos órgãos de controle externo, fazendo as adequações em suas ferramentas sempre que for necessário, para que os gestores não incorram em atos de ilegalidade ou em descompasso com as obrigações inerentes as operações, disponibilidade de informação, fiscalização e prestações de contas.</w:t>
      </w:r>
    </w:p>
    <w:p w14:paraId="3564F53A"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1.16 </w:t>
      </w:r>
      <w:r w:rsidRPr="00E6193A">
        <w:rPr>
          <w:rFonts w:ascii="Times New Roman" w:eastAsia="SimSun" w:hAnsi="Times New Roman" w:cs="Times New Roman"/>
          <w:bCs/>
          <w:lang w:eastAsia="zh-CN" w:bidi="hi-IN"/>
        </w:rPr>
        <w:t>Considerando, que a Administração precisa garantir a segurança, confidencialidade relativa, honestidade e lisura, de modo que os usuários só possam acessar os módulos ou dados que lhe cabem o serviço, bem como restringir a alteração e cadastro de informações, sendo, portanto, indispensável que a solução possibilite a criação de usuários e senhas com restrições de privilégios, de acordo com o tipo de usuário, bem como r</w:t>
      </w:r>
      <w:r w:rsidRPr="00E6193A">
        <w:rPr>
          <w:rFonts w:ascii="Times New Roman" w:eastAsia="SimSun" w:hAnsi="Times New Roman" w:cs="Times New Roman"/>
          <w:lang w:eastAsia="zh-CN" w:bidi="hi-IN"/>
        </w:rPr>
        <w:t>ealizar entrada de dados apenas via sistema, não sendo permitido o acesso direto ao Banco de</w:t>
      </w:r>
      <w:r w:rsidRPr="00E6193A">
        <w:rPr>
          <w:rFonts w:ascii="Times New Roman" w:eastAsia="SimSun" w:hAnsi="Times New Roman" w:cs="Times New Roman"/>
          <w:spacing w:val="-5"/>
          <w:lang w:eastAsia="zh-CN" w:bidi="hi-IN"/>
        </w:rPr>
        <w:t xml:space="preserve"> </w:t>
      </w:r>
      <w:r w:rsidRPr="00E6193A">
        <w:rPr>
          <w:rFonts w:ascii="Times New Roman" w:eastAsia="SimSun" w:hAnsi="Times New Roman" w:cs="Times New Roman"/>
          <w:lang w:eastAsia="zh-CN" w:bidi="hi-IN"/>
        </w:rPr>
        <w:t>Dados</w:t>
      </w:r>
      <w:r w:rsidRPr="00E6193A">
        <w:rPr>
          <w:rFonts w:ascii="Times New Roman" w:eastAsia="SimSun" w:hAnsi="Times New Roman" w:cs="Times New Roman"/>
          <w:bCs/>
          <w:lang w:eastAsia="zh-CN" w:bidi="hi-IN"/>
        </w:rPr>
        <w:t>.</w:t>
      </w:r>
    </w:p>
    <w:p w14:paraId="7D2094BF"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1.17 </w:t>
      </w:r>
      <w:r w:rsidRPr="00E6193A">
        <w:rPr>
          <w:rFonts w:ascii="Times New Roman" w:eastAsia="SimSun" w:hAnsi="Times New Roman" w:cs="Times New Roman"/>
          <w:bCs/>
          <w:lang w:eastAsia="zh-CN" w:bidi="hi-IN"/>
        </w:rPr>
        <w:t xml:space="preserve">A Administração precisa, além de garantir a lisura e a moralidade das atividades, aumentar sua eficiência por meio da racionalização de processos e procedimentos, inclusive quanto ao acesso de múltiplos sistemas relacionados a atividade pública, como plataformas de aplicações estaduais e </w:t>
      </w:r>
      <w:r w:rsidRPr="00E6193A">
        <w:rPr>
          <w:rFonts w:ascii="Times New Roman" w:eastAsia="SimSun" w:hAnsi="Times New Roman" w:cs="Times New Roman"/>
          <w:bCs/>
          <w:lang w:eastAsia="zh-CN" w:bidi="hi-IN"/>
        </w:rPr>
        <w:lastRenderedPageBreak/>
        <w:t xml:space="preserve">federais, sem a necessidade de o usuário ficar digitando ou decorando múltiplas senhas, ou mesmo em alguns casos, definir mecanismos que deem certeza da presença do usuário na operação, como na emissão de empenhos por exemplo. Dessa forma, a solução deverá permitir que o administrador do sistema defina formas de logins dos usuários por métodos disponíveis no setor/departamento, e risco da função, como </w:t>
      </w:r>
      <w:r w:rsidRPr="00E6193A">
        <w:rPr>
          <w:rFonts w:ascii="Times New Roman" w:eastAsia="SimSun" w:hAnsi="Times New Roman" w:cs="Times New Roman"/>
          <w:lang w:eastAsia="zh-CN" w:bidi="hi-IN"/>
        </w:rPr>
        <w:t xml:space="preserve">CPF e Senha, e- CPF/e-CNPJ, Biometria e Login Único Gov.Br da plataforma do Governo Federal. </w:t>
      </w:r>
      <w:r w:rsidRPr="00E6193A">
        <w:rPr>
          <w:rFonts w:ascii="Times New Roman" w:eastAsia="Times New Roman" w:hAnsi="Times New Roman" w:cs="Times New Roman"/>
          <w:color w:val="000000"/>
          <w:lang w:eastAsia="pt-BR" w:bidi="hi-IN"/>
        </w:rPr>
        <w:t>O login único GovBR, garante a identificação de cada cidadão que acessa os serviços digitais e remove entraves à acessibilidade dos serviços públicos pela população.</w:t>
      </w:r>
    </w:p>
    <w:p w14:paraId="65F76C0E"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1.18 </w:t>
      </w:r>
      <w:r w:rsidRPr="00E6193A">
        <w:rPr>
          <w:rFonts w:ascii="Times New Roman" w:eastAsia="SimSun" w:hAnsi="Times New Roman" w:cs="Times New Roman"/>
          <w:bCs/>
          <w:lang w:eastAsia="zh-CN" w:bidi="hi-IN"/>
        </w:rPr>
        <w:t xml:space="preserve">Considerando, que a Administração precisa, em nome da moralidade pública, garantir a lisura da prestação e das atividades funcionais, bem como facilitar os trabalhos de investigação em caso de operações irregulares, auxiliando inclusive os órgãos de controle (TCU, TCE, MPE, MPF, etc) com informações e dados. Dessa maneira, se faz necessário que o sistema grave todas operações realizadas em diversos níveis e possa gerar relatórios de visualização dos </w:t>
      </w:r>
      <w:r w:rsidRPr="00E6193A">
        <w:rPr>
          <w:rFonts w:ascii="Times New Roman" w:eastAsia="SimSun" w:hAnsi="Times New Roman" w:cs="Times New Roman"/>
          <w:bCs/>
          <w:i/>
          <w:iCs/>
          <w:lang w:eastAsia="zh-CN" w:bidi="hi-IN"/>
        </w:rPr>
        <w:t>logs</w:t>
      </w:r>
      <w:r w:rsidRPr="00E6193A">
        <w:rPr>
          <w:rFonts w:ascii="Times New Roman" w:eastAsia="SimSun" w:hAnsi="Times New Roman" w:cs="Times New Roman"/>
          <w:bCs/>
          <w:lang w:eastAsia="zh-CN" w:bidi="hi-IN"/>
        </w:rPr>
        <w:t xml:space="preserve"> para fins de auditoria, mantendo</w:t>
      </w:r>
      <w:r w:rsidRPr="00E6193A">
        <w:rPr>
          <w:rFonts w:ascii="Times New Roman" w:eastAsia="SimSun" w:hAnsi="Times New Roman" w:cs="Times New Roman"/>
          <w:lang w:eastAsia="zh-CN" w:bidi="hi-IN"/>
        </w:rPr>
        <w:t xml:space="preserve"> histórico de acessos por usuário, rotina e ação, registrando a data, hora e o nome do usuário, IP local do usuário no momento da operação.</w:t>
      </w:r>
    </w:p>
    <w:p w14:paraId="5FF93AE9"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1.19 </w:t>
      </w:r>
      <w:r w:rsidRPr="00E6193A">
        <w:rPr>
          <w:rFonts w:ascii="Times New Roman" w:eastAsia="SimSun" w:hAnsi="Times New Roman" w:cs="Times New Roman"/>
          <w:bCs/>
          <w:lang w:eastAsia="zh-CN" w:bidi="hi-IN"/>
        </w:rPr>
        <w:t xml:space="preserve">Considerando, que a Administração precisa </w:t>
      </w:r>
      <w:r w:rsidRPr="00E6193A">
        <w:rPr>
          <w:rFonts w:ascii="Times New Roman" w:eastAsia="SimSun" w:hAnsi="Times New Roman" w:cs="Times New Roman"/>
          <w:lang w:eastAsia="zh-CN" w:bidi="hi-IN"/>
        </w:rPr>
        <w:t>coibir eventuais falhas geradas por dados inconsistentes, sejam esses gerados pela própria aplicação ao longo do tempo ou então migrados de aplicações legadas, causando prejuízos ou danos. Dessa forma, é necessário que o sistema disponibilize recurso para consistência de dados, de múltiplas áreas/módulos, constantes da base de dados.</w:t>
      </w:r>
    </w:p>
    <w:p w14:paraId="7755F713"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1.20 </w:t>
      </w:r>
      <w:r w:rsidRPr="00E6193A">
        <w:rPr>
          <w:rFonts w:ascii="Times New Roman" w:eastAsia="SimSun" w:hAnsi="Times New Roman" w:cs="Times New Roman"/>
          <w:bCs/>
          <w:lang w:eastAsia="zh-CN" w:bidi="hi-IN"/>
        </w:rPr>
        <w:t>Considerando, que a Administração precisa garantir a confiabilidade e integridade das informações. Deve a solução, nesse sentido, g</w:t>
      </w:r>
      <w:r w:rsidRPr="00E6193A">
        <w:rPr>
          <w:rFonts w:ascii="Times New Roman" w:eastAsia="SimSun" w:hAnsi="Times New Roman" w:cs="Times New Roman"/>
          <w:lang w:eastAsia="zh-CN" w:bidi="hi-IN"/>
        </w:rPr>
        <w:t>arantir integridade referencial entre as tabelas do Banco de Dados, não permitindo a exclusão de informações que tenham vínculo com outros registros ativos via sistema e pelo banco de</w:t>
      </w:r>
      <w:r w:rsidRPr="00E6193A">
        <w:rPr>
          <w:rFonts w:ascii="Times New Roman" w:eastAsia="SimSun" w:hAnsi="Times New Roman" w:cs="Times New Roman"/>
          <w:spacing w:val="-7"/>
          <w:lang w:eastAsia="zh-CN" w:bidi="hi-IN"/>
        </w:rPr>
        <w:t xml:space="preserve"> </w:t>
      </w:r>
      <w:r w:rsidRPr="00E6193A">
        <w:rPr>
          <w:rFonts w:ascii="Times New Roman" w:eastAsia="SimSun" w:hAnsi="Times New Roman" w:cs="Times New Roman"/>
          <w:lang w:eastAsia="zh-CN" w:bidi="hi-IN"/>
        </w:rPr>
        <w:t xml:space="preserve">dados, bem como ser construído com o conceito de controle de transações (ou tudo é gravado ou nada é gravado e nada </w:t>
      </w:r>
      <w:r w:rsidRPr="00E6193A">
        <w:rPr>
          <w:rFonts w:ascii="Times New Roman" w:eastAsia="SimSun" w:hAnsi="Times New Roman" w:cs="Times New Roman"/>
          <w:spacing w:val="-17"/>
          <w:lang w:eastAsia="zh-CN" w:bidi="hi-IN"/>
        </w:rPr>
        <w:t xml:space="preserve">é  </w:t>
      </w:r>
      <w:r w:rsidRPr="00E6193A">
        <w:rPr>
          <w:rFonts w:ascii="Times New Roman" w:eastAsia="SimSun" w:hAnsi="Times New Roman" w:cs="Times New Roman"/>
          <w:lang w:eastAsia="zh-CN" w:bidi="hi-IN"/>
        </w:rPr>
        <w:t>corrompido/comprometido), garantindo a integridade das informações do banco de dados em casos de queda energia, falhas de hardware ou</w:t>
      </w:r>
      <w:r w:rsidRPr="00E6193A">
        <w:rPr>
          <w:rFonts w:ascii="Times New Roman" w:eastAsia="SimSun" w:hAnsi="Times New Roman" w:cs="Times New Roman"/>
          <w:spacing w:val="-3"/>
          <w:lang w:eastAsia="zh-CN" w:bidi="hi-IN"/>
        </w:rPr>
        <w:t xml:space="preserve"> </w:t>
      </w:r>
      <w:r w:rsidRPr="00E6193A">
        <w:rPr>
          <w:rFonts w:ascii="Times New Roman" w:eastAsia="SimSun" w:hAnsi="Times New Roman" w:cs="Times New Roman"/>
          <w:lang w:eastAsia="zh-CN" w:bidi="hi-IN"/>
        </w:rPr>
        <w:t>software. O usuário sempre deverá ser informado, sobre a finalização com sucesso ou não das transações operacionais (inclusão, alteração e/ou exclusão de registros), antes de liberar o controle da aplicação para a realização de outras atividades.</w:t>
      </w:r>
    </w:p>
    <w:p w14:paraId="37F48C76"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1.21 </w:t>
      </w:r>
      <w:r w:rsidRPr="00E6193A">
        <w:rPr>
          <w:rFonts w:ascii="Times New Roman" w:eastAsia="SimSun" w:hAnsi="Times New Roman" w:cs="Times New Roman"/>
          <w:lang w:eastAsia="zh-CN" w:bidi="hi-IN"/>
        </w:rPr>
        <w:t>Considerando, que a Administração precisa de eficiência na geração de relatórios e realização de tarefas que possam ser realizados por meio de configurações, sem a necessidade de intervenção da contratada, de modo que a solução disponibilize estrutura que permita configurar campos adicionais para determinadas rotinas simples, sem necessidade de customização, como adição de novos campos, criar agrupamentos de campos, definição de ordem de exibição de campos, bem como gerador de relatórios em diversos formatos de arquivos, pelo menos os mais usuais.</w:t>
      </w:r>
    </w:p>
    <w:p w14:paraId="3BBD6EBF"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1.22 </w:t>
      </w:r>
      <w:r w:rsidRPr="00E6193A">
        <w:rPr>
          <w:rFonts w:ascii="Times New Roman" w:eastAsia="SimSun" w:hAnsi="Times New Roman" w:cs="Times New Roman"/>
          <w:lang w:eastAsia="zh-CN" w:bidi="hi-IN"/>
        </w:rPr>
        <w:t>Assim, como o Ministério Público, Tribunal de Contas, Poder Judiciário, entre outras organizações públicas e privadas, a Administração precisa certificar documentos de forma eletrônica, diante do aumento da circulação de documentos em meio digital (racionalização e contribuição ao meio ambiente e Agenda 2030 da ONU). Portanto, imprescindível que o sistema possa dispor de recurso de Repositório de Certificados digitais, que garanta segurança, permitindo vincular certificados digitais, controlar vencimento de certificados no repositório, e permitir o uso de Assinatura Eletrônica, nas modalidades Básica, Avançada e Qualificada (conforme Lei 14.063/2020), de acordo com critérios previamente estabelecidos.</w:t>
      </w:r>
    </w:p>
    <w:p w14:paraId="6D4E7418"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1.23 </w:t>
      </w:r>
      <w:r w:rsidRPr="00E6193A">
        <w:rPr>
          <w:rFonts w:ascii="Times New Roman" w:eastAsia="SimSun" w:hAnsi="Times New Roman" w:cs="Times New Roman"/>
          <w:lang w:eastAsia="zh-CN" w:bidi="hi-IN"/>
        </w:rPr>
        <w:t>Considerando, que a Administração precisa dispor e realizar suas atividades em sequência lógica, estruturada, preferencialmente de forma automatizada para reduzir a circulação de documentos em meio físico, reduzir o tempo de tramitação de processos, reduzir erros sistemáticos e melhorar a eficiência da gestão e o serviço prestado ao cidadão. Dessa maneira, necessário que a solução possua recursos de desenho, configuração e execução de workflow, permitindo a utilização de metodologia BPMN (</w:t>
      </w:r>
      <w:r w:rsidRPr="00E6193A">
        <w:rPr>
          <w:rFonts w:ascii="Times New Roman" w:eastAsia="SimSun" w:hAnsi="Times New Roman" w:cs="Times New Roman"/>
          <w:i/>
          <w:iCs/>
          <w:lang w:eastAsia="zh-CN" w:bidi="hi-IN"/>
        </w:rPr>
        <w:t>Business Process Model and Notation</w:t>
      </w:r>
      <w:r w:rsidRPr="00E6193A">
        <w:rPr>
          <w:rFonts w:ascii="Times New Roman" w:eastAsia="SimSun" w:hAnsi="Times New Roman" w:cs="Times New Roman"/>
          <w:lang w:eastAsia="zh-CN" w:bidi="hi-IN"/>
        </w:rPr>
        <w:t>), incluindo Raias (horizontal e vertical), Eventos, Atividades, etc.</w:t>
      </w:r>
    </w:p>
    <w:p w14:paraId="75C8AD55"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1.24 </w:t>
      </w:r>
      <w:r w:rsidRPr="00E6193A">
        <w:rPr>
          <w:rFonts w:ascii="Times New Roman" w:eastAsia="SimSun" w:hAnsi="Times New Roman" w:cs="Times New Roman"/>
          <w:lang w:eastAsia="zh-CN" w:bidi="hi-IN"/>
        </w:rPr>
        <w:t>Considerando, que a Administração precisa de uma solução que atenda as regras impostas pela Lei Geral de Proteção de Dados Pessoais (LGPD)</w:t>
      </w:r>
      <w:r w:rsidRPr="00E6193A">
        <w:rPr>
          <w:rFonts w:ascii="Times New Roman" w:eastAsia="SimSun" w:hAnsi="Times New Roman" w:cs="Times New Roman"/>
          <w:shd w:val="clear" w:color="auto" w:fill="FFFFFF"/>
          <w:lang w:eastAsia="zh-CN" w:bidi="hi-IN"/>
        </w:rPr>
        <w:t>, por se tratar de obrigação da entidade municipal respeitar o referido diploma.</w:t>
      </w:r>
    </w:p>
    <w:p w14:paraId="2EAE9662"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shd w:val="clear" w:color="auto" w:fill="FFFFFF"/>
          <w:lang w:eastAsia="zh-CN" w:bidi="hi-IN"/>
        </w:rPr>
        <w:t xml:space="preserve">1.25 </w:t>
      </w:r>
      <w:r w:rsidRPr="00E6193A">
        <w:rPr>
          <w:rFonts w:ascii="Times New Roman" w:eastAsia="SimSun" w:hAnsi="Times New Roman" w:cs="Times New Roman"/>
          <w:shd w:val="clear" w:color="auto" w:fill="FFFFFF"/>
          <w:lang w:eastAsia="zh-CN" w:bidi="hi-IN"/>
        </w:rPr>
        <w:t>Diante da necessidade de trabalhos de campo (fiscais, auditores, etc), a Administração precisa que a solução permita a realização de impressão de documentos em impressoras térmicas, por meio direto de dispositivos móveis (</w:t>
      </w:r>
      <w:r w:rsidRPr="00E6193A">
        <w:rPr>
          <w:rFonts w:ascii="Times New Roman" w:eastAsia="SimSun" w:hAnsi="Times New Roman" w:cs="Times New Roman"/>
          <w:lang w:eastAsia="zh-CN" w:bidi="hi-IN"/>
        </w:rPr>
        <w:t>smartphone e/ou tablet), pelo menos na plataforma Android, já que se trata de equipamentos geralmente mais comuns e com custos mais acessíveis.</w:t>
      </w:r>
      <w:r w:rsidRPr="00E6193A">
        <w:rPr>
          <w:rFonts w:ascii="Times New Roman" w:eastAsia="SimSun" w:hAnsi="Times New Roman" w:cs="Times New Roman"/>
          <w:shd w:val="clear" w:color="auto" w:fill="FFFFFF"/>
          <w:lang w:eastAsia="zh-CN" w:bidi="hi-IN"/>
        </w:rPr>
        <w:t xml:space="preserve"> </w:t>
      </w:r>
    </w:p>
    <w:p w14:paraId="7ACBF4DB"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1.26 </w:t>
      </w:r>
      <w:r w:rsidRPr="00E6193A">
        <w:rPr>
          <w:rFonts w:ascii="Times New Roman" w:eastAsia="SimSun" w:hAnsi="Times New Roman" w:cs="Times New Roman"/>
          <w:lang w:eastAsia="zh-CN" w:bidi="hi-IN"/>
        </w:rPr>
        <w:t xml:space="preserve">Considerando, que a Administração precisa de uma solução que encare a realidade da infraestrutura de hardware, o parque de máquinas e disponibilidade de link de internet hoje existentes, limitações da </w:t>
      </w:r>
      <w:r w:rsidRPr="00E6193A">
        <w:rPr>
          <w:rFonts w:ascii="Times New Roman" w:eastAsia="SimSun" w:hAnsi="Times New Roman" w:cs="Times New Roman"/>
          <w:lang w:eastAsia="zh-CN" w:bidi="hi-IN"/>
        </w:rPr>
        <w:lastRenderedPageBreak/>
        <w:t xml:space="preserve">cidade/localidades, bem como heterogeneidade e compatibilidade de sistemas operacionais (SO) de hardware (das máquinas atuais e ou que possam ser adquiridos no futuro), não só em uso pela Administração Municipal, mas de agentes políticos e técnico e do próprio cidadão (para acesso a dados de transparência, serviços </w:t>
      </w:r>
      <w:r w:rsidRPr="00E6193A">
        <w:rPr>
          <w:rFonts w:ascii="Times New Roman" w:eastAsia="SimSun" w:hAnsi="Times New Roman" w:cs="Times New Roman"/>
          <w:i/>
          <w:iCs/>
          <w:lang w:eastAsia="zh-CN" w:bidi="hi-IN"/>
        </w:rPr>
        <w:t>on line</w:t>
      </w:r>
      <w:r w:rsidRPr="00E6193A">
        <w:rPr>
          <w:rFonts w:ascii="Times New Roman" w:eastAsia="SimSun" w:hAnsi="Times New Roman" w:cs="Times New Roman"/>
          <w:lang w:eastAsia="zh-CN" w:bidi="hi-IN"/>
        </w:rPr>
        <w:t xml:space="preserve">), de modo que, de acordo com a área de aplicação, seja compatível com as principais referências de SO no mercado a citar versões usuais: sistemas Linux, Windows 10 e 11, MacOS 11, 12, 13, no caso de laptops/desktops, Android e iOS, no caso de tablets e smartphones. </w:t>
      </w:r>
    </w:p>
    <w:p w14:paraId="7D7D6BCB"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1.27 </w:t>
      </w:r>
      <w:r w:rsidRPr="00E6193A">
        <w:rPr>
          <w:rFonts w:ascii="Times New Roman" w:eastAsia="SimSun" w:hAnsi="Times New Roman" w:cs="Times New Roman"/>
          <w:lang w:eastAsia="zh-CN" w:bidi="hi-IN"/>
        </w:rPr>
        <w:t xml:space="preserve">Entende-se que a Administração precisa de uma solução que tenha por premissa a democratização da universalidade do acesso aos recursos computacionais pelos usuários internos e externos. Portanto, do ponto de vista estratégico e funcional, a solução deve ser operável através dos principais navegadores padrão do mercado, e compatível com equipamentos móveis, visando assim a maior abrangência possível do acesso, tanto dos servidores públicos, como do cidadão. </w:t>
      </w:r>
    </w:p>
    <w:p w14:paraId="4F9D3CDC"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1.28 </w:t>
      </w:r>
      <w:r w:rsidRPr="00E6193A">
        <w:rPr>
          <w:rFonts w:ascii="Times New Roman" w:eastAsia="Times New Roman" w:hAnsi="Times New Roman" w:cs="Times New Roman"/>
          <w:color w:val="000000"/>
          <w:lang w:eastAsia="pt-BR"/>
        </w:rPr>
        <w:t>Considerando, que a Administração precisa que os servidores municipais possam extrair os melhores resultados, em termos de eficiência e racionalidade de operação, bem como dos benefícios esperados pelo uso da solução de softwares de gestão pública. Por isso, a interface dos softwares e aplicativos deve ser intuitiva, possibilitando operação simples, ainda que pelos usuários sem expertise. Uma interface intuitiva permitirá uma relação mais humanizada com a utilização do sistema.</w:t>
      </w:r>
    </w:p>
    <w:p w14:paraId="5E34B656"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1.29 </w:t>
      </w:r>
      <w:r w:rsidRPr="00E6193A">
        <w:rPr>
          <w:rFonts w:ascii="Times New Roman" w:eastAsia="Times New Roman" w:hAnsi="Times New Roman" w:cs="Times New Roman"/>
          <w:color w:val="000000"/>
          <w:lang w:eastAsia="pt-BR"/>
        </w:rPr>
        <w:t>Considerando, que a Administração vislumbra ainda, possível necessidade de treinamento dos servidores públicos para utilização das ferramentas eletrônicas contratadas, visando melhor aderência e conhecimento. Todavia, a Administração precisa que tais treinamentos sejam realizados durante o período destinado a implantação do sistema, de modo a não prejudicar o andamento das atividades públicas, quando a solução estiver disponível para uso pelos servidores municipais.</w:t>
      </w:r>
    </w:p>
    <w:p w14:paraId="2743E918"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1.30 </w:t>
      </w:r>
      <w:r w:rsidRPr="00E6193A">
        <w:rPr>
          <w:rFonts w:ascii="Times New Roman" w:eastAsia="Times New Roman" w:hAnsi="Times New Roman" w:cs="Times New Roman"/>
          <w:color w:val="000000"/>
          <w:lang w:eastAsia="pt-BR"/>
        </w:rPr>
        <w:t xml:space="preserve">Considerando, a extinção do contrato com a empresa atual fornecedora dos softwares utilizados por esta Prefeitura Municipal e também pela Câmara de Vereadores e que não será possível a prorrogação do contrato com a mesma em conformidade com a manifestação da empresa de não possuir interesse e continuidade do contrato após o dia 31/12/2024. E, sabendo da necessidade de manutenção dos serviços utilizados por estas municipalidades e consequentemente disponibilizados aos munícipes de Riqueza/SC. </w:t>
      </w:r>
    </w:p>
    <w:p w14:paraId="73520E1D"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1.31 </w:t>
      </w:r>
      <w:r w:rsidRPr="00E6193A">
        <w:rPr>
          <w:rFonts w:ascii="Times New Roman" w:eastAsia="Times New Roman" w:hAnsi="Times New Roman" w:cs="Times New Roman"/>
          <w:color w:val="000000"/>
          <w:lang w:eastAsia="pt-BR"/>
        </w:rPr>
        <w:t>É que se faz extremamente necessário a contratação de uma empresa especializada para fornecimento de software e serviços, do tipo licença de uso de software, incluso provimento de datacenter, para os poderes Executivo e Legislativo, atendendo integralmente os aspectos legais (SIAFIC) conforme previsão legal contida do Decreto Nº 10540/2022, que visa a criação e disponibilização de um ambiente único de dados para os sistemas estruturantes do município, e incluindo serviços necessários à sua implantação, migração, treinamento, suporte técnico especializado, acompanhamento técnico permanente (corretiva e legal), com o intuito de atender todas as necessidades administrativas e legais do município de Riqueza.</w:t>
      </w:r>
    </w:p>
    <w:p w14:paraId="2DF46AEB"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p>
    <w:p w14:paraId="14B680EE"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2 Requisitos da contratação.</w:t>
      </w:r>
    </w:p>
    <w:p w14:paraId="387CEFD8"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2.1 </w:t>
      </w:r>
      <w:r w:rsidRPr="00E6193A">
        <w:rPr>
          <w:rFonts w:ascii="Times New Roman" w:eastAsia="SimSun" w:hAnsi="Times New Roman" w:cs="Times New Roman"/>
          <w:lang w:eastAsia="hi-IN" w:bidi="hi-IN"/>
        </w:rPr>
        <w:t>Tendo em vista os requisitos da contratação, foram colhidos os requisitos técnicos necessários da solução de ERP, para funcionamento pela internet.</w:t>
      </w:r>
    </w:p>
    <w:p w14:paraId="2C0A12F4" w14:textId="77777777" w:rsidR="00B307DB" w:rsidRPr="00E6193A" w:rsidRDefault="00B307DB" w:rsidP="00B307DB">
      <w:pPr>
        <w:widowControl w:val="0"/>
        <w:spacing w:after="0" w:line="240" w:lineRule="auto"/>
        <w:ind w:left="-5"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2.2 </w:t>
      </w:r>
      <w:r w:rsidRPr="00E6193A">
        <w:rPr>
          <w:rFonts w:ascii="Times New Roman" w:eastAsia="SimSun" w:hAnsi="Times New Roman" w:cs="Times New Roman"/>
          <w:lang w:eastAsia="hi-IN" w:bidi="hi-IN"/>
        </w:rPr>
        <w:t>A Administração Municipal possui uma série de necessidades com relação aos princípios da prestação do serviço público e de sua gestão, como princípio da eficiência, da continuidade, disponibilidade, segurança, regularidade, universalidade, qualidade, a produtividade e bem estar das pessoas e de responsabilidade com o meio ambiente.</w:t>
      </w:r>
    </w:p>
    <w:p w14:paraId="1985DA2F" w14:textId="77777777" w:rsidR="00B307DB" w:rsidRPr="00E6193A" w:rsidRDefault="00B307DB" w:rsidP="00B307DB">
      <w:pPr>
        <w:widowControl w:val="0"/>
        <w:spacing w:after="0" w:line="240" w:lineRule="auto"/>
        <w:ind w:left="-5"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2.3 </w:t>
      </w:r>
      <w:r w:rsidRPr="00E6193A">
        <w:rPr>
          <w:rFonts w:ascii="Times New Roman" w:eastAsia="SimSun" w:hAnsi="Times New Roman" w:cs="Times New Roman"/>
          <w:lang w:eastAsia="hi-IN" w:bidi="hi-IN"/>
        </w:rPr>
        <w:t>Nesse sentido, conforme levantamento e justificativas constantes neste documento, são características gerais obrigatórias do sistema de ERP objeto de estudo:</w:t>
      </w:r>
    </w:p>
    <w:p w14:paraId="3F0FF1C0" w14:textId="77777777" w:rsidR="00B307DB" w:rsidRPr="00E6193A" w:rsidRDefault="00B307DB" w:rsidP="00B307DB">
      <w:pPr>
        <w:numPr>
          <w:ilvl w:val="0"/>
          <w:numId w:val="112"/>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Os módulos que compõem o sistema devem aplicar a LEGISLAÇÃO vigente (Leis, decretos, etc.), federais e estaduais, adequando-as sempre que for necessário.</w:t>
      </w:r>
    </w:p>
    <w:p w14:paraId="61BA20D3" w14:textId="77777777" w:rsidR="00B307DB" w:rsidRPr="00E6193A" w:rsidRDefault="00B307DB" w:rsidP="00B307DB">
      <w:pPr>
        <w:numPr>
          <w:ilvl w:val="0"/>
          <w:numId w:val="112"/>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Ser projetado e desenvolvido para rodar em ambiente web, isto é que contenha as seguintes características básicas:</w:t>
      </w:r>
    </w:p>
    <w:p w14:paraId="3C8A22D5" w14:textId="77777777" w:rsidR="00B307DB" w:rsidRPr="00E6193A" w:rsidRDefault="00B307DB" w:rsidP="00147305">
      <w:pPr>
        <w:numPr>
          <w:ilvl w:val="0"/>
          <w:numId w:val="261"/>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ser estruturado no conceito de “n” camadas, padrão comum de sistemas web, contendo ao menos: Front-End ou Camada de Apresentação (operável através do navegador), Camada de Aplicação ou de Lógica (podendo conter “n” camadas distintas), e Camada de Banco de Dados;</w:t>
      </w:r>
    </w:p>
    <w:p w14:paraId="1A67199A" w14:textId="77777777" w:rsidR="00B307DB" w:rsidRPr="00E6193A" w:rsidRDefault="00B307DB" w:rsidP="00147305">
      <w:pPr>
        <w:numPr>
          <w:ilvl w:val="0"/>
          <w:numId w:val="261"/>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Fica vedado o uso de aplicações tradicionais desktop cliente-servidor (2 camadas) emuladas para serem executadas através de navegador ou por outros meios como área de trabalho remota, por questões de performance da aplicação, consumo de banda larga, e segurança da informação;</w:t>
      </w:r>
    </w:p>
    <w:p w14:paraId="004DE2B8" w14:textId="77777777" w:rsidR="00B307DB" w:rsidRPr="00E6193A" w:rsidRDefault="00B307DB" w:rsidP="00147305">
      <w:pPr>
        <w:numPr>
          <w:ilvl w:val="0"/>
          <w:numId w:val="261"/>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lastRenderedPageBreak/>
        <w:t>O Tráfego de dados entre o cliente e o servidor deverá ser o mínimo possível para execução das atividades do usuário, necessário para que consuma menos link de internet possível, procurando transferir na maior parte dos casos apenas conteúdo no formato JSON ou outro formato similar leve, para interpretação e apresentação da camada Front-End;</w:t>
      </w:r>
    </w:p>
    <w:p w14:paraId="46FF620B" w14:textId="77777777" w:rsidR="00B307DB" w:rsidRPr="00E6193A" w:rsidRDefault="00B307DB" w:rsidP="00147305">
      <w:pPr>
        <w:numPr>
          <w:ilvl w:val="0"/>
          <w:numId w:val="261"/>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Validações básicas de interface devem ser realizadas no lado cliente (front-end). Essas validações incluem a conferência de valores válidos (como CPF/CNPJ), campos obrigatórios preenchidos, entre outros;</w:t>
      </w:r>
    </w:p>
    <w:p w14:paraId="4E61187D" w14:textId="77777777" w:rsidR="00B307DB" w:rsidRPr="00E6193A" w:rsidRDefault="00B307DB" w:rsidP="00147305">
      <w:pPr>
        <w:numPr>
          <w:ilvl w:val="0"/>
          <w:numId w:val="261"/>
        </w:numPr>
        <w:tabs>
          <w:tab w:val="left" w:pos="284"/>
          <w:tab w:val="left" w:pos="851"/>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Desenvolvido em linguagem para internet e sistemas web (por exemplo: JavaScript, Java, PHP, C# ou outra similar que permita operação via Internet);</w:t>
      </w:r>
    </w:p>
    <w:p w14:paraId="7DF54920" w14:textId="77777777" w:rsidR="00B307DB" w:rsidRPr="00E6193A" w:rsidRDefault="00B307DB" w:rsidP="00B307DB">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Ser operável através dos principais navegadores (padrão de mercado), nas seguintes versões: Firefox (versão 70 ou superior), Chrome (versão 70 ou superior), Microsoft Edge (versão 80 ou superior) e Safari (versão 10 ou superior);</w:t>
      </w:r>
    </w:p>
    <w:p w14:paraId="46034909" w14:textId="77777777" w:rsidR="00B307DB" w:rsidRPr="00E6193A" w:rsidRDefault="00B307DB" w:rsidP="00B307DB">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Por questão de usabilidade, performance, segurança da informação e integridade, para operação do sistema não poderá ser exigida a efetuação de instalação local de runtimes e plugins, exceto em casos onde houver necessidade de sistema intermediário para acesso a outros dispositivos (como leitor biométrico, impressoras, leitor de e-CPF/e- CNPJ) ou integração com aplicativos da estação cliente (como Microsoft Office, exibição de documentos PDF) por motivos de segurança de aplicações web e facilidade de acesso.  Nesses casos, porém, não é permitida a integração através de aplicações que utilizem o recurso NPAPI dos navegadores como Applets Java, por questão de segurança da informação e integridade dos sistemas;</w:t>
      </w:r>
    </w:p>
    <w:p w14:paraId="0715B437" w14:textId="77777777" w:rsidR="00B307DB" w:rsidRPr="00E6193A" w:rsidRDefault="00B307DB" w:rsidP="00B307DB">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Utilizar na camada cliente apenas recursos padrões já amplamente difundidos, como HTML, CSS, e JavaScript;</w:t>
      </w:r>
    </w:p>
    <w:p w14:paraId="66AF6291" w14:textId="77777777" w:rsidR="00B307DB" w:rsidRPr="00E6193A" w:rsidRDefault="00B307DB" w:rsidP="00B307DB">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na estrutura multi-janelas que o usuário alterne entre as janelas abertas na mesma sessão, na mesma aba do navegador e também faça ocultação (minimização) ou fechamento de janelas de forma geral;</w:t>
      </w:r>
    </w:p>
    <w:p w14:paraId="7165448B" w14:textId="77777777" w:rsidR="00B307DB" w:rsidRPr="00E6193A" w:rsidRDefault="00B307DB" w:rsidP="00B307DB">
      <w:pPr>
        <w:numPr>
          <w:ilvl w:val="0"/>
          <w:numId w:val="119"/>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 xml:space="preserve">Permitir ao administrador local que, através de interface dentro do próprio Sistema, consulte sessões ativas no servidor de aplicação, disponibilizando informações como: </w:t>
      </w:r>
    </w:p>
    <w:p w14:paraId="5503699A" w14:textId="77777777" w:rsidR="00B307DB" w:rsidRPr="00E6193A" w:rsidRDefault="00B307DB" w:rsidP="00B307DB">
      <w:pPr>
        <w:tabs>
          <w:tab w:val="left" w:pos="284"/>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Data de Início da Sessão, </w:t>
      </w:r>
    </w:p>
    <w:p w14:paraId="7EF7225E" w14:textId="77777777" w:rsidR="00B307DB" w:rsidRDefault="00B307DB" w:rsidP="00B307DB">
      <w:pPr>
        <w:tabs>
          <w:tab w:val="left" w:pos="284"/>
          <w:tab w:val="left" w:pos="851"/>
          <w:tab w:val="left" w:pos="993"/>
        </w:tabs>
        <w:spacing w:after="0" w:line="240" w:lineRule="auto"/>
        <w:ind w:right="-568"/>
        <w:jc w:val="both"/>
        <w:rPr>
          <w:rFonts w:ascii="Times New Roman" w:eastAsia="Calibri" w:hAnsi="Times New Roman" w:cs="Times New Roman"/>
          <w:color w:val="000000"/>
          <w:lang w:eastAsia="pt-BR"/>
        </w:rPr>
      </w:pPr>
      <w:r>
        <w:rPr>
          <w:rFonts w:ascii="Times New Roman" w:eastAsia="Calibri" w:hAnsi="Times New Roman" w:cs="Times New Roman"/>
          <w:b/>
          <w:color w:val="000000"/>
          <w:lang w:eastAsia="pt-BR"/>
        </w:rPr>
        <w:t xml:space="preserve">b) </w:t>
      </w:r>
      <w:r w:rsidRPr="00E6193A">
        <w:rPr>
          <w:rFonts w:ascii="Times New Roman" w:eastAsia="Calibri" w:hAnsi="Times New Roman" w:cs="Times New Roman"/>
          <w:color w:val="000000"/>
          <w:lang w:eastAsia="pt-BR"/>
        </w:rPr>
        <w:t xml:space="preserve">Data da Última requisição, </w:t>
      </w:r>
    </w:p>
    <w:p w14:paraId="69EE5FCA" w14:textId="77777777" w:rsidR="00B307DB" w:rsidRPr="00E6193A" w:rsidRDefault="00B307DB" w:rsidP="00B307DB">
      <w:pPr>
        <w:tabs>
          <w:tab w:val="left" w:pos="284"/>
          <w:tab w:val="left" w:pos="851"/>
          <w:tab w:val="left" w:pos="993"/>
        </w:tabs>
        <w:spacing w:after="0" w:line="240" w:lineRule="auto"/>
        <w:ind w:right="-568"/>
        <w:jc w:val="both"/>
        <w:rPr>
          <w:rFonts w:ascii="Times New Roman" w:eastAsia="Calibri" w:hAnsi="Times New Roman" w:cs="Times New Roman"/>
          <w:color w:val="000000"/>
          <w:lang w:eastAsia="pt-BR"/>
        </w:rPr>
      </w:pPr>
      <w:r>
        <w:rPr>
          <w:rFonts w:ascii="Times New Roman" w:eastAsia="Calibri" w:hAnsi="Times New Roman" w:cs="Times New Roman"/>
          <w:b/>
          <w:color w:val="000000"/>
          <w:lang w:eastAsia="pt-BR"/>
        </w:rPr>
        <w:t xml:space="preserve">c) </w:t>
      </w:r>
      <w:r w:rsidRPr="00E6193A">
        <w:rPr>
          <w:rFonts w:ascii="Times New Roman" w:eastAsia="Calibri" w:hAnsi="Times New Roman" w:cs="Times New Roman"/>
          <w:color w:val="000000"/>
          <w:lang w:eastAsia="pt-BR"/>
        </w:rPr>
        <w:t xml:space="preserve">Código e nome do usuário (quando sessão logada), </w:t>
      </w:r>
    </w:p>
    <w:p w14:paraId="78DDBB18" w14:textId="2C21B7A0" w:rsidR="00B307DB" w:rsidRPr="00E6193A" w:rsidRDefault="00147305" w:rsidP="00147305">
      <w:pPr>
        <w:tabs>
          <w:tab w:val="left" w:pos="284"/>
          <w:tab w:val="left" w:pos="851"/>
          <w:tab w:val="left" w:pos="993"/>
        </w:tabs>
        <w:spacing w:after="0" w:line="240" w:lineRule="auto"/>
        <w:ind w:right="-568"/>
        <w:jc w:val="both"/>
        <w:rPr>
          <w:rFonts w:ascii="Times New Roman" w:eastAsia="Calibri" w:hAnsi="Times New Roman" w:cs="Times New Roman"/>
          <w:color w:val="000000"/>
          <w:lang w:eastAsia="pt-BR"/>
        </w:rPr>
      </w:pPr>
      <w:r>
        <w:rPr>
          <w:rFonts w:ascii="Times New Roman" w:eastAsia="Calibri" w:hAnsi="Times New Roman" w:cs="Times New Roman"/>
          <w:b/>
          <w:color w:val="000000"/>
          <w:lang w:eastAsia="pt-BR"/>
        </w:rPr>
        <w:t xml:space="preserve">d) </w:t>
      </w:r>
      <w:r w:rsidR="00B307DB" w:rsidRPr="00E6193A">
        <w:rPr>
          <w:rFonts w:ascii="Times New Roman" w:eastAsia="Calibri" w:hAnsi="Times New Roman" w:cs="Times New Roman"/>
          <w:color w:val="000000"/>
          <w:lang w:eastAsia="pt-BR"/>
        </w:rPr>
        <w:t xml:space="preserve">Tempo total da sessão, </w:t>
      </w:r>
    </w:p>
    <w:p w14:paraId="6D5F8B71"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ainda que o Administrador local finalize a sessão;</w:t>
      </w:r>
    </w:p>
    <w:p w14:paraId="0575547B"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Possibilitar ao administrador local que gerencie os acessos (permitir/restringir) aos logs de auditoria do Sistema.</w:t>
      </w:r>
    </w:p>
    <w:p w14:paraId="0136B1DA"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fornecer múltiplos meios de auditoria (logs), sendo no mínimo:</w:t>
      </w:r>
    </w:p>
    <w:p w14:paraId="2A51B065"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Logs de Operações realizadas que afetem dados do banco de dados (incluir, excluir, alterar, etc.);</w:t>
      </w:r>
    </w:p>
    <w:p w14:paraId="1AE8CF03"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Logs de Autenticação de usuários (toda ação de login/logout, incluindo dados adicionais);</w:t>
      </w:r>
    </w:p>
    <w:p w14:paraId="705A6D88"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Possibilitar que o sistema disponibilize recurso para consistência de dados, de múltiplas áreas/módulos, constantes da base de dados, com o objetivo de coibir eventuais falhas geradas por dados inconsistentes, sejam esses gerados pela própria aplicação ao longo do tempo ou então migrados de aplicações legadas, permitindo também:</w:t>
      </w:r>
    </w:p>
    <w:p w14:paraId="5828EEE2" w14:textId="77777777" w:rsidR="00B307DB" w:rsidRPr="002829A0" w:rsidRDefault="00B307DB" w:rsidP="00147305">
      <w:pPr>
        <w:pStyle w:val="PargrafodaLista"/>
        <w:numPr>
          <w:ilvl w:val="1"/>
          <w:numId w:val="262"/>
        </w:numPr>
        <w:tabs>
          <w:tab w:val="clear" w:pos="1080"/>
          <w:tab w:val="left" w:pos="284"/>
          <w:tab w:val="num" w:pos="720"/>
        </w:tabs>
        <w:spacing w:after="0" w:line="240" w:lineRule="auto"/>
        <w:ind w:left="0" w:right="-568" w:firstLine="0"/>
        <w:jc w:val="both"/>
        <w:rPr>
          <w:rFonts w:ascii="Times New Roman" w:eastAsia="Calibri" w:hAnsi="Times New Roman" w:cs="Times New Roman"/>
          <w:color w:val="000000"/>
          <w:lang w:eastAsia="pt-BR"/>
        </w:rPr>
      </w:pPr>
      <w:r w:rsidRPr="002829A0">
        <w:rPr>
          <w:rFonts w:ascii="Times New Roman" w:eastAsia="Calibri" w:hAnsi="Times New Roman" w:cs="Times New Roman"/>
          <w:color w:val="000000"/>
          <w:lang w:eastAsia="pt-BR"/>
        </w:rPr>
        <w:t>A cada execução logs devem ser armazenados, para verificar se determinada consistência apresentou alguma falha na última execução;</w:t>
      </w:r>
    </w:p>
    <w:p w14:paraId="356128B2" w14:textId="77777777" w:rsidR="00B307DB" w:rsidRPr="00E6193A" w:rsidRDefault="00B307DB" w:rsidP="00B307DB">
      <w:pPr>
        <w:tabs>
          <w:tab w:val="left" w:pos="284"/>
          <w:tab w:val="left" w:pos="993"/>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b)</w:t>
      </w:r>
      <w:r w:rsidRPr="00E6193A">
        <w:rPr>
          <w:rFonts w:ascii="Times New Roman" w:eastAsia="Calibri" w:hAnsi="Times New Roman" w:cs="Times New Roman"/>
          <w:color w:val="000000"/>
          <w:lang w:eastAsia="pt-BR"/>
        </w:rPr>
        <w:t xml:space="preserve"> Executar as consistências em primeiro ou segundo plano (tarefa em background, no servidor). Caso em segundo plano, o usuário deverá ser alertado quando a mesma encerrar;</w:t>
      </w:r>
    </w:p>
    <w:p w14:paraId="6B631146"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Oferecer segurança contra a violação dos dados ou acessos indevidos às informações. Essa segurança deve ser aplicada em camadas que vão desde validações no lado cliente (front-end), passado pelo canal de comunicação (HTTPS), aplicando restrições de acesso aos endereços e portas dos serviços;</w:t>
      </w:r>
    </w:p>
    <w:p w14:paraId="529A97C0"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Em hipótese alguma deverá ser possível realizar conexão direta ao servidor de banco de dados produção por aplicações clientes de banco de dados através da internet;</w:t>
      </w:r>
    </w:p>
    <w:p w14:paraId="0FBC7B31"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Acesso ilimitado de usuários simultâneos, sem necessidade de aquisição de novas licenças de qualquer dos softwares utilizados pelo sistema a ser contratado, incluindo sistemas básicos como sistemas operacionais e sistema gerenciador de banco de dados do data center;</w:t>
      </w:r>
    </w:p>
    <w:p w14:paraId="4CCEC37E"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possuir Cadastro Único que deve permitir o compartilhamento de dados com todos os demais módulos do sistema;</w:t>
      </w:r>
    </w:p>
    <w:p w14:paraId="332E978F"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lastRenderedPageBreak/>
        <w:t xml:space="preserve">Garantir integridade referencial entre as tabelas do Banco de Dados, não permitindo a exclusão de informações que tenham vínculo com outros registros ativos via sistema e pelo banco de dados. </w:t>
      </w:r>
    </w:p>
    <w:p w14:paraId="1D791A2D"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Ser construído com o conceito de controle de transações (ou tudo é gravado ou nada é gravado e nada é corrompido/comprometido), garantindo a integridade das informações do banco de dados em casos de queda energia, falhas de hardware ou software. O usuário sempre deverá ser informado, sobre a finalização com sucesso ou não das transações operacionais (inclusão, alteração e/ou exclusão de registros), antes de liberar o controle da aplicação para a realização de outras atividades, no front-end (camada visual).</w:t>
      </w:r>
    </w:p>
    <w:p w14:paraId="49EDDFED"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Possuir recursos de segurança no SGBD para impedir que usuários não autorizados obtenham êxito em acessar a base de dados para efetuar consulta, alteração, impressão ou cópia. Não será permitido o acesso do sistema ao SGBD através de usuário DBA (Superusuário) do Banco de Dados, devendo existir política adequada de usuários para acesso ao SGBD como aplicação (uso em operação), atualização (exclusivo para atualização do sistema) e usuários adicionais para consulta;</w:t>
      </w:r>
    </w:p>
    <w:p w14:paraId="45B46E0D"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Não será permitido a contratante ou terceiros acessos ao SGDB e Banco de Dados durante a vigência do contrato ou sua integração com outras aplicações, ainda que por cópias, ou backups, sem anuência expressa da Contratada desenvolvedora, sob pena de violação da Lei de Direitos Autorais e Lei de Proteção aos Direitos de Software, ao qual a Contratante será objetivamente responsabilizada civil e penalmente em caso de violação;</w:t>
      </w:r>
    </w:p>
    <w:p w14:paraId="35EEB23A" w14:textId="77777777" w:rsidR="00B307DB" w:rsidRPr="00E6193A" w:rsidRDefault="00B307DB" w:rsidP="00B307DB">
      <w:pPr>
        <w:numPr>
          <w:ilvl w:val="0"/>
          <w:numId w:val="113"/>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dispor de Gerenciador de usuários centralizando em um único local a administração de todos os usuários, sejam funcionários e cidadãos, permitindo ainda controlar permissões de acesso, dispondo das seguintes funcionalidades mínimas:</w:t>
      </w:r>
    </w:p>
    <w:p w14:paraId="21383C2E"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Relacionar o usuário a um ou mais perfis, utilizando perfis já pré-definidos (como Operacional e Gerencial, Consulta de Pessoas e Endereços, Manutenção de Pessoas, Processo Digital Gerencial, etc.) ou personalizados pela administração local;</w:t>
      </w:r>
    </w:p>
    <w:p w14:paraId="056973C7"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Utilizar os privilégios dos perfis para acessar as rotinas e funções do sistema, como consulta, inclusão, alteração, exclusão e todas as demais ações disponíveis para o usuário nas telas do sistema;</w:t>
      </w:r>
    </w:p>
    <w:p w14:paraId="398B3C36"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Gerenciar restrições de acesso às funções do sistema através do uso de senhas, bloqueando por padrão o acesso após 3 (três) tentativas de acesso malsucedidas;</w:t>
      </w:r>
    </w:p>
    <w:p w14:paraId="2D91AFD2"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d)</w:t>
      </w:r>
      <w:r w:rsidRPr="00E6193A">
        <w:rPr>
          <w:rFonts w:ascii="Times New Roman" w:eastAsia="Times New Roman" w:hAnsi="Times New Roman" w:cs="Times New Roman"/>
          <w:color w:val="000000"/>
          <w:lang w:eastAsia="pt-BR"/>
        </w:rPr>
        <w:t xml:space="preserve"> Garantir que as senhas sejam trafegadas pela rede e armazenadas de forma criptografada seja com algoritmo próprio ou hash padrão como MD5 ou SHA, de forma que nunca sejam mostradas em telas de consulta, manutenção de cadastro de usuários;</w:t>
      </w:r>
    </w:p>
    <w:p w14:paraId="4912DAB6"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e)</w:t>
      </w:r>
      <w:r w:rsidRPr="00E6193A">
        <w:rPr>
          <w:rFonts w:ascii="Times New Roman" w:eastAsia="Times New Roman" w:hAnsi="Times New Roman" w:cs="Times New Roman"/>
          <w:color w:val="000000"/>
          <w:lang w:eastAsia="pt-BR"/>
        </w:rPr>
        <w:t xml:space="preserve"> O administrador do sistema deverá poder definir a forma de login do usuário de acordo com os métodos disponíveis: CPF e Senha, e- CPF/e-CNPJ, e Biometria;</w:t>
      </w:r>
    </w:p>
    <w:p w14:paraId="735D66A2"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que seja realizada inclusão de um usuário externo ao sistema (para o cidadão), diretamente pelo cadastro único de pessoas, quando este ainda não possuir um usuário criado.</w:t>
      </w:r>
    </w:p>
    <w:p w14:paraId="613751FB"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ser dotado de recursos que garantam a segurança quanto ao acesso e uso do sistema pelos usuários, dispondo das seguintes configurações mínimas:</w:t>
      </w:r>
    </w:p>
    <w:p w14:paraId="2250F136" w14:textId="77777777" w:rsidR="00B307DB" w:rsidRPr="00E6193A" w:rsidRDefault="00B307DB" w:rsidP="00582952">
      <w:pPr>
        <w:numPr>
          <w:ilvl w:val="0"/>
          <w:numId w:val="263"/>
        </w:numPr>
        <w:tabs>
          <w:tab w:val="left" w:pos="284"/>
          <w:tab w:val="left" w:pos="720"/>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definir se o horário de trabalho do usuário/funcionário deverá ser considerado conforme definições de jornada de trabalho atribuídas;</w:t>
      </w:r>
    </w:p>
    <w:p w14:paraId="16427518" w14:textId="77777777" w:rsidR="00B307DB" w:rsidRPr="00E6193A" w:rsidRDefault="00B307DB" w:rsidP="00B307DB">
      <w:pPr>
        <w:tabs>
          <w:tab w:val="left" w:pos="284"/>
          <w:tab w:val="left" w:pos="113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b)</w:t>
      </w:r>
      <w:r w:rsidRPr="00E6193A">
        <w:rPr>
          <w:rFonts w:ascii="Times New Roman" w:eastAsia="Calibri" w:hAnsi="Times New Roman" w:cs="Times New Roman"/>
          <w:color w:val="000000"/>
          <w:lang w:eastAsia="pt-BR"/>
        </w:rPr>
        <w:t xml:space="preserve"> Permitir o controle de expiração de senhas, definindo individualmente por usuário se expira ou não a senha bem como definir o prazo de expiração em dias;</w:t>
      </w:r>
    </w:p>
    <w:p w14:paraId="0E92D058"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que sejam configuradas restrições de acesso para qualquer formulário do sistema, contendo os seguintes recursos:</w:t>
      </w:r>
    </w:p>
    <w:p w14:paraId="314F8368" w14:textId="77777777" w:rsidR="00B307DB" w:rsidRPr="00E6193A" w:rsidRDefault="00B307DB" w:rsidP="00582952">
      <w:pPr>
        <w:numPr>
          <w:ilvl w:val="0"/>
          <w:numId w:val="264"/>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Exigir que o usuário possa prosseguir apenas ao realizar nova autenticação, no ato da ação;</w:t>
      </w:r>
    </w:p>
    <w:p w14:paraId="5270F28A" w14:textId="77777777" w:rsidR="00B307DB" w:rsidRPr="00E6193A" w:rsidRDefault="00B307DB" w:rsidP="00B307DB">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 xml:space="preserve">b) </w:t>
      </w:r>
      <w:r w:rsidRPr="00E6193A">
        <w:rPr>
          <w:rFonts w:ascii="Times New Roman" w:eastAsia="Calibri" w:hAnsi="Times New Roman" w:cs="Times New Roman"/>
          <w:color w:val="000000"/>
          <w:lang w:eastAsia="pt-BR"/>
        </w:rPr>
        <w:t>Solicitar para que um supervisor realize liberação em tela, para poder prosseguir;</w:t>
      </w:r>
    </w:p>
    <w:p w14:paraId="52157618" w14:textId="77777777" w:rsidR="00B307DB" w:rsidRPr="00E6193A" w:rsidRDefault="00B307DB" w:rsidP="00B307DB">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c)</w:t>
      </w:r>
      <w:r w:rsidRPr="00E6193A">
        <w:rPr>
          <w:rFonts w:ascii="Times New Roman" w:eastAsia="Calibri" w:hAnsi="Times New Roman" w:cs="Times New Roman"/>
          <w:color w:val="000000"/>
          <w:lang w:eastAsia="pt-BR"/>
        </w:rPr>
        <w:t xml:space="preserve"> Definir para que o usuário seja obrigado a informar uma descrição/averbação sempre que uma determinada ação for realizada;</w:t>
      </w:r>
    </w:p>
    <w:p w14:paraId="1C604805" w14:textId="77777777" w:rsidR="00B307DB" w:rsidRPr="00E6193A" w:rsidRDefault="00B307DB" w:rsidP="00B307DB">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d)</w:t>
      </w:r>
      <w:r w:rsidRPr="00E6193A">
        <w:rPr>
          <w:rFonts w:ascii="Times New Roman" w:eastAsia="Calibri" w:hAnsi="Times New Roman" w:cs="Times New Roman"/>
          <w:color w:val="000000"/>
          <w:lang w:eastAsia="pt-BR"/>
        </w:rPr>
        <w:t xml:space="preserve"> Limitar e Liberar acesso temporário para determinadas ações do sistema, podendo configurar dia(s) do mês e horários do dia;</w:t>
      </w:r>
    </w:p>
    <w:p w14:paraId="34B79E5D" w14:textId="77777777" w:rsidR="00B307DB" w:rsidRPr="00E6193A" w:rsidRDefault="00B307DB" w:rsidP="00B307DB">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e)</w:t>
      </w:r>
      <w:r w:rsidRPr="00E6193A">
        <w:rPr>
          <w:rFonts w:ascii="Times New Roman" w:eastAsia="Calibri" w:hAnsi="Times New Roman" w:cs="Times New Roman"/>
          <w:color w:val="000000"/>
          <w:lang w:eastAsia="pt-BR"/>
        </w:rPr>
        <w:t xml:space="preserve"> Permitir definir determinados usuários onde as regras não se aplicam (exceção);</w:t>
      </w:r>
    </w:p>
    <w:p w14:paraId="0343389F" w14:textId="77777777" w:rsidR="00B307DB" w:rsidRPr="00E6193A" w:rsidRDefault="00B307DB" w:rsidP="00B307DB">
      <w:pPr>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f)</w:t>
      </w:r>
      <w:r w:rsidRPr="00E6193A">
        <w:rPr>
          <w:rFonts w:ascii="Times New Roman" w:eastAsia="Calibri" w:hAnsi="Times New Roman" w:cs="Times New Roman"/>
          <w:color w:val="000000"/>
          <w:lang w:eastAsia="pt-BR"/>
        </w:rPr>
        <w:t xml:space="preserve"> Permitir definir regras para desativar ou ativar campos, definir valor inicial (default) para um determinado campo, verificar se um campo (ou mais) foram alterados, a fim de determinar de forma condicional esses comportamentos podendo emitir mensagens de aviso, inibir a execução de uma ação como incluir, alterar ou excluir, enviar uma mensagem de e-mail para outro usuário, de acordo com regras da entidade sem depender de customização do sistema. Exemplo: Acessando-se o cadastro de </w:t>
      </w:r>
      <w:r w:rsidRPr="00E6193A">
        <w:rPr>
          <w:rFonts w:ascii="Times New Roman" w:eastAsia="Calibri" w:hAnsi="Times New Roman" w:cs="Times New Roman"/>
          <w:color w:val="000000"/>
          <w:lang w:eastAsia="pt-BR"/>
        </w:rPr>
        <w:lastRenderedPageBreak/>
        <w:t>pessoas pelo sistema de tributos, quando uma pessoa do cadastro for funcionário e o usuário logado não for do setor de RH, não permitir a alteração do nome nem sobrenome da pessoa.</w:t>
      </w:r>
    </w:p>
    <w:p w14:paraId="44DFCF47"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Manter histórico de acessos por usuário, rotina e ação, registrando a data, hora e o nome do usuário, IP local do usuário no momento da operação;</w:t>
      </w:r>
    </w:p>
    <w:p w14:paraId="591FB461"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 xml:space="preserve">Manter LOG de auditoria de todas as inclusões, alterações e exclusões efetuadas nas tabelas do sistema, registrando: </w:t>
      </w:r>
    </w:p>
    <w:p w14:paraId="3057D910" w14:textId="77777777" w:rsidR="00B307DB" w:rsidRPr="00E6193A" w:rsidRDefault="00B307DB" w:rsidP="00582952">
      <w:pPr>
        <w:numPr>
          <w:ilvl w:val="0"/>
          <w:numId w:val="26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tipo da operação realizada;</w:t>
      </w:r>
    </w:p>
    <w:p w14:paraId="352EFCE6" w14:textId="77777777" w:rsidR="00B307DB" w:rsidRPr="00E6193A" w:rsidRDefault="00B307DB" w:rsidP="00B307DB">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b)</w:t>
      </w:r>
      <w:r w:rsidRPr="00E6193A">
        <w:rPr>
          <w:rFonts w:ascii="Times New Roman" w:eastAsia="Calibri" w:hAnsi="Times New Roman" w:cs="Times New Roman"/>
          <w:color w:val="000000"/>
          <w:lang w:eastAsia="pt-BR"/>
        </w:rPr>
        <w:t xml:space="preserve"> a partir de qual rotina do sistema ela fora executada;</w:t>
      </w:r>
    </w:p>
    <w:p w14:paraId="66A8E556" w14:textId="77777777" w:rsidR="00B307DB" w:rsidRPr="00E6193A" w:rsidRDefault="00B307DB" w:rsidP="00B307DB">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c)</w:t>
      </w:r>
      <w:r w:rsidRPr="00E6193A">
        <w:rPr>
          <w:rFonts w:ascii="Times New Roman" w:eastAsia="Calibri" w:hAnsi="Times New Roman" w:cs="Times New Roman"/>
          <w:color w:val="000000"/>
          <w:lang w:eastAsia="pt-BR"/>
        </w:rPr>
        <w:t xml:space="preserve"> a partir de qual estação de trabalho ela fora executada (ip da máquina local);</w:t>
      </w:r>
    </w:p>
    <w:p w14:paraId="7872EFA7" w14:textId="77777777" w:rsidR="00B307DB" w:rsidRPr="00E6193A" w:rsidRDefault="00B307DB" w:rsidP="00B307DB">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d)</w:t>
      </w:r>
      <w:r w:rsidRPr="00E6193A">
        <w:rPr>
          <w:rFonts w:ascii="Times New Roman" w:eastAsia="Calibri" w:hAnsi="Times New Roman" w:cs="Times New Roman"/>
          <w:color w:val="000000"/>
          <w:lang w:eastAsia="pt-BR"/>
        </w:rPr>
        <w:t xml:space="preserve"> identificação do usuário;</w:t>
      </w:r>
    </w:p>
    <w:p w14:paraId="6C60CA95" w14:textId="77777777" w:rsidR="00B307DB" w:rsidRPr="00E6193A" w:rsidRDefault="00B307DB" w:rsidP="00B307DB">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e)</w:t>
      </w:r>
      <w:r w:rsidRPr="00E6193A">
        <w:rPr>
          <w:rFonts w:ascii="Times New Roman" w:eastAsia="Calibri" w:hAnsi="Times New Roman" w:cs="Times New Roman"/>
          <w:color w:val="000000"/>
          <w:lang w:eastAsia="pt-BR"/>
        </w:rPr>
        <w:t xml:space="preserve"> tabela alterada;</w:t>
      </w:r>
    </w:p>
    <w:p w14:paraId="5848AC24" w14:textId="77777777" w:rsidR="00B307DB" w:rsidRPr="00E6193A" w:rsidRDefault="00B307DB" w:rsidP="00B307DB">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f)</w:t>
      </w:r>
      <w:r w:rsidRPr="00E6193A">
        <w:rPr>
          <w:rFonts w:ascii="Times New Roman" w:eastAsia="Calibri" w:hAnsi="Times New Roman" w:cs="Times New Roman"/>
          <w:color w:val="000000"/>
          <w:lang w:eastAsia="pt-BR"/>
        </w:rPr>
        <w:t xml:space="preserve"> operação realizada (inclusão, alteração ou exclusão);</w:t>
      </w:r>
    </w:p>
    <w:p w14:paraId="7700BE36" w14:textId="77777777" w:rsidR="00B307DB" w:rsidRPr="00E6193A" w:rsidRDefault="00B307DB" w:rsidP="00B307DB">
      <w:pPr>
        <w:tabs>
          <w:tab w:val="left" w:pos="284"/>
        </w:tabs>
        <w:spacing w:after="0" w:line="240" w:lineRule="auto"/>
        <w:ind w:right="-568"/>
        <w:jc w:val="both"/>
        <w:rPr>
          <w:rFonts w:ascii="Times New Roman" w:eastAsia="Calibri" w:hAnsi="Times New Roman" w:cs="Times New Roman"/>
          <w:color w:val="000000"/>
          <w:lang w:eastAsia="pt-BR"/>
        </w:rPr>
      </w:pPr>
      <w:r w:rsidRPr="00E6193A">
        <w:rPr>
          <w:rFonts w:ascii="Times New Roman" w:eastAsia="Calibri" w:hAnsi="Times New Roman" w:cs="Times New Roman"/>
          <w:b/>
          <w:color w:val="000000"/>
          <w:lang w:eastAsia="pt-BR"/>
        </w:rPr>
        <w:t>g)</w:t>
      </w:r>
      <w:r w:rsidRPr="00E6193A">
        <w:rPr>
          <w:rFonts w:ascii="Times New Roman" w:eastAsia="Calibri" w:hAnsi="Times New Roman" w:cs="Times New Roman"/>
          <w:color w:val="000000"/>
          <w:lang w:eastAsia="pt-BR"/>
        </w:rPr>
        <w:t xml:space="preserve"> os dados incluídos, alterados ou excluídos;</w:t>
      </w:r>
    </w:p>
    <w:p w14:paraId="728E155A"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Na visualização dos registros de auditoria, deve-se exibir os novos dados para inclusões, novos dados e dados anteriores para alterações e dados anteriores para exclusões.</w:t>
      </w:r>
    </w:p>
    <w:p w14:paraId="4FD601B9"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cruzamento de informações entre os módulos da solução;</w:t>
      </w:r>
    </w:p>
    <w:p w14:paraId="600D02ED"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Integrar com o Diretório Nacional de Endereços (DNE) dos Correios. A base de endereçamento deve ser atualizada mensalmente e um serviço de consulta de endereços deve ser disponibilizado integrado a aplicação, desta forma quando configurado para integrar com o DNE, toda vez que um endereço é informado no sistema o mesmo deve ser validado conforme o DNE e inconformidades alertadas ao usuário podendo ajustar o endereço;</w:t>
      </w:r>
    </w:p>
    <w:p w14:paraId="6E362D70"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As tabelas de cidade, estado e país, incluindo seus relacionamentos devem ser disponibilizadas pela ferramenta de gestão e atualizadas periodicamente de maneira automática sem que haja necessidade de manutenção desses dados pelos usuários, salvo quando o endereço for estrangeiro;</w:t>
      </w:r>
    </w:p>
    <w:p w14:paraId="2F7A1EBF"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Consultar cidades disponibilizando pesquisa através no mínimo das seguintes chaves de acesso: Nome da Cidade, Nome do Estado, Sigla do Estado, CEP, e Código IBGE. Essas chaves de acesso são importantes pois permitirão o cruzamento de dados com outras bases de governo em esferas diferentes, cuja codificação de cidades é diversa, normalmente utilizando uma dessas;</w:t>
      </w:r>
    </w:p>
    <w:p w14:paraId="7AFA3F01"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deverá dispor de recurso de Repositório de Certificados digitais, que garanta segurança permitindo vincular certificados digitais do tipo A1, de propriedade do usuário, neste caso permitindo uso exclusivo dele para assinaturas digitais, ou seja, apenas quando ele estiver logado no sistema;</w:t>
      </w:r>
    </w:p>
    <w:p w14:paraId="6D4FFD5A"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 xml:space="preserve">Permitir o uso de Assinatura Digital, nas modalidades Básica, Avançada e Qualificada (conforme Lei 14.063/2020) na assinatura de documentos digitais diversos; </w:t>
      </w:r>
    </w:p>
    <w:p w14:paraId="30B7466E" w14:textId="77777777" w:rsidR="00B307DB" w:rsidRPr="00E6193A" w:rsidRDefault="00B307DB" w:rsidP="00B307DB">
      <w:pPr>
        <w:numPr>
          <w:ilvl w:val="0"/>
          <w:numId w:val="115"/>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realizar a impressão de documentos diretamente pelo dispositivo móvel (smartphone e/ou tablet), na plataforma Android (equipamentos naturalmente mais acessíveis), por meio de impressoras Térmicas Bluetooth. Deverá o fornecedor informar quais são os requisitos mínimos necessários, incluindo os equipamentos homologados.</w:t>
      </w:r>
    </w:p>
    <w:p w14:paraId="0215B09F"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2.4 </w:t>
      </w:r>
      <w:r w:rsidRPr="00E6193A">
        <w:rPr>
          <w:rFonts w:ascii="Times New Roman" w:eastAsia="Times New Roman" w:hAnsi="Times New Roman" w:cs="Times New Roman"/>
          <w:color w:val="000000"/>
          <w:lang w:eastAsia="pt-BR"/>
        </w:rPr>
        <w:t>Quanto ao Padrão Tecnológico a ser observado no conjunto de programas (aplicações para Contabilidade e Planejamento Público, Gestão Financeira, Gestão Tributária, entre outras áreas a serem integradas), desenvolvido para uso pela internet, deve atender aos seguintes requisitos mínimos obrigatórios (todos), que poderão ser aferidos por uma Comissão de Avaliação a critério da Administração Municipal, no âmbito na necessidade, conveniência e oportunidade demonstrada pelo gestor público:</w:t>
      </w:r>
    </w:p>
    <w:p w14:paraId="15258241" w14:textId="77777777" w:rsidR="00B307DB" w:rsidRPr="00E6193A" w:rsidRDefault="00B307DB" w:rsidP="00B307DB">
      <w:pPr>
        <w:widowControl w:val="0"/>
        <w:numPr>
          <w:ilvl w:val="0"/>
          <w:numId w:val="116"/>
        </w:numPr>
        <w:tabs>
          <w:tab w:val="left" w:pos="284"/>
        </w:tabs>
        <w:spacing w:after="0" w:line="240" w:lineRule="auto"/>
        <w:ind w:left="0" w:right="-568" w:firstLine="0"/>
        <w:jc w:val="both"/>
        <w:rPr>
          <w:rFonts w:ascii="Times New Roman" w:eastAsia="Calibri" w:hAnsi="Times New Roman" w:cs="Times New Roman"/>
          <w:bCs/>
          <w:lang w:eastAsia="zh-CN"/>
        </w:rPr>
      </w:pPr>
      <w:r w:rsidRPr="00E6193A">
        <w:rPr>
          <w:rFonts w:ascii="Times New Roman" w:eastAsia="Calibri" w:hAnsi="Times New Roman" w:cs="Times New Roman"/>
          <w:color w:val="000000"/>
          <w:lang w:eastAsia="pt-BR"/>
        </w:rPr>
        <w:t>O sistema deverá conter Cadastro Único, sob o conceito de compartilhamento de dados e não integração por intermédio de outros artifícios, que podem danificar a integridade dos cadastros ao longo do tempo. Este deverá ser formado no mínimo com o seguinte conjunto de dados:</w:t>
      </w:r>
    </w:p>
    <w:p w14:paraId="5B02BDD2"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a)</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Cadastro de Pessoas;</w:t>
      </w:r>
    </w:p>
    <w:p w14:paraId="133919B4"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b)</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Cadastro de Famílias;</w:t>
      </w:r>
    </w:p>
    <w:p w14:paraId="109BBDE6"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c)</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Textos Jurídicos - Leis, Portarias, Decretos entre outros;</w:t>
      </w:r>
    </w:p>
    <w:p w14:paraId="41D0DA2D"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d)</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Centros de custo/Organograma;</w:t>
      </w:r>
    </w:p>
    <w:p w14:paraId="044EBDFA"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e)</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Entidades;</w:t>
      </w:r>
    </w:p>
    <w:p w14:paraId="5BDADA30"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f)</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Bancos;</w:t>
      </w:r>
    </w:p>
    <w:p w14:paraId="75F15061"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g)</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Agências;</w:t>
      </w:r>
    </w:p>
    <w:p w14:paraId="45A59D7D"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h)</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Tributos;</w:t>
      </w:r>
    </w:p>
    <w:p w14:paraId="7D978ECF"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i)</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Moedas;</w:t>
      </w:r>
    </w:p>
    <w:p w14:paraId="3A4EA990"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lastRenderedPageBreak/>
        <w:t>j)</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Cidades;</w:t>
      </w:r>
    </w:p>
    <w:p w14:paraId="76CBD7A5"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k)</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Bairros;</w:t>
      </w:r>
    </w:p>
    <w:p w14:paraId="051CC916"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l)</w:t>
      </w:r>
      <w:r w:rsidRPr="00E6193A">
        <w:rPr>
          <w:rFonts w:ascii="Times New Roman" w:eastAsia="Times New Roman" w:hAnsi="Times New Roman" w:cs="Times New Roman"/>
          <w:color w:val="000000"/>
          <w:lang w:eastAsia="pt-BR"/>
        </w:rPr>
        <w:t xml:space="preserve"> Logradouros;</w:t>
      </w:r>
    </w:p>
    <w:p w14:paraId="3C5AF316"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m)</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Produtos;</w:t>
      </w:r>
    </w:p>
    <w:p w14:paraId="082C5F46"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 xml:space="preserve">n) </w:t>
      </w:r>
      <w:r w:rsidRPr="00E6193A">
        <w:rPr>
          <w:rFonts w:ascii="Times New Roman" w:eastAsia="Times New Roman" w:hAnsi="Times New Roman" w:cs="Times New Roman"/>
          <w:color w:val="000000"/>
          <w:lang w:eastAsia="pt-BR"/>
        </w:rPr>
        <w:t>Assinantes de Relatórios Legais;</w:t>
      </w:r>
    </w:p>
    <w:p w14:paraId="294FB076" w14:textId="77777777" w:rsidR="00B307DB" w:rsidRPr="00E6193A" w:rsidRDefault="00B307DB" w:rsidP="00B307DB">
      <w:pPr>
        <w:widowControl w:val="0"/>
        <w:tabs>
          <w:tab w:val="left" w:pos="3448"/>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bCs/>
          <w:lang w:eastAsia="zh-CN"/>
        </w:rPr>
        <w:t>o)</w:t>
      </w:r>
      <w:r w:rsidRPr="00E6193A">
        <w:rPr>
          <w:rFonts w:ascii="Times New Roman" w:eastAsia="Times New Roman" w:hAnsi="Times New Roman" w:cs="Times New Roman"/>
          <w:bCs/>
          <w:lang w:eastAsia="zh-CN"/>
        </w:rPr>
        <w:t xml:space="preserve"> </w:t>
      </w:r>
      <w:r w:rsidRPr="00E6193A">
        <w:rPr>
          <w:rFonts w:ascii="Times New Roman" w:eastAsia="Times New Roman" w:hAnsi="Times New Roman" w:cs="Times New Roman"/>
          <w:color w:val="000000"/>
          <w:lang w:eastAsia="pt-BR"/>
        </w:rPr>
        <w:t>CBO - Cadastro Brasileiro de Ocupações;</w:t>
      </w:r>
    </w:p>
    <w:p w14:paraId="713162E6" w14:textId="77777777" w:rsidR="00B307DB" w:rsidRPr="00E6193A" w:rsidRDefault="00B307DB" w:rsidP="00B307DB">
      <w:pPr>
        <w:numPr>
          <w:ilvl w:val="0"/>
          <w:numId w:val="116"/>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bCs/>
          <w:color w:val="000000"/>
          <w:lang w:eastAsia="pt-BR"/>
        </w:rPr>
        <w:t xml:space="preserve">Possuir recurso para consistência de dados de múltiplas áreas e módulos constantes da base de dados, permitindo a emissão de </w:t>
      </w:r>
      <w:r w:rsidRPr="00E6193A">
        <w:rPr>
          <w:rFonts w:ascii="Times New Roman" w:eastAsia="Calibri" w:hAnsi="Times New Roman" w:cs="Times New Roman"/>
          <w:bCs/>
          <w:lang w:eastAsia="zh-CN"/>
        </w:rPr>
        <w:t>relatório com os apontamentos de inconsistências encontradas nas verificações, indicando a gravidade de cada uma;</w:t>
      </w:r>
    </w:p>
    <w:p w14:paraId="0EAC0F10" w14:textId="77777777" w:rsidR="00B307DB" w:rsidRPr="00E6193A" w:rsidRDefault="00B307DB" w:rsidP="00B307DB">
      <w:pPr>
        <w:numPr>
          <w:ilvl w:val="0"/>
          <w:numId w:val="116"/>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que TODAS as telas de consulta do sistema, incluindo as consultas personalizadas criadas através do gerador de consultas para a entidade, disponibilizem os seguintes recursos aos usuários:</w:t>
      </w:r>
    </w:p>
    <w:p w14:paraId="79CA95E0"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Informar e adicionar filtros personalizáveis pelas chaves de acesso disponíveis ao cadastro, de maneira isolada ou combinada;</w:t>
      </w:r>
    </w:p>
    <w:p w14:paraId="6BE4B400"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Disponibilizar diversos operadores de consulta: Menor ou igual, Maior ou igual, Igual, Contém, Não Contém, Contido em, Não contido em, Inicia com, Termina com e Entre. Observar logicamente a aplicação de cada operador conforme tipo do dado relacionado a ser pesquisado;</w:t>
      </w:r>
    </w:p>
    <w:p w14:paraId="3FDA4721"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Especialmente os operadores de conjunto “Contido em” e “Não Contido em”, devem disponibilizar opção para informar os dados por intervalo e intercalado, ex: 1,2,10-15, ou seja, o valor 1 e o valor 2, incluindo ainda os valores de 10 a 15;</w:t>
      </w:r>
    </w:p>
    <w:p w14:paraId="33E7A2D1"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d)</w:t>
      </w:r>
      <w:r w:rsidRPr="00E6193A">
        <w:rPr>
          <w:rFonts w:ascii="Times New Roman" w:eastAsia="Times New Roman" w:hAnsi="Times New Roman" w:cs="Times New Roman"/>
          <w:color w:val="000000"/>
          <w:lang w:eastAsia="pt-BR"/>
        </w:rPr>
        <w:t xml:space="preserve"> Realizar o reposicionamento, bem como o ajuste do tamanho e disposição das colunas disponíveis na consulta. Também deverá permitir ocultar ou exibir colunas;</w:t>
      </w:r>
    </w:p>
    <w:p w14:paraId="585DFFFF"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e)</w:t>
      </w:r>
      <w:r w:rsidRPr="00E6193A">
        <w:rPr>
          <w:rFonts w:ascii="Times New Roman" w:eastAsia="Times New Roman" w:hAnsi="Times New Roman" w:cs="Times New Roman"/>
          <w:color w:val="000000"/>
          <w:lang w:eastAsia="pt-BR"/>
        </w:rPr>
        <w:t xml:space="preserve"> Realizar a ordenação da consulta de forma ascendente (do menor para o maior) ou descendente (do maior para o menor), utilizando uma ou várias colunas ao mesmo tempo;</w:t>
      </w:r>
    </w:p>
    <w:p w14:paraId="2932ABD6"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f)</w:t>
      </w:r>
      <w:r w:rsidRPr="00E6193A">
        <w:rPr>
          <w:rFonts w:ascii="Times New Roman" w:eastAsia="Times New Roman" w:hAnsi="Times New Roman" w:cs="Times New Roman"/>
          <w:color w:val="000000"/>
          <w:lang w:eastAsia="pt-BR"/>
        </w:rPr>
        <w:t xml:space="preserve"> Recurso para seleção múltipla de registros, para que operações consideradas comuns para todas as linhas selecionadas possam ser executadas em lote, como por exemplo: excluir, imprimir e selecionar (quando for o caso);</w:t>
      </w:r>
    </w:p>
    <w:p w14:paraId="17F6EE30"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g)</w:t>
      </w:r>
      <w:r w:rsidRPr="00E6193A">
        <w:rPr>
          <w:rFonts w:ascii="Times New Roman" w:eastAsia="Times New Roman" w:hAnsi="Times New Roman" w:cs="Times New Roman"/>
          <w:color w:val="000000"/>
          <w:lang w:eastAsia="pt-BR"/>
        </w:rPr>
        <w:t xml:space="preserve"> Permitir que o usuário selecione o número de registros por página e faça a navegação entre as páginas;</w:t>
      </w:r>
    </w:p>
    <w:p w14:paraId="771C58D0"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h)</w:t>
      </w:r>
      <w:r w:rsidRPr="00E6193A">
        <w:rPr>
          <w:rFonts w:ascii="Times New Roman" w:eastAsia="Times New Roman" w:hAnsi="Times New Roman" w:cs="Times New Roman"/>
          <w:color w:val="000000"/>
          <w:lang w:eastAsia="pt-BR"/>
        </w:rPr>
        <w:t xml:space="preserve"> Impressão da visualização atual da consulta, com opção de informar: título, formato de saída e totalizadores de colunas. Além disso deve permitir ainda a definição do formato de saída podendo ser no mínimo:  PDF, DOC, DOCX, XLS, XLSX, HTML, XML, CSV e TXT . Deve-se permitir emitir todos os registros da consulta ou apenas aqueles selecionados;</w:t>
      </w:r>
    </w:p>
    <w:p w14:paraId="1588184E"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i)</w:t>
      </w:r>
      <w:r w:rsidRPr="00E6193A">
        <w:rPr>
          <w:rFonts w:ascii="Times New Roman" w:eastAsia="Times New Roman" w:hAnsi="Times New Roman" w:cs="Times New Roman"/>
          <w:color w:val="000000"/>
          <w:lang w:eastAsia="pt-BR"/>
        </w:rPr>
        <w:t xml:space="preserve"> Permitir que o usuário retorne a consulta em seu estado original (default);</w:t>
      </w:r>
    </w:p>
    <w:p w14:paraId="21191BD0"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j)</w:t>
      </w:r>
      <w:r w:rsidRPr="00E6193A">
        <w:rPr>
          <w:rFonts w:ascii="Times New Roman" w:eastAsia="Times New Roman" w:hAnsi="Times New Roman" w:cs="Times New Roman"/>
          <w:color w:val="000000"/>
          <w:lang w:eastAsia="pt-BR"/>
        </w:rPr>
        <w:t xml:space="preserve"> Permitir que o usuário salve múltiplas preferências da consulta (campos em exibição incluindo posição e ordenação, informações de filtros em tela, etc.), permitindo definir um nome para cada uma delas e dispor da capacidade de compartilhar a preferência com todos os demais usuários, que possuam privilégio para a mesma consulta.</w:t>
      </w:r>
    </w:p>
    <w:p w14:paraId="5B4CCC3C" w14:textId="77777777" w:rsidR="00B307DB" w:rsidRPr="00E6193A" w:rsidRDefault="00B307DB" w:rsidP="00B307DB">
      <w:pPr>
        <w:numPr>
          <w:ilvl w:val="0"/>
          <w:numId w:val="116"/>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Fornecer em todo o sistema relatórios e consultas com opção de visualização em tela, possibilitando imprimir, exportar, ou salvar minimamente para os formatos: PDF, DOC, DOCX, XLS, XLSX, HTML, XML, CSV e TXT;</w:t>
      </w:r>
    </w:p>
    <w:p w14:paraId="2C43F330" w14:textId="77777777" w:rsidR="00B307DB" w:rsidRPr="00E6193A" w:rsidRDefault="00B307DB" w:rsidP="00B307DB">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bCs/>
          <w:color w:val="000000"/>
          <w:lang w:eastAsia="pt-BR"/>
        </w:rPr>
        <w:t>O sistema deverá possuir recursos de gerenciamento de usuários e de garantia da segurança do acesso ao sistema:</w:t>
      </w:r>
    </w:p>
    <w:p w14:paraId="45D546AA"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Vincular o usuário em um ou vários centros de custo, atribuindo desta forma liberação/restrição de acesso aos dados, podendo ser por Centro de Custo, Órgão, Unidade ou Total;</w:t>
      </w:r>
    </w:p>
    <w:p w14:paraId="2204B383" w14:textId="77777777" w:rsidR="00B307DB" w:rsidRPr="00E6193A" w:rsidRDefault="00B307DB" w:rsidP="00B307DB">
      <w:pPr>
        <w:widowControl w:val="0"/>
        <w:tabs>
          <w:tab w:val="left" w:pos="993"/>
        </w:tabs>
        <w:spacing w:after="0" w:line="240" w:lineRule="auto"/>
        <w:ind w:right="-568"/>
        <w:jc w:val="both"/>
        <w:rPr>
          <w:rFonts w:ascii="Times New Roman" w:eastAsia="Times New Roman" w:hAnsi="Times New Roman" w:cs="Times New Roman"/>
          <w:lang w:eastAsia="zh-CN"/>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O sistema deverá ser acessível por meio do login único GovBR, garantindo a identificação de cada cidadão que acessa os serviços digitais e removendo entraves à acessibilidade dos serviços públicos pela população</w:t>
      </w:r>
      <w:r w:rsidRPr="00E6193A">
        <w:rPr>
          <w:rFonts w:ascii="Times New Roman" w:eastAsia="Times New Roman" w:hAnsi="Times New Roman" w:cs="Times New Roman"/>
          <w:bCs/>
          <w:lang w:eastAsia="zh-CN"/>
        </w:rPr>
        <w:t>;</w:t>
      </w:r>
    </w:p>
    <w:p w14:paraId="29677492" w14:textId="77777777" w:rsidR="00B307DB" w:rsidRPr="00E6193A" w:rsidRDefault="00B307DB" w:rsidP="00B307DB">
      <w:pPr>
        <w:widowControl w:val="0"/>
        <w:tabs>
          <w:tab w:val="left" w:pos="993"/>
        </w:tabs>
        <w:spacing w:after="0" w:line="240" w:lineRule="auto"/>
        <w:ind w:right="-568"/>
        <w:jc w:val="both"/>
        <w:rPr>
          <w:rFonts w:ascii="Times New Roman" w:eastAsia="Times New Roman" w:hAnsi="Times New Roman" w:cs="Times New Roman"/>
          <w:lang w:eastAsia="zh-CN"/>
        </w:rPr>
      </w:pPr>
      <w:r w:rsidRPr="00E6193A">
        <w:rPr>
          <w:rFonts w:ascii="Times New Roman" w:eastAsia="Times New Roman" w:hAnsi="Times New Roman" w:cs="Times New Roman"/>
          <w:b/>
          <w:bCs/>
          <w:lang w:eastAsia="zh-CN"/>
        </w:rPr>
        <w:t>c)</w:t>
      </w:r>
      <w:r w:rsidRPr="00E6193A">
        <w:rPr>
          <w:rFonts w:ascii="Times New Roman" w:eastAsia="Times New Roman" w:hAnsi="Times New Roman" w:cs="Times New Roman"/>
          <w:bCs/>
          <w:lang w:eastAsia="zh-CN"/>
        </w:rPr>
        <w:t xml:space="preserve"> Permitir definir se utiliza servidor LDAP para autenticação;</w:t>
      </w:r>
    </w:p>
    <w:p w14:paraId="00EFBF90" w14:textId="77777777" w:rsidR="00B307DB" w:rsidRPr="00E6193A" w:rsidRDefault="00B307DB" w:rsidP="00B307DB">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d)</w:t>
      </w:r>
      <w:r w:rsidRPr="00E6193A">
        <w:rPr>
          <w:rFonts w:ascii="Times New Roman" w:eastAsia="Times New Roman" w:hAnsi="Times New Roman" w:cs="Times New Roman"/>
          <w:lang w:eastAsia="pt-PT"/>
        </w:rPr>
        <w:t xml:space="preserve"> Permitir que o acesso ao sistema seja realizado por meio de autenticação LDAP, validando tanto a existência como senha e permitir que diversos servidores LDAP sejam configurados, na plataforma refletindo a estrutura de rede da entidade;</w:t>
      </w:r>
    </w:p>
    <w:p w14:paraId="0894A579" w14:textId="77777777" w:rsidR="00B307DB" w:rsidRPr="00E6193A" w:rsidRDefault="00B307DB" w:rsidP="00B307DB">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e)</w:t>
      </w:r>
      <w:r w:rsidRPr="00E6193A">
        <w:rPr>
          <w:rFonts w:ascii="Times New Roman" w:eastAsia="Times New Roman" w:hAnsi="Times New Roman" w:cs="Times New Roman"/>
          <w:lang w:eastAsia="pt-PT"/>
        </w:rPr>
        <w:t xml:space="preserve"> Enviar mensagem por e-mail ao usuário assim que o mesmo for cadastrado no sistema. O sistema deverá também permitir personalizar a mensagem que será enviada;</w:t>
      </w:r>
    </w:p>
    <w:p w14:paraId="499CC23D" w14:textId="77777777" w:rsidR="00B307DB" w:rsidRPr="00E6193A" w:rsidRDefault="00B307DB" w:rsidP="00B307DB">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f)</w:t>
      </w:r>
      <w:r w:rsidRPr="00E6193A">
        <w:rPr>
          <w:rFonts w:ascii="Times New Roman" w:eastAsia="Times New Roman" w:hAnsi="Times New Roman" w:cs="Times New Roman"/>
          <w:lang w:eastAsia="pt-PT"/>
        </w:rPr>
        <w:t xml:space="preserve"> Permitir que o administrador local (com os devidos privilégios) realize a troca da senha dos usuários do sistema, com definição de senha aleatória sendo a mesma enviada para o e-mail do usuário assim que alterada, desta forma não sendo possível ao administrador o contato ou a definição de senhas de usuários, </w:t>
      </w:r>
      <w:r w:rsidRPr="00E6193A">
        <w:rPr>
          <w:rFonts w:ascii="Times New Roman" w:eastAsia="Times New Roman" w:hAnsi="Times New Roman" w:cs="Times New Roman"/>
          <w:lang w:eastAsia="pt-PT"/>
        </w:rPr>
        <w:lastRenderedPageBreak/>
        <w:t>garantindo maior segurança ao processo;</w:t>
      </w:r>
    </w:p>
    <w:p w14:paraId="1DD474BE" w14:textId="77777777" w:rsidR="00B307DB" w:rsidRPr="00E6193A" w:rsidRDefault="00B307DB" w:rsidP="00B307DB">
      <w:pPr>
        <w:widowControl w:val="0"/>
        <w:tabs>
          <w:tab w:val="left" w:pos="993"/>
        </w:tabs>
        <w:spacing w:after="0" w:line="240" w:lineRule="auto"/>
        <w:ind w:right="-568"/>
        <w:jc w:val="both"/>
        <w:rPr>
          <w:rFonts w:ascii="Times New Roman" w:eastAsia="Times New Roman" w:hAnsi="Times New Roman" w:cs="Times New Roman"/>
          <w:lang w:eastAsia="zh-CN"/>
        </w:rPr>
      </w:pPr>
      <w:r w:rsidRPr="00E6193A">
        <w:rPr>
          <w:rFonts w:ascii="Times New Roman" w:eastAsia="Times New Roman" w:hAnsi="Times New Roman" w:cs="Times New Roman"/>
          <w:b/>
          <w:bCs/>
          <w:lang w:eastAsia="zh-CN"/>
        </w:rPr>
        <w:t>g)</w:t>
      </w:r>
      <w:r w:rsidRPr="00E6193A">
        <w:rPr>
          <w:rFonts w:ascii="Times New Roman" w:eastAsia="Times New Roman" w:hAnsi="Times New Roman" w:cs="Times New Roman"/>
          <w:bCs/>
          <w:lang w:eastAsia="zh-CN"/>
        </w:rPr>
        <w:t xml:space="preserve"> Permitir que o administrador local defina se a senha do usuário está expirada, tendo assim o usuário que alterá-la em seu próximo login;</w:t>
      </w:r>
    </w:p>
    <w:p w14:paraId="7A8F5F42"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h)</w:t>
      </w:r>
      <w:r w:rsidRPr="00E6193A">
        <w:rPr>
          <w:rFonts w:ascii="Times New Roman" w:eastAsia="Times New Roman" w:hAnsi="Times New Roman" w:cs="Times New Roman"/>
          <w:color w:val="000000"/>
          <w:lang w:eastAsia="pt-BR"/>
        </w:rPr>
        <w:t xml:space="preserve"> Permitir validar se usuário/funcionário está com contrato ativo durante o seu login, evitando assim que funcionários afastados ou em férias tenham acesso ao software interno;</w:t>
      </w:r>
    </w:p>
    <w:p w14:paraId="694656B1"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i)</w:t>
      </w:r>
      <w:r w:rsidRPr="00E6193A">
        <w:rPr>
          <w:rFonts w:ascii="Times New Roman" w:eastAsia="Times New Roman" w:hAnsi="Times New Roman" w:cs="Times New Roman"/>
          <w:color w:val="000000"/>
          <w:lang w:eastAsia="pt-BR"/>
        </w:rPr>
        <w:t xml:space="preserve"> Permitir definir as regras de composição e tratamento de senhas;</w:t>
      </w:r>
    </w:p>
    <w:p w14:paraId="4A78BDE9"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j)</w:t>
      </w:r>
      <w:r w:rsidRPr="00E6193A">
        <w:rPr>
          <w:rFonts w:ascii="Times New Roman" w:eastAsia="Times New Roman" w:hAnsi="Times New Roman" w:cs="Times New Roman"/>
          <w:color w:val="000000"/>
          <w:lang w:eastAsia="pt-BR"/>
        </w:rPr>
        <w:t xml:space="preserve"> Permitir definir o intervalo de tempo para expiração automática de senhas;</w:t>
      </w:r>
    </w:p>
    <w:p w14:paraId="151A65EB"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k)</w:t>
      </w:r>
      <w:r w:rsidRPr="00E6193A">
        <w:rPr>
          <w:rFonts w:ascii="Times New Roman" w:eastAsia="Times New Roman" w:hAnsi="Times New Roman" w:cs="Times New Roman"/>
          <w:color w:val="000000"/>
          <w:lang w:eastAsia="pt-BR"/>
        </w:rPr>
        <w:t xml:space="preserve"> Permitir disponibilizar acesso para concessão de privilégios para diretores de áreas e que eles possam apenas conceder privilégios para seus subordinados diretos, através da hierarquia de centros de custo;</w:t>
      </w:r>
    </w:p>
    <w:p w14:paraId="30C4ACC8" w14:textId="77777777" w:rsidR="00B307DB" w:rsidRPr="00E6193A" w:rsidRDefault="00B307DB" w:rsidP="00B307DB">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Disponibilizar estrutura que permita configurar campos adicionais para determinadas rotinas, com as seguintes características:</w:t>
      </w:r>
    </w:p>
    <w:p w14:paraId="04254848"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Permitir que através de configurações simples, sem necessidade de customização, personalize a adição de novos campos;</w:t>
      </w:r>
    </w:p>
    <w:p w14:paraId="25529A8B"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Permitir criar agrupamentos de campos, para serem exibidos em conjunto em área específica nas janelas de entrada de dados já existentes no sistema, como área complementar;</w:t>
      </w:r>
    </w:p>
    <w:p w14:paraId="6CFF9CA9"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Permitir que seja definida uma ordem de exibição dos campos adicionais;</w:t>
      </w:r>
    </w:p>
    <w:p w14:paraId="2529FB41"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color w:val="000000"/>
          <w:lang w:eastAsia="pt-BR"/>
        </w:rPr>
        <w:t xml:space="preserve">d) Permitir definir o tipo do campo, podendo ser no mínimo: Texto, Numérico, Data, Valor, Lista, Hora, Booleano e Campo Texto Formatado. </w:t>
      </w:r>
    </w:p>
    <w:p w14:paraId="5698A9D4"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e)</w:t>
      </w:r>
      <w:r w:rsidRPr="00E6193A">
        <w:rPr>
          <w:rFonts w:ascii="Times New Roman" w:eastAsia="Times New Roman" w:hAnsi="Times New Roman" w:cs="Times New Roman"/>
          <w:color w:val="000000"/>
          <w:lang w:eastAsia="pt-BR"/>
        </w:rPr>
        <w:t xml:space="preserve"> A opção lista deverá permitir a definição de listas estáticas e/ou dinâmicas sendo carregadas, por exemplo via SQL;</w:t>
      </w:r>
    </w:p>
    <w:p w14:paraId="39B81337"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f)</w:t>
      </w:r>
      <w:r w:rsidRPr="00E6193A">
        <w:rPr>
          <w:rFonts w:ascii="Times New Roman" w:eastAsia="Times New Roman" w:hAnsi="Times New Roman" w:cs="Times New Roman"/>
          <w:color w:val="000000"/>
          <w:lang w:eastAsia="pt-BR"/>
        </w:rPr>
        <w:t xml:space="preserve"> A opção Texto, deverá permitir selecionar um formato de entrada, podendo ser no mínimo CPF, CNPJ, CEP, Telefone e E-Mail; </w:t>
      </w:r>
    </w:p>
    <w:p w14:paraId="65C5FFB7"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g)</w:t>
      </w:r>
      <w:r w:rsidRPr="00E6193A">
        <w:rPr>
          <w:rFonts w:ascii="Times New Roman" w:eastAsia="Times New Roman" w:hAnsi="Times New Roman" w:cs="Times New Roman"/>
          <w:color w:val="000000"/>
          <w:lang w:eastAsia="pt-BR"/>
        </w:rPr>
        <w:t xml:space="preserve"> Permitir definir um valor padrão para o campo bem como a obrigatoriedade do mesmo;</w:t>
      </w:r>
    </w:p>
    <w:p w14:paraId="77F00E68"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h)</w:t>
      </w:r>
      <w:r w:rsidRPr="00E6193A">
        <w:rPr>
          <w:rFonts w:ascii="Times New Roman" w:eastAsia="Times New Roman" w:hAnsi="Times New Roman" w:cs="Times New Roman"/>
          <w:color w:val="000000"/>
          <w:lang w:eastAsia="pt-BR"/>
        </w:rPr>
        <w:t xml:space="preserve"> Permitir definir regras, como exemplo: exibir uma mensagem caso determinado valor seja informado no campo, ou então desabilitar um campo caso determinado valor seja informado em outro;</w:t>
      </w:r>
    </w:p>
    <w:p w14:paraId="4F65A072"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i)</w:t>
      </w:r>
      <w:r w:rsidRPr="00E6193A">
        <w:rPr>
          <w:rFonts w:ascii="Times New Roman" w:eastAsia="Times New Roman" w:hAnsi="Times New Roman" w:cs="Times New Roman"/>
          <w:color w:val="000000"/>
          <w:lang w:eastAsia="pt-BR"/>
        </w:rPr>
        <w:t xml:space="preserve"> Permitir definir para o campo adicional, se o mesmo aceitará a entrada de arquivo digital relacionado, como uma imagem, arquivo PDF ou outro, podendo selecionar quais as extensões permitidas para entrada;</w:t>
      </w:r>
    </w:p>
    <w:p w14:paraId="08C90837"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j)</w:t>
      </w:r>
      <w:r w:rsidRPr="00E6193A">
        <w:rPr>
          <w:rFonts w:ascii="Times New Roman" w:eastAsia="Times New Roman" w:hAnsi="Times New Roman" w:cs="Times New Roman"/>
          <w:color w:val="000000"/>
          <w:lang w:eastAsia="pt-BR"/>
        </w:rPr>
        <w:t xml:space="preserve"> Permitir definir para o campo adicional, se o mesmo utilizará o conceito de consulta relacionada, podendo consultar os dados de qualquer outra tabela do sistema e retornando determinados valores para armazenar no campo adicional junto ao registro relacionado.</w:t>
      </w:r>
    </w:p>
    <w:p w14:paraId="234CCE72"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k)</w:t>
      </w:r>
      <w:r w:rsidRPr="00E6193A">
        <w:rPr>
          <w:rFonts w:ascii="Times New Roman" w:eastAsia="Times New Roman" w:hAnsi="Times New Roman" w:cs="Times New Roman"/>
          <w:color w:val="000000"/>
          <w:lang w:eastAsia="pt-BR"/>
        </w:rPr>
        <w:t xml:space="preserve"> Permitir definir de forma simples através de uma ação própria, um valor inicial ou reiniciar todos os valores para o campo adicional, quando o mesmo é vinculado em um cadastro que já possua registros pré-existentes, aplicando para todos os registros o novo valor.</w:t>
      </w:r>
    </w:p>
    <w:p w14:paraId="5498A230" w14:textId="77777777" w:rsidR="00B307DB" w:rsidRPr="00E6193A" w:rsidRDefault="00B307DB" w:rsidP="00B307DB">
      <w:pPr>
        <w:widowControl w:val="0"/>
        <w:numPr>
          <w:ilvl w:val="0"/>
          <w:numId w:val="117"/>
        </w:numPr>
        <w:tabs>
          <w:tab w:val="left" w:pos="284"/>
        </w:tabs>
        <w:spacing w:after="0" w:line="240" w:lineRule="auto"/>
        <w:ind w:left="0" w:right="-568" w:firstLine="0"/>
        <w:jc w:val="both"/>
        <w:rPr>
          <w:rFonts w:ascii="Times New Roman" w:eastAsia="Calibri" w:hAnsi="Times New Roman" w:cs="Times New Roman"/>
          <w:lang w:eastAsia="zh-CN"/>
        </w:rPr>
      </w:pPr>
      <w:r w:rsidRPr="00E6193A">
        <w:rPr>
          <w:rFonts w:ascii="Times New Roman" w:eastAsia="Calibri" w:hAnsi="Times New Roman" w:cs="Times New Roman"/>
          <w:bCs/>
          <w:lang w:eastAsia="zh-CN"/>
        </w:rPr>
        <w:t>Possuir recurso de Repositório de Certificados Digitais com funcionalidades:</w:t>
      </w:r>
    </w:p>
    <w:p w14:paraId="7E92DCCE"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Permitir vincular certificados digitais do tipo A1 para a entidade, neste caso permitindo uso compartilhado do certificado, mediante concessão de privilégio de uso;</w:t>
      </w:r>
    </w:p>
    <w:p w14:paraId="632DD514"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Permitir que o usuário crie um certificado digital, para uso em assinaturas digitais do tipo Avançada, conforme Lei 14.063/2020. Este tipo de certificado deverá ser individual e exclusivo a ser utilizado apenas pelo usuário, via sistema;</w:t>
      </w:r>
    </w:p>
    <w:p w14:paraId="70543F0C"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Realizar controle de vencimento de certificados no repositório, cientificando o usuário toda vez que ele acessar a aplicação quanto a necessidade de renovação;</w:t>
      </w:r>
    </w:p>
    <w:p w14:paraId="6B03A6F1"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d)</w:t>
      </w:r>
      <w:r w:rsidRPr="00E6193A">
        <w:rPr>
          <w:rFonts w:ascii="Times New Roman" w:eastAsia="Times New Roman" w:hAnsi="Times New Roman" w:cs="Times New Roman"/>
          <w:color w:val="000000"/>
          <w:lang w:eastAsia="pt-BR"/>
        </w:rPr>
        <w:t xml:space="preserve"> Registrar em log exclusivo (auditoria) toda vez que o certificado é utilizado, indicando data/hora de uso, informações sobre o procedimento realizado e qual usuário estava logado no sistema no instante do uso;</w:t>
      </w:r>
    </w:p>
    <w:p w14:paraId="062867DC" w14:textId="77777777" w:rsidR="00B307DB" w:rsidRPr="00E6193A" w:rsidRDefault="00B307DB" w:rsidP="00B307DB">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 xml:space="preserve">Permitir o uso de Assinatura Digital, exclusivamente na modalidade Qualificada (conforme Lei 14.063/2020) nos seguintes procedimentos: </w:t>
      </w:r>
    </w:p>
    <w:p w14:paraId="57252395"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Login do Sistema;</w:t>
      </w:r>
    </w:p>
    <w:p w14:paraId="46D301F7"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No Peticionamento Eletrônico;</w:t>
      </w:r>
    </w:p>
    <w:p w14:paraId="27FF3DB8"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Escrituração Fiscal (Declaração de Serviços prestados e tomados);</w:t>
      </w:r>
    </w:p>
    <w:p w14:paraId="05EF7F48" w14:textId="77777777" w:rsidR="00B307DB" w:rsidRPr="00E6193A" w:rsidRDefault="00B307DB" w:rsidP="00B307DB">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Possibilitar a utilização de Assinatura Digital nas modalidades Básica, Avançada e Qualificada (conforme Lei 14.063/2020) nos seguintes processos:</w:t>
      </w:r>
    </w:p>
    <w:p w14:paraId="4FF2B2EA"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Após a emissão de relatórios, permitindo assinar o documento emitido;</w:t>
      </w:r>
    </w:p>
    <w:p w14:paraId="2CC698F8"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Pareceres do Processo Digital;</w:t>
      </w:r>
    </w:p>
    <w:p w14:paraId="59E73364"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Recebimento/Envio de Processos por meio digital;</w:t>
      </w:r>
    </w:p>
    <w:p w14:paraId="15AB603E" w14:textId="77777777" w:rsidR="00B307DB" w:rsidRPr="00E6193A" w:rsidRDefault="00B307DB" w:rsidP="00B307DB">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lastRenderedPageBreak/>
        <w:t>Permitir assinatura digital de documentos diretamente pela aplicação, sem necessidade de utilizar outros sistemas ou recursos, exceto aqueles necessários para acesso ao dispositivo de leitura do certificado digital na máquina local do próprio usuário;</w:t>
      </w:r>
    </w:p>
    <w:p w14:paraId="6A97E6FD" w14:textId="77777777" w:rsidR="00B307DB" w:rsidRPr="00E6193A" w:rsidRDefault="00B307DB" w:rsidP="00B307DB">
      <w:pPr>
        <w:numPr>
          <w:ilvl w:val="0"/>
          <w:numId w:val="117"/>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Permitir o uso de Solicitações de Assinatura, onde um usuário realiza a solicitação de assinatura de um ou mais documentos, para que outro(s) usuário(s) o façam, contendo os seguintes recursos:</w:t>
      </w:r>
    </w:p>
    <w:p w14:paraId="60856827"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a)</w:t>
      </w:r>
      <w:r w:rsidRPr="00E6193A">
        <w:rPr>
          <w:rFonts w:ascii="Times New Roman" w:eastAsia="Times New Roman" w:hAnsi="Times New Roman" w:cs="Times New Roman"/>
          <w:color w:val="000000"/>
          <w:lang w:eastAsia="pt-BR"/>
        </w:rPr>
        <w:t xml:space="preserve"> Permitir definir se a execução das assinaturas será de forma sequencial (um após o outro) ou não (todos ao mesmo tempo);</w:t>
      </w:r>
    </w:p>
    <w:p w14:paraId="78F97DC0"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b)</w:t>
      </w:r>
      <w:r w:rsidRPr="00E6193A">
        <w:rPr>
          <w:rFonts w:ascii="Times New Roman" w:eastAsia="Times New Roman" w:hAnsi="Times New Roman" w:cs="Times New Roman"/>
          <w:color w:val="000000"/>
          <w:lang w:eastAsia="pt-BR"/>
        </w:rPr>
        <w:t xml:space="preserve"> Permitir que durante a assinatura de uma solicitação o usuário possa rejeitar um documento enviado para sua assinatura;</w:t>
      </w:r>
    </w:p>
    <w:p w14:paraId="165A29EF"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c)</w:t>
      </w:r>
      <w:r w:rsidRPr="00E6193A">
        <w:rPr>
          <w:rFonts w:ascii="Times New Roman" w:eastAsia="Times New Roman" w:hAnsi="Times New Roman" w:cs="Times New Roman"/>
          <w:color w:val="000000"/>
          <w:lang w:eastAsia="pt-BR"/>
        </w:rPr>
        <w:t xml:space="preserve"> Permitir que o usuário criador da solicitação de assinatura, possa indicar se ele deverá receber notificação final, podendo ele validar se todas as assinaturas foram realizadas em todos os documentos. A solicitação deverá se encerrar apenas após essa validação;</w:t>
      </w:r>
    </w:p>
    <w:p w14:paraId="1C0780FB"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d)</w:t>
      </w:r>
      <w:r w:rsidRPr="00E6193A">
        <w:rPr>
          <w:rFonts w:ascii="Times New Roman" w:eastAsia="Times New Roman" w:hAnsi="Times New Roman" w:cs="Times New Roman"/>
          <w:color w:val="000000"/>
          <w:lang w:eastAsia="pt-BR"/>
        </w:rPr>
        <w:t xml:space="preserve"> Permitir que o usuário possa assinar múltiplos registros de solicitações de assinatura durante o ato de assinar.</w:t>
      </w:r>
    </w:p>
    <w:p w14:paraId="66EBD7C7"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Permitir que solicitações de assinatura sejam encaminhadas para cidadãos por meio de portal de serviços ou via Aplicativo;</w:t>
      </w:r>
    </w:p>
    <w:p w14:paraId="00C1C8C9" w14:textId="77777777" w:rsidR="00B307DB" w:rsidRPr="00E6193A" w:rsidRDefault="00B307DB" w:rsidP="00B307DB">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procedimento de assinatura digital deverá ser simples e prático para o usuário, contendo os seguintes recursos/facilitadores:</w:t>
      </w:r>
    </w:p>
    <w:p w14:paraId="2540722E" w14:textId="77777777" w:rsidR="00B307DB" w:rsidRPr="00E6193A" w:rsidRDefault="00B307DB" w:rsidP="00B307DB">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a)</w:t>
      </w:r>
      <w:r w:rsidRPr="00E6193A">
        <w:rPr>
          <w:rFonts w:ascii="Times New Roman" w:eastAsia="Times New Roman" w:hAnsi="Times New Roman" w:cs="Times New Roman"/>
          <w:lang w:eastAsia="pt-PT"/>
        </w:rPr>
        <w:t xml:space="preserve"> Permitir que sejam configurados carimbos/estampas de assinatura, por usuário ou para a entidade toda, com possibilidade de configurar o conteúdo a ser colocado como “estampa” sobre o documento PDF assinado;</w:t>
      </w:r>
    </w:p>
    <w:p w14:paraId="34691A2A" w14:textId="77777777" w:rsidR="00B307DB" w:rsidRPr="00E6193A" w:rsidRDefault="00B307DB" w:rsidP="00B307DB">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b)</w:t>
      </w:r>
      <w:r w:rsidRPr="00E6193A">
        <w:rPr>
          <w:rFonts w:ascii="Times New Roman" w:eastAsia="Times New Roman" w:hAnsi="Times New Roman" w:cs="Times New Roman"/>
          <w:lang w:eastAsia="pt-PT"/>
        </w:rPr>
        <w:t xml:space="preserve"> Exibir alerta para o usuário quando o mesmo já fez assinatura digital de um documento, podendo ele optar por cancelar a nova assinatura;</w:t>
      </w:r>
    </w:p>
    <w:p w14:paraId="3F1D9F3A" w14:textId="77777777" w:rsidR="00B307DB" w:rsidRPr="00E6193A" w:rsidRDefault="00B307DB" w:rsidP="00B307DB">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c)</w:t>
      </w:r>
      <w:r w:rsidRPr="00E6193A">
        <w:rPr>
          <w:rFonts w:ascii="Times New Roman" w:eastAsia="Times New Roman" w:hAnsi="Times New Roman" w:cs="Times New Roman"/>
          <w:lang w:eastAsia="pt-PT"/>
        </w:rPr>
        <w:t xml:space="preserve"> Permitir realizar assinatura digital com certificados do repositório e/ou instalados localmente na máquina do usuário sejam nos modelos A1 ou A3;</w:t>
      </w:r>
    </w:p>
    <w:p w14:paraId="6E724DB8" w14:textId="77777777" w:rsidR="00B307DB" w:rsidRPr="00E6193A" w:rsidRDefault="00B307DB" w:rsidP="00B307DB">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d)</w:t>
      </w:r>
      <w:r w:rsidRPr="00E6193A">
        <w:rPr>
          <w:rFonts w:ascii="Times New Roman" w:eastAsia="Times New Roman" w:hAnsi="Times New Roman" w:cs="Times New Roman"/>
          <w:lang w:eastAsia="pt-PT"/>
        </w:rPr>
        <w:t xml:space="preserve"> Os certificados devem ser listados para o usuário antes da assinatura para que ele possa escolher.</w:t>
      </w:r>
    </w:p>
    <w:p w14:paraId="321C85AE" w14:textId="77777777" w:rsidR="00B307DB" w:rsidRPr="00E6193A" w:rsidRDefault="00B307DB" w:rsidP="00B307DB">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e)</w:t>
      </w:r>
      <w:r w:rsidRPr="00E6193A">
        <w:rPr>
          <w:rFonts w:ascii="Times New Roman" w:eastAsia="Times New Roman" w:hAnsi="Times New Roman" w:cs="Times New Roman"/>
          <w:lang w:eastAsia="pt-PT"/>
        </w:rPr>
        <w:t xml:space="preserve"> O usuário deverá ver claramente quando um certificado está vencido;</w:t>
      </w:r>
    </w:p>
    <w:p w14:paraId="0B41252D" w14:textId="77777777" w:rsidR="00B307DB" w:rsidRPr="00E6193A" w:rsidRDefault="00B307DB" w:rsidP="00B307DB">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f)</w:t>
      </w:r>
      <w:r w:rsidRPr="00E6193A">
        <w:rPr>
          <w:rFonts w:ascii="Times New Roman" w:eastAsia="Times New Roman" w:hAnsi="Times New Roman" w:cs="Times New Roman"/>
          <w:lang w:eastAsia="pt-PT"/>
        </w:rPr>
        <w:t xml:space="preserve"> A ação de assinatura digital deverá ser transparente para o usuário, sendo operada diretamente do próprio sistema, através de interface padronizada (comum a todo o sistema), dentro da própria aplicação web, sem que haja necessidade de trocar de aplicação para executar o procedimento;</w:t>
      </w:r>
    </w:p>
    <w:p w14:paraId="5D3BF554" w14:textId="77777777" w:rsidR="00B307DB" w:rsidRPr="00E6193A" w:rsidRDefault="00B307DB" w:rsidP="00B307DB">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g)</w:t>
      </w:r>
      <w:r w:rsidRPr="00E6193A">
        <w:rPr>
          <w:rFonts w:ascii="Times New Roman" w:eastAsia="Times New Roman" w:hAnsi="Times New Roman" w:cs="Times New Roman"/>
          <w:lang w:eastAsia="pt-PT"/>
        </w:rPr>
        <w:t xml:space="preserve"> A ação de assinatura digital, deverá exibir o documento que o usuário está realizando assinatura no ato da mesma (quando individual) ou permitir a visualização dos documentos relacionados (quando assinatura em lote). Desta forma o usuário/assinante saberá exatamente do que se trata e o que ele está assinando;</w:t>
      </w:r>
    </w:p>
    <w:p w14:paraId="603F8A61" w14:textId="77777777" w:rsidR="00B307DB" w:rsidRPr="00E6193A" w:rsidRDefault="00B307DB" w:rsidP="00B307DB">
      <w:pPr>
        <w:widowControl w:val="0"/>
        <w:tabs>
          <w:tab w:val="left" w:pos="1134"/>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h)</w:t>
      </w:r>
      <w:r w:rsidRPr="00E6193A">
        <w:rPr>
          <w:rFonts w:ascii="Times New Roman" w:eastAsia="Times New Roman" w:hAnsi="Times New Roman" w:cs="Times New Roman"/>
          <w:lang w:eastAsia="pt-PT"/>
        </w:rPr>
        <w:t xml:space="preserve"> Todo documento PDF assinado digitalmente, deverá conter estampa automática com informações sobre a consulta de autenticidade do mesmo incluindo endereço de consulta em QRCODE para poder fazê-lo através de leitura pelo Smartphone;</w:t>
      </w:r>
    </w:p>
    <w:p w14:paraId="00AC968A" w14:textId="77777777" w:rsidR="00B307DB" w:rsidRPr="00E6193A" w:rsidRDefault="00B307DB" w:rsidP="00B307DB">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Controlar a emissão de relatórios, dispondo dos seguintes recursos:</w:t>
      </w:r>
    </w:p>
    <w:p w14:paraId="7817E3CD"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a) </w:t>
      </w:r>
      <w:r w:rsidRPr="00E6193A">
        <w:rPr>
          <w:rFonts w:ascii="Times New Roman" w:eastAsia="Times New Roman" w:hAnsi="Times New Roman" w:cs="Times New Roman"/>
          <w:color w:val="000000"/>
          <w:lang w:eastAsia="pt-BR"/>
        </w:rPr>
        <w:t>Emitir vários relatórios ao mesmo tempo, pelo mesmo usuário;</w:t>
      </w:r>
    </w:p>
    <w:p w14:paraId="478B2E1A"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b) </w:t>
      </w:r>
      <w:r w:rsidRPr="00E6193A">
        <w:rPr>
          <w:rFonts w:ascii="Times New Roman" w:eastAsia="Times New Roman" w:hAnsi="Times New Roman" w:cs="Times New Roman"/>
          <w:color w:val="000000"/>
          <w:lang w:eastAsia="pt-BR"/>
        </w:rPr>
        <w:t>Permitir que relatórios sejam colocados em execução através de fila de impressão e caso o usuário finalize a aplicação, mesmo assim o relatório continue em execução. Ao finalizar, deve-se enviar uma notificação ao usuário de que o mesmo está concluído;</w:t>
      </w:r>
    </w:p>
    <w:p w14:paraId="41747FC6"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Controlar para que um relatório em emissão para o usuário não possa ser colocado em execução novamente até que o primeiro finalize, quando os parâmetros de emissão forem iguais;</w:t>
      </w:r>
    </w:p>
    <w:p w14:paraId="2D56B116"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d) </w:t>
      </w:r>
      <w:r w:rsidRPr="00E6193A">
        <w:rPr>
          <w:rFonts w:ascii="Times New Roman" w:eastAsia="Times New Roman" w:hAnsi="Times New Roman" w:cs="Times New Roman"/>
          <w:color w:val="000000"/>
          <w:lang w:eastAsia="pt-BR"/>
        </w:rPr>
        <w:t>Conter recurso que liste os relatórios em emissão e notifique o usuário quando os relatórios estiverem concluídos;</w:t>
      </w:r>
    </w:p>
    <w:p w14:paraId="71D470E1"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Permitir que ao final da emissão seja enviado relatório por e-mail para um ou vários destinatários buscados através do cadastro único;</w:t>
      </w:r>
    </w:p>
    <w:p w14:paraId="7DFB6A69"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Permitir que no envio de e-mail seja definido data/hora em que o e-mail deverá ser enviado ao(s) destinatário(s);</w:t>
      </w:r>
    </w:p>
    <w:p w14:paraId="312E35F5"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g) </w:t>
      </w:r>
      <w:r w:rsidRPr="00E6193A">
        <w:rPr>
          <w:rFonts w:ascii="Times New Roman" w:eastAsia="Times New Roman" w:hAnsi="Times New Roman" w:cs="Times New Roman"/>
          <w:color w:val="000000"/>
          <w:lang w:eastAsia="pt-BR"/>
        </w:rPr>
        <w:t>Possuir opção para emitir e assinar digitalmente qualquer relatório impresso;</w:t>
      </w:r>
    </w:p>
    <w:p w14:paraId="54D8BC90"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h) </w:t>
      </w:r>
      <w:r w:rsidRPr="00E6193A">
        <w:rPr>
          <w:rFonts w:ascii="Times New Roman" w:eastAsia="Times New Roman" w:hAnsi="Times New Roman" w:cs="Times New Roman"/>
          <w:color w:val="000000"/>
          <w:lang w:eastAsia="pt-BR"/>
        </w:rPr>
        <w:t>Manter uma cópia do relatório emitido, armazenada no banco de dados, pelo menos por 1 (um) ano, identificando cada emissão por um código único que deverá ser impresso junto com o relatório em todas as páginas, com informações de: filtros utilizados, usuário que emitiu, data e hora de emissão e id do relatório emitido;</w:t>
      </w:r>
    </w:p>
    <w:p w14:paraId="19C6C1DF"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lastRenderedPageBreak/>
        <w:t xml:space="preserve">i) </w:t>
      </w:r>
      <w:r w:rsidRPr="00E6193A">
        <w:rPr>
          <w:rFonts w:ascii="Times New Roman" w:eastAsia="Times New Roman" w:hAnsi="Times New Roman" w:cs="Times New Roman"/>
          <w:color w:val="000000"/>
          <w:lang w:eastAsia="pt-BR"/>
        </w:rPr>
        <w:t>Permitir através de um serviço no portal de serviços, que o relatório emitido, seja consultado e verificado, desta forma pode-se validar a autenticidade de qualquer relatório emitido;</w:t>
      </w:r>
    </w:p>
    <w:p w14:paraId="79084E84"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j) </w:t>
      </w:r>
      <w:r w:rsidRPr="00E6193A">
        <w:rPr>
          <w:rFonts w:ascii="Times New Roman" w:eastAsia="Times New Roman" w:hAnsi="Times New Roman" w:cs="Times New Roman"/>
          <w:color w:val="000000"/>
          <w:lang w:eastAsia="pt-BR"/>
        </w:rPr>
        <w:t>Consultar relatórios emitidos, filtrando pelo ID da emissão do relatório ou por outros dados como modelo/layout, usuário que fez a emissão, data/hora da emissão, visualizando os detalhes da emissão como os parâmetros informados, bem como a opção de imprimir;</w:t>
      </w:r>
    </w:p>
    <w:p w14:paraId="4EB91B3C" w14:textId="77777777" w:rsidR="00B307DB" w:rsidRPr="00E6193A" w:rsidRDefault="00B307DB" w:rsidP="00B307DB">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Possuir gerador de relatórios, com as seguintes características:</w:t>
      </w:r>
    </w:p>
    <w:p w14:paraId="2E569B40"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a) </w:t>
      </w:r>
      <w:r w:rsidRPr="00E6193A">
        <w:rPr>
          <w:rFonts w:ascii="Times New Roman" w:eastAsia="Times New Roman" w:hAnsi="Times New Roman" w:cs="Times New Roman"/>
          <w:color w:val="000000"/>
          <w:lang w:eastAsia="pt-BR"/>
        </w:rPr>
        <w:t>Possuir um cadastro de “Formatos de Relatórios” sendo reutilizáveis por diversos relatórios e configuráveis: Tamanho de página, Margens do Documento, Cabeçalhos e Rodapé, contendo: Brasão, número da página, filtros utilizados, nome da entidade e Configurar marca d´água através do upload de imagem;</w:t>
      </w:r>
    </w:p>
    <w:p w14:paraId="4B8EA08B"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b) </w:t>
      </w:r>
      <w:r w:rsidRPr="00E6193A">
        <w:rPr>
          <w:rFonts w:ascii="Times New Roman" w:eastAsia="Times New Roman" w:hAnsi="Times New Roman" w:cs="Times New Roman"/>
          <w:color w:val="000000"/>
          <w:lang w:eastAsia="pt-BR"/>
        </w:rPr>
        <w:t>Editar relatórios atuais ou adição de novos relatórios de forma avançada, contendo recursos como formatação de campos, adição de imagens ao corpo do relatório, configuração de agrupamentos, uso de códigos de barras/QR codes, etc. A edição avançada de relatórios poderá ser realizada por ferramenta externa a aplicação, desde que não haja custo adicional a contratante;</w:t>
      </w:r>
    </w:p>
    <w:p w14:paraId="39B1DA79"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Permitir que novos layouts sejam criados/alterados para os relatórios disponíveis no sistema, podendo esses layouts novos serem criados com base em cópia de layouts já existentes, sejam eles padrões ou não;</w:t>
      </w:r>
    </w:p>
    <w:p w14:paraId="771735F6"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d) </w:t>
      </w:r>
      <w:r w:rsidRPr="00E6193A">
        <w:rPr>
          <w:rFonts w:ascii="Times New Roman" w:eastAsia="Times New Roman" w:hAnsi="Times New Roman" w:cs="Times New Roman"/>
          <w:color w:val="000000"/>
          <w:lang w:eastAsia="pt-BR"/>
        </w:rPr>
        <w:t>Selecionar as informações a partir de metadados (estruturas de dados) conforme modelagem do sistema ou então através de instruções SQL, definindo as características dos campos como nome, tamanho e opções de filtro;</w:t>
      </w:r>
    </w:p>
    <w:p w14:paraId="507E0EAF"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Disponibilizar acesso diretamente dos menus dos módulos e também na barra de acesso rápido às funções do usuário;</w:t>
      </w:r>
    </w:p>
    <w:p w14:paraId="0F063435"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Definir privilégios para os relatórios e consultas gerados a partir do gerador de relatórios e consultas;</w:t>
      </w:r>
    </w:p>
    <w:p w14:paraId="7C0D868E"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g) </w:t>
      </w:r>
      <w:r w:rsidRPr="00E6193A">
        <w:rPr>
          <w:rFonts w:ascii="Times New Roman" w:eastAsia="Times New Roman" w:hAnsi="Times New Roman" w:cs="Times New Roman"/>
          <w:color w:val="000000"/>
          <w:lang w:eastAsia="pt-BR"/>
        </w:rPr>
        <w:t>Permitir gerenciar os relatórios por versões, permitindo que uma nova versão do relatório seja criada e esta não afete o uso da aplicação pelos usuários enquanto não estiver totalmente finalizada. Permitir restaurar uma versão anterior se necessário.</w:t>
      </w:r>
    </w:p>
    <w:p w14:paraId="2DEFE35B" w14:textId="77777777" w:rsidR="00B307DB" w:rsidRPr="00E6193A" w:rsidRDefault="00B307DB" w:rsidP="00B307DB">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 sistema deve possuir recurso de desenho, configuração e execução de workflow, com as seguintes características:</w:t>
      </w:r>
    </w:p>
    <w:p w14:paraId="66F1F7F1"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a) </w:t>
      </w:r>
      <w:r w:rsidRPr="00E6193A">
        <w:rPr>
          <w:rFonts w:ascii="Times New Roman" w:eastAsia="Times New Roman" w:hAnsi="Times New Roman" w:cs="Times New Roman"/>
          <w:color w:val="000000"/>
          <w:lang w:eastAsia="pt-BR"/>
        </w:rPr>
        <w:t>Deverá fazer parte do sistema de gestão, no mesmo SGBD, sem necessidade de acesso ou integração com outro sistema;</w:t>
      </w:r>
    </w:p>
    <w:p w14:paraId="6BC1C93E"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b) </w:t>
      </w:r>
      <w:r w:rsidRPr="00E6193A">
        <w:rPr>
          <w:rFonts w:ascii="Times New Roman" w:eastAsia="Times New Roman" w:hAnsi="Times New Roman" w:cs="Times New Roman"/>
          <w:color w:val="000000"/>
          <w:lang w:eastAsia="pt-BR"/>
        </w:rPr>
        <w:t>Permitir a realização de documentação, manual e/ou através do relacionamento de documentos digitais e textos jurídicos constantes no cadastro único;</w:t>
      </w:r>
    </w:p>
    <w:p w14:paraId="0452308F"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 xml:space="preserve">Permitir execução automática de funções e carregamento de formulário/telas integrantes da solução através de um gerenciador único. </w:t>
      </w:r>
    </w:p>
    <w:p w14:paraId="601D9A1D"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d) </w:t>
      </w:r>
      <w:r w:rsidRPr="00E6193A">
        <w:rPr>
          <w:rFonts w:ascii="Times New Roman" w:eastAsia="Times New Roman" w:hAnsi="Times New Roman" w:cs="Times New Roman"/>
          <w:color w:val="000000"/>
          <w:lang w:eastAsia="pt-BR"/>
        </w:rPr>
        <w:t>A ferramenta de Workflow deverá permitir desenho de processos utilizando-se da metodologia BPMN (</w:t>
      </w:r>
      <w:r w:rsidRPr="00E6193A">
        <w:rPr>
          <w:rFonts w:ascii="Times New Roman" w:eastAsia="Times New Roman" w:hAnsi="Times New Roman" w:cs="Times New Roman"/>
          <w:i/>
          <w:iCs/>
          <w:color w:val="000000"/>
          <w:lang w:eastAsia="pt-BR"/>
        </w:rPr>
        <w:t>Business Process Model and Notation</w:t>
      </w:r>
      <w:r w:rsidRPr="00E6193A">
        <w:rPr>
          <w:rFonts w:ascii="Times New Roman" w:eastAsia="Times New Roman" w:hAnsi="Times New Roman" w:cs="Times New Roman"/>
          <w:color w:val="000000"/>
          <w:lang w:eastAsia="pt-BR"/>
        </w:rPr>
        <w:t>), incluindo Raias (horizontal e vertical), Eventos, Atividades, etc.</w:t>
      </w:r>
    </w:p>
    <w:p w14:paraId="6AAE4544"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Permitir o controle de ativação/desativação/homologação e versionamento de processos, possibilitando a evolução natural dos processos;</w:t>
      </w:r>
    </w:p>
    <w:p w14:paraId="3AA42FC6" w14:textId="77777777" w:rsidR="00B307DB" w:rsidRPr="00E6193A" w:rsidRDefault="00B307DB" w:rsidP="00B307DB">
      <w:pPr>
        <w:tabs>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Registrar a cada alteração histórico de alterações realizadas no Workflow, permitindo também visualizar em histórico cada manutenção realizada, contendo recursos para comparar e restaurar entre uma alteração e outra;</w:t>
      </w:r>
    </w:p>
    <w:p w14:paraId="47C99240" w14:textId="77777777" w:rsidR="00B307DB" w:rsidRPr="00E6193A" w:rsidRDefault="00B307DB" w:rsidP="00B307DB">
      <w:pPr>
        <w:numPr>
          <w:ilvl w:val="0"/>
          <w:numId w:val="108"/>
        </w:numPr>
        <w:tabs>
          <w:tab w:val="left" w:pos="284"/>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Objetivando atender a regras impostas pela LGPD (Lei Geral de Proteção de Dados), os seguintes recursos são necessários na aplicação:</w:t>
      </w:r>
    </w:p>
    <w:p w14:paraId="1AFC7A7E"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a) </w:t>
      </w:r>
      <w:r w:rsidRPr="00E6193A">
        <w:rPr>
          <w:rFonts w:ascii="Times New Roman" w:eastAsia="Times New Roman" w:hAnsi="Times New Roman" w:cs="Times New Roman"/>
          <w:color w:val="000000"/>
          <w:lang w:eastAsia="pt-BR"/>
        </w:rPr>
        <w:t>O sistema deverá conter mecanismo que permita a configuração e o gerenciamento de “Termos e Condições de Uso”, tanto para usuários internos (funcionários) como para usuários externos (cidadãos). A entidade poderá configurar os termos conforme necessidade, individualmente por perfil de usuário e por serviço disponível no portal;</w:t>
      </w:r>
    </w:p>
    <w:p w14:paraId="62F3F40F"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b) </w:t>
      </w:r>
      <w:r w:rsidRPr="00E6193A">
        <w:rPr>
          <w:rFonts w:ascii="Times New Roman" w:eastAsia="Times New Roman" w:hAnsi="Times New Roman" w:cs="Times New Roman"/>
          <w:color w:val="000000"/>
          <w:lang w:eastAsia="pt-BR"/>
        </w:rPr>
        <w:t>Possuir inventário dos Tratamentos de Dados Pessoais realizados em processos/operações do sistema de gestão, incluindo a(s) hipótese(s) previstas em lei em que eles estão relacionados, cadastrados no próprio sistema;</w:t>
      </w:r>
    </w:p>
    <w:p w14:paraId="43E6DDCF"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Permitir que a entidade mapeie e cadastre outros Tratamentos de Dados Pessoais que a mesma realiza seja por meio digital, através de outros sistemas de gestão (de outras áreas) ou por meio físico;</w:t>
      </w:r>
    </w:p>
    <w:p w14:paraId="0AD8196E"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lastRenderedPageBreak/>
        <w:t xml:space="preserve">d) </w:t>
      </w:r>
      <w:r w:rsidRPr="00E6193A">
        <w:rPr>
          <w:rFonts w:ascii="Times New Roman" w:eastAsia="Times New Roman" w:hAnsi="Times New Roman" w:cs="Times New Roman"/>
          <w:color w:val="000000"/>
          <w:lang w:eastAsia="pt-BR"/>
        </w:rPr>
        <w:t>Deverá dispor de área exclusiva para que o cidadão possa visualizar todos os tratamentos de dados pessoais realizados pela entidade, incluindo aqueles que não são realizados no software de gestão (Transparência Ativa) e permitir que ele solicite relatório dos usos realizados (Transparência Passiva);</w:t>
      </w:r>
    </w:p>
    <w:p w14:paraId="1F545287"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e) </w:t>
      </w:r>
      <w:r w:rsidRPr="00E6193A">
        <w:rPr>
          <w:rFonts w:ascii="Times New Roman" w:eastAsia="Times New Roman" w:hAnsi="Times New Roman" w:cs="Times New Roman"/>
          <w:color w:val="000000"/>
          <w:lang w:eastAsia="pt-BR"/>
        </w:rPr>
        <w:t>Permitir emitir relatório automático dos relacionamentos do cidadão com a entidade, com base nos dados do sistema de gestão, informando quais são os vínculos que ele possui;</w:t>
      </w:r>
    </w:p>
    <w:p w14:paraId="00EEB60D"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O tratamento de dado pessoal poderá exigir o consentimento do usuário, nos casos em que não forem de interesse público. Nessa situação sempre que o tratamento for realizado deve-se verificar se há consentimento realizado e ativo do titular;</w:t>
      </w:r>
    </w:p>
    <w:p w14:paraId="60CABC41"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g) </w:t>
      </w:r>
      <w:r w:rsidRPr="00E6193A">
        <w:rPr>
          <w:rFonts w:ascii="Times New Roman" w:eastAsia="Times New Roman" w:hAnsi="Times New Roman" w:cs="Times New Roman"/>
          <w:color w:val="000000"/>
          <w:lang w:eastAsia="pt-BR"/>
        </w:rPr>
        <w:t>Permitir definir quem é o Controlador local e indicar seus dados de acesso/contato em área exclusiva no portal da transparência;</w:t>
      </w:r>
    </w:p>
    <w:p w14:paraId="5CA4F7E8"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h) </w:t>
      </w:r>
      <w:r w:rsidRPr="00E6193A">
        <w:rPr>
          <w:rFonts w:ascii="Times New Roman" w:eastAsia="Times New Roman" w:hAnsi="Times New Roman" w:cs="Times New Roman"/>
          <w:color w:val="000000"/>
          <w:lang w:eastAsia="pt-BR"/>
        </w:rPr>
        <w:t>Permitir definir quem são o(s) Encarregado(s) de tratamento de dados pessoais indicados pelo controlador e disponibilizar seus dados de acesso/contato em área exclusiva no portal da transparência;</w:t>
      </w:r>
    </w:p>
    <w:p w14:paraId="3FC772F9"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i) </w:t>
      </w:r>
      <w:r w:rsidRPr="00E6193A">
        <w:rPr>
          <w:rFonts w:ascii="Times New Roman" w:eastAsia="Times New Roman" w:hAnsi="Times New Roman" w:cs="Times New Roman"/>
          <w:color w:val="000000"/>
          <w:lang w:eastAsia="pt-BR"/>
        </w:rPr>
        <w:t>No primeiro acesso do usuário a aplicação, seja usuário funcionário (interno) ou cidadão (portal), deve-se solicitar que o mesmo visualize as políticas de uso do sistema incluindo política de tratamento de cookies e realize o aceite deles, devendo este ficar registrado para posterior consulta e auditoria;</w:t>
      </w:r>
    </w:p>
    <w:p w14:paraId="61927F50" w14:textId="77777777" w:rsidR="00B307DB" w:rsidRPr="00E6193A" w:rsidRDefault="00B307DB" w:rsidP="00B307DB">
      <w:pPr>
        <w:tabs>
          <w:tab w:val="left" w:pos="1134"/>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j) </w:t>
      </w:r>
      <w:r w:rsidRPr="00E6193A">
        <w:rPr>
          <w:rFonts w:ascii="Times New Roman" w:eastAsia="Times New Roman" w:hAnsi="Times New Roman" w:cs="Times New Roman"/>
          <w:color w:val="000000"/>
          <w:lang w:eastAsia="pt-BR"/>
        </w:rPr>
        <w:t xml:space="preserve">Deverá dispor de </w:t>
      </w:r>
      <w:r w:rsidRPr="00E6193A">
        <w:rPr>
          <w:rFonts w:ascii="Times New Roman" w:eastAsia="Times New Roman" w:hAnsi="Times New Roman" w:cs="Times New Roman"/>
          <w:i/>
          <w:iCs/>
          <w:color w:val="000000"/>
          <w:lang w:eastAsia="pt-BR"/>
        </w:rPr>
        <w:t>web-service</w:t>
      </w:r>
      <w:r w:rsidRPr="00E6193A">
        <w:rPr>
          <w:rFonts w:ascii="Times New Roman" w:eastAsia="Times New Roman" w:hAnsi="Times New Roman" w:cs="Times New Roman"/>
          <w:color w:val="000000"/>
          <w:lang w:eastAsia="pt-BR"/>
        </w:rPr>
        <w:t xml:space="preserve"> para que outras aplicações autorizadas possam verificar se há consentimento realizado pelo titular em determinado Tratamento de Dados mapeado;</w:t>
      </w:r>
    </w:p>
    <w:p w14:paraId="4C2B1D7E" w14:textId="77777777" w:rsidR="00B307DB" w:rsidRPr="00E6193A" w:rsidRDefault="00B307DB" w:rsidP="00B307DB">
      <w:pPr>
        <w:widowControl w:val="0"/>
        <w:tabs>
          <w:tab w:val="left" w:pos="426"/>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2.5 </w:t>
      </w:r>
      <w:r w:rsidRPr="00E6193A">
        <w:rPr>
          <w:rFonts w:ascii="Times New Roman" w:eastAsia="SimSun" w:hAnsi="Times New Roman" w:cs="Times New Roman"/>
          <w:lang w:eastAsia="hi-IN" w:bidi="hi-IN"/>
        </w:rPr>
        <w:t>No que diz respeito aos serviços inerentes a solução, tem-se o seguinte rol:</w:t>
      </w:r>
    </w:p>
    <w:p w14:paraId="2D174729"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A CONTRATADA deverá prover recursos que garantam a segurança e a alta disponibilidade do sistema, com as seguintes características:</w:t>
      </w:r>
    </w:p>
    <w:p w14:paraId="7111C84F" w14:textId="77777777" w:rsidR="00B307DB" w:rsidRPr="00E6193A" w:rsidRDefault="00B307DB" w:rsidP="00B307DB">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 xml:space="preserve">a) </w:t>
      </w:r>
      <w:r w:rsidRPr="00E6193A">
        <w:rPr>
          <w:rFonts w:ascii="Times New Roman" w:eastAsia="Times New Roman" w:hAnsi="Times New Roman" w:cs="Times New Roman"/>
          <w:lang w:eastAsia="pt-PT"/>
        </w:rPr>
        <w:t>Enlace eBGP (Protocolo de Roteamento Dinâmico) através dos roteadores com no mínimo 2 operadoras distintas a fim de garantir a alta disponibilidade do seu bloco IP.</w:t>
      </w:r>
    </w:p>
    <w:p w14:paraId="523E656D" w14:textId="77777777" w:rsidR="00B307DB" w:rsidRPr="00E6193A" w:rsidRDefault="00B307DB" w:rsidP="00B307DB">
      <w:pPr>
        <w:widowControl w:val="0"/>
        <w:tabs>
          <w:tab w:val="left" w:pos="993"/>
        </w:tabs>
        <w:spacing w:after="0" w:line="240" w:lineRule="auto"/>
        <w:ind w:right="-568"/>
        <w:jc w:val="both"/>
        <w:rPr>
          <w:rFonts w:ascii="Times New Roman" w:eastAsia="Times New Roman" w:hAnsi="Times New Roman" w:cs="Times New Roman"/>
          <w:lang w:val="pt-PT" w:eastAsia="pt-PT"/>
        </w:rPr>
      </w:pPr>
      <w:r w:rsidRPr="00E6193A">
        <w:rPr>
          <w:rFonts w:ascii="Times New Roman" w:eastAsia="Times New Roman" w:hAnsi="Times New Roman" w:cs="Times New Roman"/>
          <w:b/>
          <w:lang w:eastAsia="pt-PT"/>
        </w:rPr>
        <w:t xml:space="preserve">b) </w:t>
      </w:r>
      <w:r w:rsidRPr="00E6193A">
        <w:rPr>
          <w:rFonts w:ascii="Times New Roman" w:eastAsia="Times New Roman" w:hAnsi="Times New Roman" w:cs="Times New Roman"/>
          <w:lang w:eastAsia="pt-PT"/>
        </w:rPr>
        <w:t>Realizar análise do tráfego a fim de inibir ataques do tipo SQL Injection e Negação de Serviço, ou seja, esta análise deverá atuar na camada de aplicação.</w:t>
      </w:r>
    </w:p>
    <w:p w14:paraId="3EC5E1A3" w14:textId="77777777" w:rsidR="00B307DB" w:rsidRPr="00E6193A" w:rsidRDefault="00B307DB" w:rsidP="00B307DB">
      <w:pPr>
        <w:tabs>
          <w:tab w:val="left" w:pos="426"/>
          <w:tab w:val="left" w:pos="992"/>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Deverá possuir serviço de validação indicando que o domínio possui um certificado digital SSL, garantindo que o software é AUTENTICO e que as informações são CRIPTOGRAFADAS. Essa validação deverá ser realizada periodicamente e emitida por empresa terceirizada especializada em segurança, a cargo da CONTRATADA</w:t>
      </w:r>
    </w:p>
    <w:p w14:paraId="486DF84A"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lang w:eastAsia="pt-BR"/>
        </w:rPr>
        <w:t>A CONTRATADA deverá fornecer o Banco de Dados (SGBD) utilizado em seu sistema, bem como as licenças para esta CONTRATANTE, durante a vigência do contrato, caso seja necessário (caso não seja software livre por exemplo).</w:t>
      </w:r>
    </w:p>
    <w:p w14:paraId="3DDB1310"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shd w:val="clear" w:color="auto" w:fill="FFFFFF"/>
          <w:lang w:eastAsia="zh-CN" w:bidi="hi-IN"/>
        </w:rPr>
        <w:t>De acordo com o Tribunal de Contas da União, os órgãos deverão exigir, no momento da contratação de serviços em nuvem de fornecedores privados, que o ambiente do serviço contratado esteja em conformidade com a norma ABNT NBR ISO/IEC 27001:2013, sem prejuízo de outras exigências, objetivando mitigar riscos relativos à segurança da informação, entre outras a seguir elencadas.</w:t>
      </w:r>
    </w:p>
    <w:p w14:paraId="18772109"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shd w:val="clear" w:color="auto" w:fill="FFFFFF"/>
          <w:lang w:eastAsia="zh-CN" w:bidi="hi-IN"/>
        </w:rPr>
        <w:t>Na contratação de serviços em nuvem com empresas privadas os órgãos deverão exigir disponibilidade de no mínimo, 99,741% para os data centers onde os serviços estarão hospedados, aceita a comprovação por meio de certificação TIA 942 TIER II.</w:t>
      </w:r>
    </w:p>
    <w:p w14:paraId="2D3B100A"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shd w:val="clear" w:color="auto" w:fill="FFFFFF"/>
          <w:lang w:eastAsia="pt-BR"/>
        </w:rPr>
        <w:t>Os órgãos deverão assegurar, por meio de cláusulas contratuais, que o serviço a ser contratado permita a portabilidade de dados e aplicativos e que as informações do órgão contratante estejam disponíveis para transferência e restauração em prazo adequado e sem custo adicional, de modo a garantir a continuidade do negócio e possibilitar a transição contratual.</w:t>
      </w:r>
    </w:p>
    <w:p w14:paraId="4DE32B32"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Calibri" w:hAnsi="Times New Roman" w:cs="Times New Roman"/>
          <w:color w:val="000000"/>
          <w:shd w:val="clear" w:color="auto" w:fill="FFFFFF"/>
          <w:lang w:eastAsia="pt-BR"/>
        </w:rPr>
        <w:t>Os órgãos deverão assegurar, quando aplicável e por meio de cláusulas contratuais, que as informações sob custódia do fornecedor serão tratadas como informações sigilosas, não podendo ser usadas por este fornecedor ou fornecidas a terceiros, sob nenhuma hipótese, sem autorização formal do contratante</w:t>
      </w:r>
    </w:p>
    <w:p w14:paraId="1EFCF5A8"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t xml:space="preserve">A contratação de sistema de gestão, com a necessidade de exigências mínimas quanto ao armazenamento das informações, disponibilidade e segurança dos dados, remete a construção de um modelo onde o Software (SaaS - </w:t>
      </w:r>
      <w:r w:rsidRPr="00E6193A">
        <w:rPr>
          <w:rFonts w:ascii="Times New Roman" w:eastAsia="SimSun" w:hAnsi="Times New Roman" w:cs="Times New Roman"/>
          <w:i/>
          <w:iCs/>
          <w:lang w:eastAsia="zh-CN" w:bidi="hi-IN"/>
        </w:rPr>
        <w:t>Software as a Service</w:t>
      </w:r>
      <w:r w:rsidRPr="00E6193A">
        <w:rPr>
          <w:rFonts w:ascii="Times New Roman" w:eastAsia="SimSun" w:hAnsi="Times New Roman" w:cs="Times New Roman"/>
          <w:lang w:eastAsia="zh-CN" w:bidi="hi-IN"/>
        </w:rPr>
        <w:t>) e a infraestrutura são vistos como um serviço inerente para alcance do objeto pretendido, de “provimento de sistema de gestão (ERP) web” para a administração pública, como pretendido na intenção encaminhada a apreciação dessa área de tecnologia de informação.</w:t>
      </w:r>
    </w:p>
    <w:p w14:paraId="6968F55C"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t xml:space="preserve">A CONTRATADA deverá disponibilizar o </w:t>
      </w:r>
      <w:r w:rsidRPr="00E6193A">
        <w:rPr>
          <w:rFonts w:ascii="Times New Roman" w:eastAsia="SimSun" w:hAnsi="Times New Roman" w:cs="Times New Roman"/>
          <w:i/>
          <w:lang w:eastAsia="zh-CN" w:bidi="hi-IN"/>
        </w:rPr>
        <w:t>data center</w:t>
      </w:r>
      <w:r w:rsidRPr="00E6193A">
        <w:rPr>
          <w:rFonts w:ascii="Times New Roman" w:eastAsia="SimSun" w:hAnsi="Times New Roman" w:cs="Times New Roman"/>
          <w:lang w:eastAsia="zh-CN" w:bidi="hi-IN"/>
        </w:rPr>
        <w:t xml:space="preserve"> para alocação do sistema objeto desta licitação;</w:t>
      </w:r>
    </w:p>
    <w:p w14:paraId="7A99C7A0"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lastRenderedPageBreak/>
        <w:t xml:space="preserve">A estrutura de </w:t>
      </w:r>
      <w:r w:rsidRPr="00E6193A">
        <w:rPr>
          <w:rFonts w:ascii="Times New Roman" w:eastAsia="SimSun" w:hAnsi="Times New Roman" w:cs="Times New Roman"/>
          <w:i/>
          <w:lang w:eastAsia="zh-CN" w:bidi="hi-IN"/>
        </w:rPr>
        <w:t>data center</w:t>
      </w:r>
      <w:r w:rsidRPr="00E6193A">
        <w:rPr>
          <w:rFonts w:ascii="Times New Roman" w:eastAsia="SimSun" w:hAnsi="Times New Roman" w:cs="Times New Roman"/>
          <w:lang w:eastAsia="zh-CN" w:bidi="hi-IN"/>
        </w:rPr>
        <w:t xml:space="preserve"> poderá ser própria ou terceirizada, de modo a racionalizar custos e aumentar a segurança.</w:t>
      </w:r>
    </w:p>
    <w:p w14:paraId="788C32F7"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t>A CONTRATADA deverá manter os sistemas básicos (Sistema Operacional, Servidor de Aplicação, Servidor de Banco de Dados, etc.) do data center em constante atualização, especialmente quando falhas de segurança forem reportadas pelos fabricantes (quando licenciados) ou comunidade (quando software livre).</w:t>
      </w:r>
    </w:p>
    <w:p w14:paraId="358C3906"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lang w:eastAsia="zh-CN" w:bidi="hi-IN"/>
        </w:rPr>
        <w:t>A contratada deverá realizar gerenciamento pró-ativo a nível de servidor, inibindo que operações onerosas (como emissão de relatórios grandes, execução de consultas com filtros inadequados, etc.), possam prejudicar a operação do sistema ocasionando lentidão e/ou travamentos, prejudicando assim os trabalhos internos.</w:t>
      </w:r>
    </w:p>
    <w:p w14:paraId="5F74686E" w14:textId="77777777" w:rsidR="00B307DB" w:rsidRPr="00E6193A" w:rsidRDefault="00B307DB" w:rsidP="00B307DB">
      <w:pPr>
        <w:numPr>
          <w:ilvl w:val="0"/>
          <w:numId w:val="108"/>
        </w:numPr>
        <w:tabs>
          <w:tab w:val="left" w:pos="426"/>
        </w:tabs>
        <w:spacing w:after="0" w:line="240" w:lineRule="auto"/>
        <w:ind w:left="0" w:right="-568" w:firstLine="0"/>
        <w:jc w:val="both"/>
        <w:rPr>
          <w:rFonts w:ascii="Times New Roman" w:eastAsia="Calibri" w:hAnsi="Times New Roman" w:cs="Times New Roman"/>
          <w:color w:val="000000"/>
          <w:lang w:eastAsia="pt-BR"/>
        </w:rPr>
      </w:pPr>
      <w:r w:rsidRPr="00E6193A">
        <w:rPr>
          <w:rFonts w:ascii="Times New Roman" w:eastAsia="SimSun" w:hAnsi="Times New Roman" w:cs="Times New Roman"/>
          <w:bCs/>
          <w:lang w:eastAsia="zh-CN" w:bidi="hi-IN"/>
        </w:rPr>
        <w:t>As ações realizadas através do gerenciamento pró-ativo, podem incluir o contato com o(s) usuário(s) do sistema ou o administrador local, para informar sobre essas situações, informando alternativas para execução das atividades e se necessário, interrompendo a execução da ação no servidor.</w:t>
      </w:r>
    </w:p>
    <w:p w14:paraId="0FD72838" w14:textId="77777777" w:rsidR="00B307DB" w:rsidRPr="00E6193A" w:rsidRDefault="00B307DB" w:rsidP="00B307DB">
      <w:pPr>
        <w:widowControl w:val="0"/>
        <w:tabs>
          <w:tab w:val="left" w:pos="867"/>
          <w:tab w:val="left" w:pos="993"/>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a) </w:t>
      </w:r>
      <w:r w:rsidRPr="00E6193A">
        <w:rPr>
          <w:rFonts w:ascii="Times New Roman" w:eastAsia="SimSun" w:hAnsi="Times New Roman" w:cs="Times New Roman"/>
          <w:lang w:eastAsia="zh-CN" w:bidi="hi-IN"/>
        </w:rPr>
        <w:t>Para garantir segurança e disponibilidade o ambiente computacional oferecido deverá, no mínimo conter recursos suficientes ao processamento e ao armazenamento de informações a serem controladas com o sistema de gestão ofertado, dentre eles:</w:t>
      </w:r>
    </w:p>
    <w:p w14:paraId="4C2EA12B" w14:textId="77777777" w:rsidR="00B307DB" w:rsidRPr="00E6193A" w:rsidRDefault="00B307DB" w:rsidP="00B307DB">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val="en-US" w:eastAsia="pt-BR"/>
        </w:rPr>
        <w:t xml:space="preserve">b) </w:t>
      </w:r>
      <w:r w:rsidRPr="00E6193A">
        <w:rPr>
          <w:rFonts w:ascii="Times New Roman" w:eastAsia="Times New Roman" w:hAnsi="Times New Roman" w:cs="Times New Roman"/>
          <w:color w:val="000000"/>
          <w:lang w:val="en-US" w:eastAsia="pt-BR"/>
        </w:rPr>
        <w:t>Links de internet redundantes;</w:t>
      </w:r>
    </w:p>
    <w:p w14:paraId="33E9CAA2" w14:textId="77777777" w:rsidR="00B307DB" w:rsidRPr="00E6193A" w:rsidRDefault="00B307DB" w:rsidP="00B307DB">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c) </w:t>
      </w:r>
      <w:r w:rsidRPr="00E6193A">
        <w:rPr>
          <w:rFonts w:ascii="Times New Roman" w:eastAsia="Times New Roman" w:hAnsi="Times New Roman" w:cs="Times New Roman"/>
          <w:color w:val="000000"/>
          <w:lang w:eastAsia="pt-BR"/>
        </w:rPr>
        <w:t>Fontes de energia redundantes, no mínimo uma de concessionária de energia e outra de grupo(s) de gerador(es);</w:t>
      </w:r>
    </w:p>
    <w:p w14:paraId="2B0F84CA" w14:textId="77777777" w:rsidR="00B307DB" w:rsidRPr="00E6193A" w:rsidRDefault="00B307DB" w:rsidP="00B307DB">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val="en-US" w:eastAsia="pt-BR"/>
        </w:rPr>
        <w:t xml:space="preserve">d) </w:t>
      </w:r>
      <w:r w:rsidRPr="00E6193A">
        <w:rPr>
          <w:rFonts w:ascii="Times New Roman" w:eastAsia="Times New Roman" w:hAnsi="Times New Roman" w:cs="Times New Roman"/>
          <w:color w:val="000000"/>
          <w:lang w:val="en-US" w:eastAsia="pt-BR"/>
        </w:rPr>
        <w:t>Hardwares redundantes;</w:t>
      </w:r>
    </w:p>
    <w:p w14:paraId="0D660E5B" w14:textId="77777777" w:rsidR="00B307DB" w:rsidRPr="00E6193A" w:rsidRDefault="00B307DB" w:rsidP="00B307DB">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val="en-US" w:eastAsia="pt-BR"/>
        </w:rPr>
        <w:t xml:space="preserve">e) </w:t>
      </w:r>
      <w:r w:rsidRPr="00E6193A">
        <w:rPr>
          <w:rFonts w:ascii="Times New Roman" w:eastAsia="Times New Roman" w:hAnsi="Times New Roman" w:cs="Times New Roman"/>
          <w:color w:val="000000"/>
          <w:lang w:val="en-US" w:eastAsia="pt-BR"/>
        </w:rPr>
        <w:t>Tecnologia de virtualização;</w:t>
      </w:r>
    </w:p>
    <w:p w14:paraId="1F416BCA" w14:textId="77777777" w:rsidR="00B307DB" w:rsidRPr="00E6193A" w:rsidRDefault="00B307DB" w:rsidP="00B307DB">
      <w:pPr>
        <w:tabs>
          <w:tab w:val="left" w:pos="-1168"/>
          <w:tab w:val="left" w:pos="993"/>
        </w:tabs>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color w:val="000000"/>
          <w:lang w:eastAsia="pt-BR"/>
        </w:rPr>
        <w:t xml:space="preserve">f) </w:t>
      </w:r>
      <w:r w:rsidRPr="00E6193A">
        <w:rPr>
          <w:rFonts w:ascii="Times New Roman" w:eastAsia="Times New Roman" w:hAnsi="Times New Roman" w:cs="Times New Roman"/>
          <w:color w:val="000000"/>
          <w:lang w:eastAsia="pt-BR"/>
        </w:rPr>
        <w:t>Administração24 X 7 (vinte e quatro horas, sete dias por semana).</w:t>
      </w:r>
    </w:p>
    <w:p w14:paraId="2BD0D6BC" w14:textId="77777777" w:rsidR="00B307DB" w:rsidRPr="00E6193A" w:rsidRDefault="00B307DB" w:rsidP="00B307DB">
      <w:pPr>
        <w:widowControl w:val="0"/>
        <w:numPr>
          <w:ilvl w:val="0"/>
          <w:numId w:val="124"/>
        </w:numPr>
        <w:tabs>
          <w:tab w:val="left" w:pos="426"/>
          <w:tab w:val="left" w:pos="867"/>
          <w:tab w:val="left" w:pos="1167"/>
          <w:tab w:val="left" w:pos="1422"/>
          <w:tab w:val="left" w:pos="1677"/>
          <w:tab w:val="left" w:pos="1992"/>
          <w:tab w:val="left" w:pos="2247"/>
          <w:tab w:val="left" w:leader="underscore" w:pos="7363"/>
        </w:tabs>
        <w:suppressAutoHyphens/>
        <w:spacing w:after="0" w:line="240" w:lineRule="auto"/>
        <w:ind w:left="0" w:right="-568" w:firstLine="0"/>
        <w:jc w:val="both"/>
        <w:rPr>
          <w:rFonts w:ascii="Times New Roman" w:eastAsia="SimSun" w:hAnsi="Times New Roman" w:cs="Times New Roman"/>
          <w:lang w:eastAsia="zh-CN" w:bidi="hi-IN"/>
        </w:rPr>
      </w:pPr>
      <w:r w:rsidRPr="00E6193A">
        <w:rPr>
          <w:rFonts w:ascii="Times New Roman" w:eastAsia="SimSun" w:hAnsi="Times New Roman" w:cs="Times New Roman"/>
          <w:lang w:eastAsia="zh-CN" w:bidi="hi-IN"/>
        </w:rPr>
        <w:t>Por se tratar de um sistema web, instalado e mantido em data center, as atualizações deverão ocorrer mediante as seguintes características:</w:t>
      </w:r>
    </w:p>
    <w:p w14:paraId="05CAC68A" w14:textId="77777777" w:rsidR="00B307DB" w:rsidRPr="00E6193A" w:rsidRDefault="00B307DB" w:rsidP="00B307DB">
      <w:pPr>
        <w:widowControl w:val="0"/>
        <w:tabs>
          <w:tab w:val="left" w:pos="867"/>
          <w:tab w:val="left" w:pos="1167"/>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a) </w:t>
      </w:r>
      <w:r w:rsidRPr="00E6193A">
        <w:rPr>
          <w:rFonts w:ascii="Times New Roman" w:eastAsia="SimSun" w:hAnsi="Times New Roman" w:cs="Times New Roman"/>
          <w:lang w:eastAsia="zh-CN" w:bidi="hi-IN"/>
        </w:rPr>
        <w:t>O procedimento de atualização deverá ser automatizado sem necessidade de interferência do usuário, executado, controlado e auditado pela própria CONTRATANTE, garantindo que o sistema esteja disponível imediatamente após os procedimentos de atualização;</w:t>
      </w:r>
    </w:p>
    <w:p w14:paraId="4F2F403F" w14:textId="77777777" w:rsidR="00B307DB" w:rsidRPr="00E6193A" w:rsidRDefault="00B307DB" w:rsidP="00B307DB">
      <w:pPr>
        <w:widowControl w:val="0"/>
        <w:tabs>
          <w:tab w:val="left" w:pos="867"/>
          <w:tab w:val="left" w:pos="1167"/>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b) </w:t>
      </w:r>
      <w:r w:rsidRPr="00E6193A">
        <w:rPr>
          <w:rFonts w:ascii="Times New Roman" w:eastAsia="SimSun" w:hAnsi="Times New Roman" w:cs="Times New Roman"/>
          <w:lang w:eastAsia="zh-CN" w:bidi="hi-IN"/>
        </w:rPr>
        <w:t>As atualizações, assim que executadas deverão surtir efeito imediato em todas as estações de trabalho da CONTRATANTE. Excetua-se aqui arquivos da camada front-end em cache no navegador, que poderão ser atualizados com regras específicas.</w:t>
      </w:r>
    </w:p>
    <w:p w14:paraId="62C09FDB" w14:textId="77777777" w:rsidR="00B307DB" w:rsidRPr="00E6193A" w:rsidRDefault="00B307DB" w:rsidP="00B307DB">
      <w:pPr>
        <w:widowControl w:val="0"/>
        <w:tabs>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c) </w:t>
      </w:r>
      <w:r w:rsidRPr="00E6193A">
        <w:rPr>
          <w:rFonts w:ascii="Times New Roman" w:eastAsia="SimSun" w:hAnsi="Times New Roman" w:cs="Times New Roman"/>
          <w:lang w:eastAsia="zh-CN" w:bidi="hi-IN"/>
        </w:rPr>
        <w:t>Os serviços de assistência técnica e manutenção devem ser estabelecidos por meio de um Acordo de Nível de Serviços - ANS  (do inglês Service Level Agreement – SLA).</w:t>
      </w:r>
    </w:p>
    <w:p w14:paraId="12C16EC6" w14:textId="77777777" w:rsidR="00B307DB" w:rsidRPr="00E6193A" w:rsidRDefault="00B307DB" w:rsidP="00B307DB">
      <w:pPr>
        <w:widowControl w:val="0"/>
        <w:tabs>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d) </w:t>
      </w:r>
      <w:r w:rsidRPr="00E6193A">
        <w:rPr>
          <w:rFonts w:ascii="Times New Roman" w:eastAsia="SimSun" w:hAnsi="Times New Roman" w:cs="Times New Roman"/>
          <w:lang w:eastAsia="zh-CN" w:bidi="hi-IN"/>
        </w:rPr>
        <w:t>A CONTRATANTE, durante a vigência do contrato e após a vigência deste, não cederá a terceiros, acessará, manipulará ou fará qualquer tipo de uso de informações ou da propriedade intelectual da contratada, inclusive quando aquelas da cópia do banco de dados, sob pena de violação da Lei de Propriedade Intelectual, (Lei Federal nº 9.609/1999) e demais legislações correlatas.</w:t>
      </w:r>
    </w:p>
    <w:p w14:paraId="21C37015" w14:textId="77777777" w:rsidR="00B307DB" w:rsidRPr="00E6193A" w:rsidRDefault="00B307DB" w:rsidP="00B307DB">
      <w:pPr>
        <w:spacing w:after="0" w:line="240" w:lineRule="auto"/>
        <w:ind w:right="-568"/>
        <w:jc w:val="both"/>
        <w:rPr>
          <w:rFonts w:ascii="Times New Roman" w:eastAsia="Times New Roman" w:hAnsi="Times New Roman" w:cs="Times New Roman"/>
          <w:b/>
          <w:lang w:eastAsia="pt-BR"/>
        </w:rPr>
      </w:pPr>
    </w:p>
    <w:p w14:paraId="61AF9A69"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3 Levantamento de mercado, que consiste na análise das alternativas possíveis, e justificativa técnica e econômica da escolha do tipo de solução a contratar.</w:t>
      </w:r>
    </w:p>
    <w:p w14:paraId="28C3A49C"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3.1 </w:t>
      </w:r>
      <w:r w:rsidRPr="00E6193A">
        <w:rPr>
          <w:rFonts w:ascii="Times New Roman" w:eastAsia="SimSun" w:hAnsi="Times New Roman" w:cs="Times New Roman"/>
          <w:color w:val="000000"/>
          <w:lang w:eastAsia="zh-CN" w:bidi="hi-IN"/>
        </w:rPr>
        <w:t>A</w:t>
      </w:r>
      <w:r w:rsidRPr="00E6193A">
        <w:rPr>
          <w:rFonts w:ascii="Times New Roman" w:eastAsia="SimSun" w:hAnsi="Times New Roman" w:cs="Times New Roman"/>
          <w:lang w:eastAsia="zh-CN" w:bidi="hi-IN"/>
        </w:rPr>
        <w:t xml:space="preserve"> Administração pretende a contratação de solução informatizada que seja capaz de alinhar-se a realização de procedimentos internos, gestão de processos e prestação de serviços à comunidade, de maneira eficaz e eficiente, agilizando o deslinde das situações cotidianas, racionalizando métodos e reduzindo a circulação de processos e documentos em meio físico.</w:t>
      </w:r>
    </w:p>
    <w:p w14:paraId="748EAED0"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 </w:t>
      </w:r>
      <w:r w:rsidRPr="00E6193A">
        <w:rPr>
          <w:rFonts w:ascii="Times New Roman" w:eastAsia="SimSun" w:hAnsi="Times New Roman" w:cs="Times New Roman"/>
          <w:lang w:eastAsia="zh-CN" w:bidi="hi-IN"/>
        </w:rPr>
        <w:t>Trata-se, portanto, de solução de Tecnologia da Informação, uma vez que, pretende-se a</w:t>
      </w:r>
      <w:r w:rsidRPr="00E6193A">
        <w:rPr>
          <w:rFonts w:ascii="Times New Roman" w:eastAsia="SimSun" w:hAnsi="Times New Roman" w:cs="Times New Roman"/>
          <w:shd w:val="clear" w:color="auto" w:fill="FFFFFF"/>
          <w:lang w:eastAsia="zh-CN" w:bidi="hi-IN"/>
        </w:rPr>
        <w:t xml:space="preserve"> futura contratação de fornecedor visando </w:t>
      </w:r>
      <w:r w:rsidRPr="00E6193A">
        <w:rPr>
          <w:rFonts w:ascii="Times New Roman" w:eastAsia="SimSun" w:hAnsi="Times New Roman" w:cs="Times New Roman"/>
          <w:bCs/>
          <w:lang w:eastAsia="zh-CN" w:bidi="hi-IN"/>
        </w:rPr>
        <w:t>locação de sistema WEB integrado de gestão pública municipal, incluindo serviços complementares de implantação, manutenção (corretiva, adaptativa e evolutiva), suporte técnico e treinamento de servidores públicos municipais, armazenamento e segurança da informação.</w:t>
      </w:r>
    </w:p>
    <w:p w14:paraId="20D55FF8"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3.3 </w:t>
      </w:r>
      <w:r w:rsidRPr="00E6193A">
        <w:rPr>
          <w:rFonts w:ascii="Times New Roman" w:eastAsia="SimSun" w:hAnsi="Times New Roman" w:cs="Times New Roman"/>
          <w:lang w:eastAsia="zh-CN" w:bidi="hi-IN"/>
        </w:rPr>
        <w:t>O Tribunal de Contas da União</w:t>
      </w:r>
      <w:r w:rsidRPr="00E6193A">
        <w:rPr>
          <w:rFonts w:ascii="Times New Roman" w:eastAsia="SimSun" w:hAnsi="Times New Roman" w:cs="Times New Roman"/>
          <w:shd w:val="clear" w:color="auto" w:fill="FFFFFF"/>
          <w:lang w:eastAsia="zh-CN" w:bidi="hi-IN"/>
        </w:rPr>
        <w:t xml:space="preserve"> </w:t>
      </w:r>
      <w:r w:rsidRPr="00E6193A">
        <w:rPr>
          <w:rFonts w:ascii="Times New Roman" w:eastAsia="SimSun" w:hAnsi="Times New Roman" w:cs="Times New Roman"/>
          <w:lang w:eastAsia="zh-CN" w:bidi="hi-IN"/>
        </w:rPr>
        <w:t>esclarece, que “</w:t>
      </w:r>
      <w:r w:rsidRPr="00E6193A">
        <w:rPr>
          <w:rFonts w:ascii="Times New Roman" w:eastAsia="SimSun" w:hAnsi="Times New Roman" w:cs="Times New Roman"/>
          <w:i/>
          <w:iCs/>
          <w:lang w:eastAsia="zh-CN" w:bidi="hi-IN"/>
        </w:rPr>
        <w:t>uma solução de TI engloba todos os elementos necessários que se integram para o alcance dos resultados pretendidos com a contratação, de modo a atender à necessidade que a desencadeou</w:t>
      </w:r>
      <w:r w:rsidRPr="00E6193A">
        <w:rPr>
          <w:rFonts w:ascii="Times New Roman" w:eastAsia="SimSun" w:hAnsi="Times New Roman" w:cs="Times New Roman"/>
          <w:lang w:eastAsia="zh-CN" w:bidi="hi-IN"/>
        </w:rPr>
        <w:t>.”</w:t>
      </w:r>
    </w:p>
    <w:p w14:paraId="34CF710E"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 xml:space="preserve">3.4 </w:t>
      </w:r>
      <w:r w:rsidRPr="00E6193A">
        <w:rPr>
          <w:rFonts w:ascii="Times New Roman" w:eastAsia="SimSun" w:hAnsi="Times New Roman" w:cs="Times New Roman"/>
          <w:bCs/>
          <w:lang w:eastAsia="zh-CN" w:bidi="hi-IN"/>
        </w:rPr>
        <w:t xml:space="preserve">Primeiramente, antes de adentrar nos detalhes técnicos e soluções, é preciso esclarecer e delimitar o cerne principal da futura contratação. Em verdade a Administração Municipal deseja um sistema de gestão, cujo jargão na área de tecnologia da informação, é um </w:t>
      </w:r>
      <w:r w:rsidRPr="00E6193A">
        <w:rPr>
          <w:rFonts w:ascii="Times New Roman" w:eastAsia="SimSun" w:hAnsi="Times New Roman" w:cs="Times New Roman"/>
          <w:i/>
          <w:iCs/>
          <w:color w:val="111111"/>
          <w:lang w:eastAsia="zh-CN" w:bidi="hi-IN"/>
        </w:rPr>
        <w:t>Enterprise Resource Planning (ERP)</w:t>
      </w:r>
      <w:r w:rsidRPr="00E6193A">
        <w:rPr>
          <w:rFonts w:ascii="Times New Roman" w:eastAsia="SimSun" w:hAnsi="Times New Roman" w:cs="Times New Roman"/>
          <w:color w:val="111111"/>
          <w:lang w:eastAsia="zh-CN" w:bidi="hi-IN"/>
        </w:rPr>
        <w:t xml:space="preserve"> ou em português brasileiro, “</w:t>
      </w:r>
      <w:r w:rsidRPr="00E6193A">
        <w:rPr>
          <w:rFonts w:ascii="Times New Roman" w:eastAsia="SimSun" w:hAnsi="Times New Roman" w:cs="Times New Roman"/>
          <w:color w:val="191919"/>
          <w:lang w:eastAsia="zh-CN" w:bidi="hi-IN"/>
        </w:rPr>
        <w:t>planejamento de recursos empresariais”</w:t>
      </w:r>
      <w:r w:rsidRPr="00E6193A">
        <w:rPr>
          <w:rFonts w:ascii="Times New Roman" w:eastAsia="SimSun" w:hAnsi="Times New Roman" w:cs="Times New Roman"/>
          <w:color w:val="111111"/>
          <w:lang w:eastAsia="zh-CN" w:bidi="hi-IN"/>
        </w:rPr>
        <w:t xml:space="preserve">. </w:t>
      </w:r>
    </w:p>
    <w:p w14:paraId="1530F643"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191919"/>
          <w:lang w:eastAsia="zh-CN" w:bidi="hi-IN"/>
        </w:rPr>
        <w:lastRenderedPageBreak/>
        <w:t xml:space="preserve">3.5 </w:t>
      </w:r>
      <w:r w:rsidRPr="00E6193A">
        <w:rPr>
          <w:rFonts w:ascii="Times New Roman" w:eastAsia="SimSun" w:hAnsi="Times New Roman" w:cs="Times New Roman"/>
          <w:color w:val="191919"/>
          <w:lang w:eastAsia="zh-CN" w:bidi="hi-IN"/>
        </w:rPr>
        <w:t>Para a Microsoft, o ERP (planejamento de recursos empresariais) é um tipo de sistema (ou conjunto de aplicativos) de software que ajuda as organizações a automatizar e gerenciar os principais processos empresariais para obter o desempenho ideal. O software de ERP coordena o fluxo de dados entre os processos empresariais de uma empresa, fornecendo uma única fonte de verdade e simplificando as operações em toda a empresa. Ele é capaz de vincular as atividades de finanças, cadeia de fornecedores, operações, comércio, relatórios, fabricação e recursos humanos de uma empresa em uma única plataforma.</w:t>
      </w:r>
    </w:p>
    <w:p w14:paraId="12642975"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111111"/>
          <w:lang w:eastAsia="pt-BR"/>
        </w:rPr>
        <w:t xml:space="preserve">3.6 </w:t>
      </w:r>
      <w:r w:rsidRPr="00E6193A">
        <w:rPr>
          <w:rFonts w:ascii="Times New Roman" w:eastAsia="Times New Roman" w:hAnsi="Times New Roman" w:cs="Times New Roman"/>
          <w:color w:val="111111"/>
          <w:lang w:eastAsia="pt-BR"/>
        </w:rPr>
        <w:t>Para a Administração Pública, os sistemas ERPs são projetados para ajudar na gestão de recursos, como finanças, compras, estoques, recursos humanos, planejamento, tributação, prestação de serviços, entre outros. O ERP permite que as informações estejam centralizadas em um único lugar, facilitando o acesso e a análise dos dados pelos gestores públicos. Bem como o uso responsável do erário público. O uso de sistemas ERPs para prefeituras pode trazer eficiência para a gestão pública, permitindo a integração de dados e processos, uma tomada de decisão mais rápida e precisa, maior transparência, melhoria na qualidade dos serviços públicos e redução de custos. Além disso, os sistemas ERPs permitem a automatização de processos, o que reduz a incidência de erros e aumenta a produtividade da equipe. Com a automatização, tarefas repetitivas podem ser realizadas com mais rapidez e eficiência. Resta portanto, caracterizado o interesse público envolvido e de extrema relevância a Administração Municipal.</w:t>
      </w:r>
    </w:p>
    <w:p w14:paraId="27971B10" w14:textId="77777777" w:rsidR="00B307DB" w:rsidRPr="00E6193A" w:rsidRDefault="00B307DB" w:rsidP="00B307DB">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3.7 </w:t>
      </w:r>
      <w:r w:rsidRPr="00E6193A">
        <w:rPr>
          <w:rFonts w:ascii="Times New Roman" w:eastAsia="Times New Roman" w:hAnsi="Times New Roman" w:cs="Times New Roman"/>
        </w:rPr>
        <w:t>Como observado, um ERP divide-se de acordo com as áreas de aplicação, como um conjunto de módulos de programas, adotando os princípios da visão sistêmica e da padronização da qualidade (ABNT-NBR-ISO-IEC-27001).</w:t>
      </w:r>
    </w:p>
    <w:p w14:paraId="6AF5F912" w14:textId="77777777" w:rsidR="00B307DB" w:rsidRPr="00E6193A" w:rsidRDefault="00B307DB" w:rsidP="00B307DB">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3.8 </w:t>
      </w:r>
      <w:r w:rsidRPr="00E6193A">
        <w:rPr>
          <w:rFonts w:ascii="Times New Roman" w:eastAsia="Times New Roman" w:hAnsi="Times New Roman" w:cs="Times New Roman"/>
        </w:rPr>
        <w:t xml:space="preserve">Não cabe a essa área técnica de tecnologia da informação, se ater a analisar, por exemplo, quais as normas de contabilidade e do MCASP e quais as funções e rotinas ou relatórios devem englobar o descritivo de um módulo de escrituração e contabilidade pública. Ou das funções de compras, de controle patrimonial, de gestão fiscal, enfim, daquilo que cabe a cada área da Administração e seus gestores e servidores definir como conveniente e aplicável dentro de seu conhecimento técnico especializado, podendo, mas opinar sobre a solução em si de ERP (qual plataforma, qual tecnologia, etc, em termos gerais, de solução única como um todo). </w:t>
      </w:r>
    </w:p>
    <w:p w14:paraId="79611395"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3.9 </w:t>
      </w:r>
      <w:r w:rsidRPr="00E6193A">
        <w:rPr>
          <w:rFonts w:ascii="Times New Roman" w:eastAsia="Times New Roman" w:hAnsi="Times New Roman" w:cs="Times New Roman"/>
          <w:lang w:eastAsia="pt-BR"/>
        </w:rPr>
        <w:t xml:space="preserve">Interessante destacar, que a depender da qualidade do ERP e do nível de automação aplicado, além de realizar tarefas cotidianas automaticamente e de forma instantânea, como cálculos e relatórios, associando a digitalização avançada de processos e repositórios eletrônicos de documentos, elimina-se a circulação da conhecida papelada na organização. Assim como ocorre no judiciário, com sistemas Pje, e-Proc, ProJudi, entre outros há excepcional ganho de produtividade, segurança e gestão do trabalho. </w:t>
      </w:r>
    </w:p>
    <w:p w14:paraId="1C3938A3"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lang w:eastAsia="pt-BR"/>
        </w:rPr>
        <w:t xml:space="preserve">3.10 </w:t>
      </w:r>
      <w:r w:rsidRPr="00E6193A">
        <w:rPr>
          <w:rFonts w:ascii="Times New Roman" w:eastAsia="Times New Roman" w:hAnsi="Times New Roman" w:cs="Times New Roman"/>
          <w:color w:val="000000"/>
          <w:lang w:eastAsia="pt-BR"/>
        </w:rPr>
        <w:t xml:space="preserve">Com relação aos diversos poderes em âmbito administrativo, o Decreto 10.540/2020, que dá cumprimento </w:t>
      </w:r>
      <w:r w:rsidRPr="00E6193A">
        <w:rPr>
          <w:rFonts w:ascii="Times New Roman" w:eastAsia="Times New Roman" w:hAnsi="Times New Roman" w:cs="Times New Roman"/>
          <w:color w:val="000000"/>
          <w:shd w:val="clear" w:color="auto" w:fill="FFFFFF"/>
          <w:lang w:eastAsia="pt-BR"/>
        </w:rPr>
        <w:t>aos artigos 48 e 48-A da Lei de Responsabilidade Fiscal – LRF</w:t>
      </w:r>
      <w:r w:rsidRPr="00E6193A">
        <w:rPr>
          <w:rFonts w:ascii="Times New Roman" w:eastAsia="Times New Roman" w:hAnsi="Times New Roman" w:cs="Times New Roman"/>
          <w:shd w:val="clear" w:color="auto" w:fill="FFFFFF"/>
          <w:lang w:eastAsia="pt-BR"/>
        </w:rPr>
        <w:t xml:space="preserve"> </w:t>
      </w:r>
      <w:r w:rsidRPr="00E6193A">
        <w:rPr>
          <w:rFonts w:ascii="Times New Roman" w:eastAsia="Times New Roman" w:hAnsi="Times New Roman" w:cs="Times New Roman"/>
          <w:color w:val="000000"/>
          <w:shd w:val="clear" w:color="auto" w:fill="FFFFFF"/>
          <w:lang w:eastAsia="pt-BR"/>
        </w:rPr>
        <w:t>(Lei Complementar nº 101/2000) determina o padrão mínimo de qualidade do Sistema Único e Integrado de Execução Orçamentária, Administrativa, Financeira e Controle (SIAFIC), dispondo sobre padrões, informações, mecanismos de acesso, operações e sobretudo integrações aos sistemas de controle do orçamento, execução orçamentária e finanças públicas. O SIAFIC deve ser executado no âmbito de cada Ente da Federação, de modo que sejam integrados, por exemplo, os sistemas estruturantes da Câmara de Vereadores e da Prefeitura, bem como das diversas Secretarias, Fundos e demais autarquias que fazem parte da administração direta ou dependam do Orçamento Público Municipal de forma direta. Sua adoção passou a ser obrigatória, em todos os Municípios Brasileiros, a partir de janeiro de 2023, segundo a legislação competente. Portanto, no arcabouço de deveres deste Município, quando da implementação de um ERP.</w:t>
      </w:r>
    </w:p>
    <w:p w14:paraId="5A3E8248"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3.11 </w:t>
      </w:r>
      <w:r w:rsidRPr="00E6193A">
        <w:rPr>
          <w:rFonts w:ascii="Times New Roman" w:eastAsia="Times New Roman" w:hAnsi="Times New Roman" w:cs="Times New Roman"/>
          <w:color w:val="000000"/>
          <w:shd w:val="clear" w:color="auto" w:fill="FFFFFF"/>
          <w:lang w:eastAsia="pt-BR"/>
        </w:rPr>
        <w:t>Outro ponto a ser destacado no que diz respeito a um sistema de ERP para um Município de modo geral, não só o nosso, são as atividades de gestão de tributos e gestão fiscal. Assim como o setor privado encontra-se em inegável constante evolução, buscando soluções cada vez mais complexas de TI, em paralelo, a Administração Pública também precisa melhorar suas ferramentas de fiscalização, evitando a sonegação fiscal, bem como oferecendo instrumentos ao cidadão de acesso à informação e serviços em grande diversidade, desde aqueles que facilitam o acesso ao serviço público, como serviços digitais e de autoatendimento, emissão de guias de pagamento, cálculos tributários, dívida ativa, emissão de boletos de IPTU, implementação de pagamento via QRCode, PIX, bem como aqueles que amarram a malha fiscal, como escrituração eletrônica, emissão de nota fiscal eletrônica, integração com o Simples Nacional, informações de cartórios quanto ao lançamento de ITBI, entre uma infinidade de outros serviços e integrações.</w:t>
      </w:r>
    </w:p>
    <w:p w14:paraId="2B18DF6C"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lastRenderedPageBreak/>
        <w:t xml:space="preserve">3.12 </w:t>
      </w:r>
      <w:r w:rsidRPr="00E6193A">
        <w:rPr>
          <w:rFonts w:ascii="Times New Roman" w:eastAsia="Times New Roman" w:hAnsi="Times New Roman" w:cs="Times New Roman"/>
          <w:color w:val="000000"/>
          <w:shd w:val="clear" w:color="auto" w:fill="FFFFFF"/>
          <w:lang w:eastAsia="pt-BR"/>
        </w:rPr>
        <w:t>A transparência, inclusive, é um dever da Administração Pública, nos termos da Constituição Federal e da Lei Complementar n° 131/2009 (Lei da Transparência), que obriga a </w:t>
      </w:r>
      <w:hyperlink r:id="rId249" w:tgtFrame="União (Brasil)">
        <w:r w:rsidRPr="00E6193A">
          <w:rPr>
            <w:rFonts w:ascii="Times New Roman" w:eastAsia="Times New Roman" w:hAnsi="Times New Roman" w:cs="Times New Roman"/>
            <w:color w:val="000000"/>
            <w:u w:val="single"/>
            <w:shd w:val="clear" w:color="auto" w:fill="FFFFFF"/>
            <w:lang w:eastAsia="pt-BR"/>
          </w:rPr>
          <w:t>União</w:t>
        </w:r>
      </w:hyperlink>
      <w:r w:rsidRPr="00E6193A">
        <w:rPr>
          <w:rFonts w:ascii="Times New Roman" w:eastAsia="Times New Roman" w:hAnsi="Times New Roman" w:cs="Times New Roman"/>
          <w:color w:val="000000"/>
          <w:shd w:val="clear" w:color="auto" w:fill="FFFFFF"/>
          <w:lang w:eastAsia="pt-BR"/>
        </w:rPr>
        <w:t>, os </w:t>
      </w:r>
      <w:hyperlink r:id="rId250" w:tgtFrame="Estados do Brasil">
        <w:r w:rsidRPr="00E6193A">
          <w:rPr>
            <w:rFonts w:ascii="Times New Roman" w:eastAsia="Times New Roman" w:hAnsi="Times New Roman" w:cs="Times New Roman"/>
            <w:color w:val="000000"/>
            <w:u w:val="single"/>
            <w:shd w:val="clear" w:color="auto" w:fill="FFFFFF"/>
            <w:lang w:eastAsia="pt-BR"/>
          </w:rPr>
          <w:t>Estados</w:t>
        </w:r>
      </w:hyperlink>
      <w:r w:rsidRPr="00E6193A">
        <w:rPr>
          <w:rFonts w:ascii="Times New Roman" w:eastAsia="Times New Roman" w:hAnsi="Times New Roman" w:cs="Times New Roman"/>
          <w:color w:val="000000"/>
          <w:shd w:val="clear" w:color="auto" w:fill="FFFFFF"/>
          <w:lang w:eastAsia="pt-BR"/>
        </w:rPr>
        <w:t> e os </w:t>
      </w:r>
      <w:hyperlink r:id="rId251" w:tgtFrame="Município (Brasil)">
        <w:r w:rsidRPr="00E6193A">
          <w:rPr>
            <w:rFonts w:ascii="Times New Roman" w:eastAsia="Times New Roman" w:hAnsi="Times New Roman" w:cs="Times New Roman"/>
            <w:color w:val="000000"/>
            <w:u w:val="single"/>
            <w:shd w:val="clear" w:color="auto" w:fill="FFFFFF"/>
            <w:lang w:eastAsia="pt-BR"/>
          </w:rPr>
          <w:t>municípios</w:t>
        </w:r>
      </w:hyperlink>
      <w:r w:rsidRPr="00E6193A">
        <w:rPr>
          <w:rFonts w:ascii="Times New Roman" w:eastAsia="Times New Roman" w:hAnsi="Times New Roman" w:cs="Times New Roman"/>
          <w:color w:val="000000"/>
          <w:shd w:val="clear" w:color="auto" w:fill="FFFFFF"/>
          <w:lang w:eastAsia="pt-BR"/>
        </w:rPr>
        <w:t> a divulgar seus gastos na </w:t>
      </w:r>
      <w:hyperlink r:id="rId252" w:tgtFrame="Internet">
        <w:r w:rsidRPr="00E6193A">
          <w:rPr>
            <w:rFonts w:ascii="Times New Roman" w:eastAsia="Times New Roman" w:hAnsi="Times New Roman" w:cs="Times New Roman"/>
            <w:color w:val="000000"/>
            <w:u w:val="single"/>
            <w:shd w:val="clear" w:color="auto" w:fill="FFFFFF"/>
            <w:lang w:eastAsia="pt-BR"/>
          </w:rPr>
          <w:t>Internet</w:t>
        </w:r>
      </w:hyperlink>
      <w:r w:rsidRPr="00E6193A">
        <w:rPr>
          <w:rFonts w:ascii="Times New Roman" w:eastAsia="Times New Roman" w:hAnsi="Times New Roman" w:cs="Times New Roman"/>
          <w:color w:val="000000"/>
          <w:shd w:val="clear" w:color="auto" w:fill="FFFFFF"/>
          <w:lang w:eastAsia="pt-BR"/>
        </w:rPr>
        <w:t> em tempo real; prevê incentivo à participação popular e realização de audiências públicas, durante os processos de elaboração e discussão dos planos, lei de diretrizes orçamentárias e orçamentos; e determina que seja feita a adoção de sistema integrado de administração financeira e controle, que atenda a padrão mínimo de qualidade.</w:t>
      </w:r>
    </w:p>
    <w:p w14:paraId="743FEED9"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3.13 </w:t>
      </w:r>
      <w:r w:rsidRPr="00E6193A">
        <w:rPr>
          <w:rFonts w:ascii="Times New Roman" w:eastAsia="Times New Roman" w:hAnsi="Times New Roman" w:cs="Times New Roman"/>
          <w:color w:val="000000"/>
          <w:shd w:val="clear" w:color="auto" w:fill="FFFFFF"/>
          <w:lang w:eastAsia="pt-BR"/>
        </w:rPr>
        <w:t xml:space="preserve">No entanto, como divulgar dados em “tempo real”, sem um sistema robusto que, não só esteja interligado as diversas estruturas administrativas do Município, da Câmara de Vereadores, e demais entidades, centralizando a informação, como seja capaz de processar e emitir relatórios assim que cada operação é realizada? Seria um esforço hercúleo, pretender fazer levantamentos, processar despesas e receitas, gerar relatórios sistematizados, de forma manual, por meio do trabalho humano de servidores, munidos de papel, caneta e calculadora. Que por fim, deveriam digitalizar a informação e fazer seu </w:t>
      </w:r>
      <w:r w:rsidRPr="00E6193A">
        <w:rPr>
          <w:rFonts w:ascii="Times New Roman" w:eastAsia="Times New Roman" w:hAnsi="Times New Roman" w:cs="Times New Roman"/>
          <w:i/>
          <w:iCs/>
          <w:color w:val="000000"/>
          <w:shd w:val="clear" w:color="auto" w:fill="FFFFFF"/>
          <w:lang w:eastAsia="pt-BR"/>
        </w:rPr>
        <w:t>upload</w:t>
      </w:r>
      <w:r w:rsidRPr="00E6193A">
        <w:rPr>
          <w:rFonts w:ascii="Times New Roman" w:eastAsia="Times New Roman" w:hAnsi="Times New Roman" w:cs="Times New Roman"/>
          <w:color w:val="000000"/>
          <w:shd w:val="clear" w:color="auto" w:fill="FFFFFF"/>
          <w:lang w:eastAsia="pt-BR"/>
        </w:rPr>
        <w:t xml:space="preserve"> no sitio oficial da transparência do Município. E por tempo real, se entenda, no momento em que as operações estão sendo realizadas, em qualquer unidade administrativa, e em qualquer lugar.</w:t>
      </w:r>
    </w:p>
    <w:p w14:paraId="53BAF903"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3.14 </w:t>
      </w:r>
      <w:r w:rsidRPr="00E6193A">
        <w:rPr>
          <w:rFonts w:ascii="Times New Roman" w:eastAsia="Times New Roman" w:hAnsi="Times New Roman" w:cs="Times New Roman"/>
          <w:color w:val="000000"/>
          <w:shd w:val="clear" w:color="auto" w:fill="FFFFFF"/>
          <w:lang w:eastAsia="pt-BR"/>
        </w:rPr>
        <w:t xml:space="preserve">Não há razão lógica, muito menos econômica, que a Administração Municipal se enclausure em ostracismo de métodos arcaicos, quando existe tecnologia de ponta à disposição das mais variadas tarefas e necessidades públicas, inclusive com os avanços notórios da Inteligência Artificial (IA). Não como substituta do ser humano, mas como aliada valiosa, fomentando o desempenho, a eficiência e a segurança na gestão pública. Com soluções que utilizam a inteligência artificial, pode-se ter acesso a </w:t>
      </w:r>
      <w:r w:rsidRPr="00E6193A">
        <w:rPr>
          <w:rFonts w:ascii="Times New Roman" w:eastAsia="Times New Roman" w:hAnsi="Times New Roman" w:cs="Times New Roman"/>
          <w:i/>
          <w:iCs/>
          <w:color w:val="191919"/>
          <w:lang w:eastAsia="pt-BR"/>
        </w:rPr>
        <w:t xml:space="preserve">insights </w:t>
      </w:r>
      <w:r w:rsidRPr="00E6193A">
        <w:rPr>
          <w:rFonts w:ascii="Times New Roman" w:eastAsia="Times New Roman" w:hAnsi="Times New Roman" w:cs="Times New Roman"/>
          <w:color w:val="191919"/>
          <w:lang w:eastAsia="pt-BR"/>
        </w:rPr>
        <w:t>que melhoram a tomada de decisões e revelam formas de aperfeiçoar o desempenho operacional para o futuro. Ou seja, com respeito as novas gerações, com a adoção de visão de médio e longo prazos, abolindo a aplicação de receitas e ações momentâneas, transitórias, passageiras e de pouca eficiência.</w:t>
      </w:r>
    </w:p>
    <w:p w14:paraId="46EFBD6F"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191919"/>
          <w:lang w:eastAsia="pt-BR"/>
        </w:rPr>
        <w:t xml:space="preserve">3.15 </w:t>
      </w:r>
      <w:r w:rsidRPr="00E6193A">
        <w:rPr>
          <w:rFonts w:ascii="Times New Roman" w:eastAsia="Times New Roman" w:hAnsi="Times New Roman" w:cs="Times New Roman"/>
          <w:color w:val="191919"/>
          <w:lang w:eastAsia="pt-BR"/>
        </w:rPr>
        <w:t>Observa-se, que, ao integrar diversas unidades administrativas, o ERP pretendido pode se enquadrar na categoria de sistemas estruturantes, que são “</w:t>
      </w:r>
      <w:r w:rsidRPr="00E6193A">
        <w:rPr>
          <w:rFonts w:ascii="Times New Roman" w:eastAsia="Times New Roman" w:hAnsi="Times New Roman" w:cs="Times New Roman"/>
          <w:i/>
          <w:iCs/>
          <w:lang w:eastAsia="pt-BR"/>
        </w:rPr>
        <w:t>sistemas com suporte de tecnologia da informação fundamental e imprescindível para planejamento, coordenação, execução, descentralização, delegação de competência, controle ou auditoria das ações do Estado, além de outras atividades auxiliares, desde que comum a dois ou mais órgãos da Administração e que necessitem de coordenação central</w:t>
      </w:r>
      <w:r w:rsidRPr="00E6193A">
        <w:rPr>
          <w:rFonts w:ascii="Times New Roman" w:eastAsia="Times New Roman" w:hAnsi="Times New Roman" w:cs="Times New Roman"/>
          <w:lang w:eastAsia="pt-BR"/>
        </w:rPr>
        <w:t>”. (19/IN01/DSIC/GSIPR).</w:t>
      </w:r>
    </w:p>
    <w:p w14:paraId="764320E4"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3.16 </w:t>
      </w:r>
      <w:r w:rsidRPr="00E6193A">
        <w:rPr>
          <w:rFonts w:ascii="Times New Roman" w:eastAsia="Times New Roman" w:hAnsi="Times New Roman" w:cs="Times New Roman"/>
          <w:lang w:eastAsia="pt-BR"/>
        </w:rPr>
        <w:t xml:space="preserve">Incontestável, que é uma necessidade do Município, </w:t>
      </w:r>
      <w:r w:rsidRPr="00E6193A">
        <w:rPr>
          <w:rFonts w:ascii="Times New Roman" w:eastAsia="Times New Roman" w:hAnsi="Times New Roman" w:cs="Times New Roman"/>
          <w:color w:val="000000"/>
          <w:shd w:val="clear" w:color="auto" w:fill="FFFFFF"/>
          <w:lang w:eastAsia="pt-BR"/>
        </w:rPr>
        <w:t>a implementação de um ERP, sob pena de prejuízo a boa administração</w:t>
      </w:r>
      <w:r w:rsidRPr="00E6193A">
        <w:rPr>
          <w:rFonts w:ascii="Times New Roman" w:eastAsia="Times New Roman" w:hAnsi="Times New Roman" w:cs="Times New Roman"/>
          <w:lang w:eastAsia="pt-BR"/>
        </w:rPr>
        <w:t xml:space="preserve"> e uma eficiente gestão, tanto no que toca ao planejamento, orçamento e execução orçamentária e financeira, escrituração contábil, a gestão de recursos humanos, a gestão fiscal, fiscalização fazendária e gestão de tributos de competência municipal, dos deveres com a transparência pública e do acesso ao cidadão aos serviços públicos, bem como da implementação racional e de maneira eficaz dos serviços e políticas públicas e o respeito às Leis e atos normativos dos órgãos de fiscalização e controle (Ministério Público, Tribunal de Contas, Secretaria do Tesouro Nacional, etc.).</w:t>
      </w:r>
    </w:p>
    <w:p w14:paraId="0851B54E"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3.17 Software Público Brasileiro</w:t>
      </w:r>
    </w:p>
    <w:p w14:paraId="41A52928"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3.17.1 </w:t>
      </w:r>
      <w:r w:rsidRPr="00E6193A">
        <w:rPr>
          <w:rFonts w:ascii="Times New Roman" w:eastAsia="SimSun" w:hAnsi="Times New Roman" w:cs="Times New Roman"/>
          <w:lang w:eastAsia="zh-CN" w:bidi="hi-IN"/>
        </w:rPr>
        <w:t>Diante das condições técnicas e principalmente econômicas, não se poderia deixar de observar quanto a possível existência de ERP como software público, sob o paradigma de licenças de código aberto ou sob condições não onerosas ao Município (Software Livre, Open Source, General Public Licence – GNU, End User Licence Agrement – EULA, Software Gratuito), desde que soluções voltadas ao mercado brasileiro e em língua nacional (PT-BR).</w:t>
      </w:r>
    </w:p>
    <w:p w14:paraId="7828C9BB"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3.17.2 </w:t>
      </w:r>
      <w:r w:rsidRPr="00E6193A">
        <w:rPr>
          <w:rFonts w:ascii="Times New Roman" w:eastAsia="SimSun" w:hAnsi="Times New Roman" w:cs="Times New Roman"/>
          <w:lang w:eastAsia="zh-CN" w:bidi="hi-IN"/>
        </w:rPr>
        <w:t xml:space="preserve">É possível identificar vasta possibilidade de Softwares produzidos no Brasil, com gama de fornecedores diversos, para muitas aplicações, que já possuem contratos com a administração pública. No tocante a um ERP, o software público disponível é o </w:t>
      </w:r>
      <w:r w:rsidRPr="00E6193A">
        <w:rPr>
          <w:rFonts w:ascii="Times New Roman" w:eastAsia="SimSun" w:hAnsi="Times New Roman" w:cs="Times New Roman"/>
          <w:u w:val="single"/>
          <w:lang w:eastAsia="zh-CN" w:bidi="hi-IN"/>
        </w:rPr>
        <w:t>e-Cidade,</w:t>
      </w:r>
      <w:r w:rsidRPr="00E6193A">
        <w:rPr>
          <w:rFonts w:ascii="Times New Roman" w:eastAsia="SimSun" w:hAnsi="Times New Roman" w:cs="Times New Roman"/>
          <w:lang w:eastAsia="zh-CN" w:bidi="hi-IN"/>
        </w:rPr>
        <w:t xml:space="preserve"> </w:t>
      </w:r>
      <w:r w:rsidRPr="00E6193A">
        <w:rPr>
          <w:rFonts w:ascii="Times New Roman" w:eastAsia="SimSun" w:hAnsi="Times New Roman" w:cs="Times New Roman"/>
          <w:color w:val="000000"/>
          <w:lang w:eastAsia="zh-CN" w:bidi="hi-IN"/>
        </w:rPr>
        <w:t xml:space="preserve">que </w:t>
      </w:r>
      <w:r w:rsidRPr="00E6193A">
        <w:rPr>
          <w:rFonts w:ascii="Times New Roman" w:eastAsia="SimSun" w:hAnsi="Times New Roman" w:cs="Times New Roman"/>
          <w:color w:val="000000"/>
          <w:shd w:val="clear" w:color="auto" w:fill="FFFFFF"/>
          <w:lang w:eastAsia="zh-CN" w:bidi="hi-IN"/>
        </w:rPr>
        <w:t>se destina a informatizar a gestão dos municípios brasileiros de forma integrada</w:t>
      </w:r>
      <w:r w:rsidRPr="00E6193A">
        <w:rPr>
          <w:rFonts w:ascii="Times New Roman" w:eastAsia="SimSun" w:hAnsi="Times New Roman" w:cs="Times New Roman"/>
          <w:color w:val="000000"/>
          <w:lang w:eastAsia="zh-CN" w:bidi="hi-IN"/>
        </w:rPr>
        <w:t xml:space="preserve">. </w:t>
      </w:r>
      <w:r w:rsidRPr="00E6193A">
        <w:rPr>
          <w:rFonts w:ascii="Times New Roman" w:eastAsia="SimSun" w:hAnsi="Times New Roman" w:cs="Times New Roman"/>
          <w:color w:val="000000"/>
          <w:shd w:val="clear" w:color="auto" w:fill="FFFFFF"/>
          <w:lang w:eastAsia="zh-CN" w:bidi="hi-IN"/>
        </w:rPr>
        <w:t>Esta informatização contempla a integração entre os entes municipais: Prefeitura Municipal, Câmara Municipal, Autarquias, Fundações e outros, constante no catálogo de software público do Ministério do Planejamento e Orçamento do Governo Federal.</w:t>
      </w:r>
    </w:p>
    <w:p w14:paraId="4FD001D8"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3.17.3 </w:t>
      </w:r>
      <w:r w:rsidRPr="00E6193A">
        <w:rPr>
          <w:rFonts w:ascii="Times New Roman" w:eastAsia="SimSun" w:hAnsi="Times New Roman" w:cs="Times New Roman"/>
          <w:lang w:eastAsia="zh-CN" w:bidi="hi-IN"/>
        </w:rPr>
        <w:t>No entanto, o mesmo está descontinuado, sem atualizações (último pacote de atualizações foi em 2018), portanto não atendendo as novas legislações, como a Nova Lei de Licitações e Contratos publicada em 2021, além de necessitar de instalações e de uma ampla equipe técnica de TI para adequar o sistema para a realidade do Município, não abrange os serviços/funcionalidades esperadas por esta Administração, nem possui os requisitos de segurança e funcionalidade exposto no estudo acima. Dessa maneira, não se mostra econômica, nem tecnicamente viável a sua utilização.</w:t>
      </w:r>
    </w:p>
    <w:p w14:paraId="79E39F7F"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3.17.4 </w:t>
      </w:r>
      <w:r w:rsidRPr="00E6193A">
        <w:rPr>
          <w:rFonts w:ascii="Times New Roman" w:eastAsia="SimSun" w:hAnsi="Times New Roman" w:cs="Times New Roman"/>
          <w:lang w:eastAsia="zh-CN" w:bidi="hi-IN"/>
        </w:rPr>
        <w:t xml:space="preserve">A adoção desse tipo de solução além de depender de equipe de TI especializada da qual o município não dispõe, ou de todo modo a contratação de terceirizada a alto custo para serviços de “fábrica de software”, para atualizá-lo e adaptá-lo as necessidades do Município, seria perdida a </w:t>
      </w:r>
      <w:r w:rsidRPr="00E6193A">
        <w:rPr>
          <w:rFonts w:ascii="Times New Roman" w:eastAsia="SimSun" w:hAnsi="Times New Roman" w:cs="Times New Roman"/>
          <w:lang w:eastAsia="zh-CN" w:bidi="hi-IN"/>
        </w:rPr>
        <w:lastRenderedPageBreak/>
        <w:t>oportunidade de absorção de conhecimento e melhorias decorrentes de sistemas comerciais de larga escala de uso.</w:t>
      </w:r>
    </w:p>
    <w:p w14:paraId="2C6AB7C9"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3.18 Alternativas no Mercado Comercial de Software</w:t>
      </w:r>
    </w:p>
    <w:p w14:paraId="15195C2F"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3.18.1 </w:t>
      </w:r>
      <w:r w:rsidRPr="00E6193A">
        <w:rPr>
          <w:rFonts w:ascii="Times New Roman" w:eastAsia="SimSun" w:hAnsi="Times New Roman" w:cs="Times New Roman"/>
          <w:lang w:eastAsia="zh-CN" w:bidi="hi-IN"/>
        </w:rPr>
        <w:t>Como é recomendação do Guia de Boas Prática do TCU, vislumbramos que é possível identificar no mercado três principais tipos de Software ERP de Gestão Pública Municipal, são eles na forma de: Software em ambiente web com armazenamento em nuvem; Software em Desktop instalado em cada computador usuário; Software com solução mista (parte da solução em Desktop instalado em cada computador usuário e parte com acesso em ambiente Web)</w:t>
      </w:r>
    </w:p>
    <w:p w14:paraId="08F23977"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3.18.2 </w:t>
      </w:r>
      <w:r w:rsidRPr="00E6193A">
        <w:rPr>
          <w:rFonts w:ascii="Times New Roman" w:eastAsia="SimSun" w:hAnsi="Times New Roman" w:cs="Times New Roman"/>
          <w:lang w:eastAsia="zh-CN" w:bidi="hi-IN"/>
        </w:rPr>
        <w:t>As soluções são avaliadas, conforme fundamentos apresentados na análise técnica, adiante estabelecida, dentro da oportunidade e conveniência do gestor (mérito administrativo).</w:t>
      </w:r>
    </w:p>
    <w:p w14:paraId="4F933B28"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3.19 Software em Desktop instalado em cada computador usuário</w:t>
      </w:r>
    </w:p>
    <w:p w14:paraId="5E515ED2"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3.19.1 </w:t>
      </w:r>
      <w:r w:rsidRPr="00E6193A">
        <w:rPr>
          <w:rFonts w:ascii="Times New Roman" w:eastAsia="Times New Roman" w:hAnsi="Times New Roman" w:cs="Times New Roman"/>
          <w:color w:val="000000"/>
          <w:shd w:val="clear" w:color="auto" w:fill="FFFFFF"/>
          <w:lang w:eastAsia="pt-BR"/>
        </w:rPr>
        <w:t>Uma das soluções ainda muito utilizadas por muitos municípios, são os softwares no modelo desktop. Porém, a pandemia de COVID-19, também conhecida como pandemia de coronavírus, foi uma </w:t>
      </w:r>
      <w:hyperlink r:id="rId253" w:tgtFrame="Pandemia">
        <w:r w:rsidRPr="00E6193A">
          <w:rPr>
            <w:rFonts w:ascii="Times New Roman" w:eastAsia="Times New Roman" w:hAnsi="Times New Roman" w:cs="Times New Roman"/>
            <w:color w:val="000000"/>
            <w:u w:val="single"/>
            <w:shd w:val="clear" w:color="auto" w:fill="FFFFFF"/>
            <w:lang w:eastAsia="pt-BR"/>
          </w:rPr>
          <w:t>pandemia</w:t>
        </w:r>
      </w:hyperlink>
      <w:r w:rsidRPr="00E6193A">
        <w:rPr>
          <w:rFonts w:ascii="Times New Roman" w:eastAsia="Times New Roman" w:hAnsi="Times New Roman" w:cs="Times New Roman"/>
          <w:color w:val="000000"/>
          <w:shd w:val="clear" w:color="auto" w:fill="FFFFFF"/>
          <w:lang w:eastAsia="pt-BR"/>
        </w:rPr>
        <w:t> da </w:t>
      </w:r>
      <w:hyperlink r:id="rId254" w:tgtFrame="COVID-19">
        <w:r w:rsidRPr="00E6193A">
          <w:rPr>
            <w:rFonts w:ascii="Times New Roman" w:eastAsia="Times New Roman" w:hAnsi="Times New Roman" w:cs="Times New Roman"/>
            <w:color w:val="000000"/>
            <w:u w:val="single"/>
            <w:shd w:val="clear" w:color="auto" w:fill="FFFFFF"/>
            <w:lang w:eastAsia="pt-BR"/>
          </w:rPr>
          <w:t>doença por coronavírus 2019</w:t>
        </w:r>
      </w:hyperlink>
      <w:r w:rsidRPr="00E6193A">
        <w:rPr>
          <w:rFonts w:ascii="Times New Roman" w:eastAsia="Times New Roman" w:hAnsi="Times New Roman" w:cs="Times New Roman"/>
          <w:color w:val="000000"/>
          <w:shd w:val="clear" w:color="auto" w:fill="FFFFFF"/>
          <w:lang w:eastAsia="pt-BR"/>
        </w:rPr>
        <w:t> (COVID-19), causada pelo </w:t>
      </w:r>
      <w:hyperlink r:id="rId255" w:tgtFrame="SARS-CoV-2">
        <w:r w:rsidRPr="00E6193A">
          <w:rPr>
            <w:rFonts w:ascii="Times New Roman" w:eastAsia="Times New Roman" w:hAnsi="Times New Roman" w:cs="Times New Roman"/>
            <w:color w:val="000000"/>
            <w:u w:val="single"/>
            <w:shd w:val="clear" w:color="auto" w:fill="FFFFFF"/>
            <w:lang w:eastAsia="pt-BR"/>
          </w:rPr>
          <w:t>coronavírus da síndrome respiratória aguda grave 2</w:t>
        </w:r>
      </w:hyperlink>
      <w:r w:rsidRPr="00E6193A">
        <w:rPr>
          <w:rFonts w:ascii="Times New Roman" w:eastAsia="Times New Roman" w:hAnsi="Times New Roman" w:cs="Times New Roman"/>
          <w:color w:val="000000"/>
          <w:shd w:val="clear" w:color="auto" w:fill="FFFFFF"/>
          <w:lang w:eastAsia="pt-BR"/>
        </w:rPr>
        <w:t> (SARS-CoV-2). O vírus foi identificado pela primeira vez a partir de um </w:t>
      </w:r>
      <w:hyperlink r:id="rId256" w:tgtFrame="Surto">
        <w:r w:rsidRPr="00E6193A">
          <w:rPr>
            <w:rFonts w:ascii="Times New Roman" w:eastAsia="Times New Roman" w:hAnsi="Times New Roman" w:cs="Times New Roman"/>
            <w:color w:val="000000"/>
            <w:u w:val="single"/>
            <w:shd w:val="clear" w:color="auto" w:fill="FFFFFF"/>
            <w:lang w:eastAsia="pt-BR"/>
          </w:rPr>
          <w:t>surto</w:t>
        </w:r>
      </w:hyperlink>
      <w:r w:rsidRPr="00E6193A">
        <w:rPr>
          <w:rFonts w:ascii="Times New Roman" w:eastAsia="Times New Roman" w:hAnsi="Times New Roman" w:cs="Times New Roman"/>
          <w:color w:val="000000"/>
          <w:shd w:val="clear" w:color="auto" w:fill="FFFFFF"/>
          <w:lang w:eastAsia="pt-BR"/>
        </w:rPr>
        <w:t> em </w:t>
      </w:r>
      <w:hyperlink r:id="rId257" w:tgtFrame="Wuhan">
        <w:r w:rsidRPr="00E6193A">
          <w:rPr>
            <w:rFonts w:ascii="Times New Roman" w:eastAsia="Times New Roman" w:hAnsi="Times New Roman" w:cs="Times New Roman"/>
            <w:color w:val="000000"/>
            <w:u w:val="single"/>
            <w:shd w:val="clear" w:color="auto" w:fill="FFFFFF"/>
            <w:lang w:eastAsia="pt-BR"/>
          </w:rPr>
          <w:t>Wuhan</w:t>
        </w:r>
      </w:hyperlink>
      <w:r w:rsidRPr="00E6193A">
        <w:rPr>
          <w:rFonts w:ascii="Times New Roman" w:eastAsia="Times New Roman" w:hAnsi="Times New Roman" w:cs="Times New Roman"/>
          <w:color w:val="000000"/>
          <w:shd w:val="clear" w:color="auto" w:fill="FFFFFF"/>
          <w:lang w:eastAsia="pt-BR"/>
        </w:rPr>
        <w:t>, </w:t>
      </w:r>
      <w:hyperlink r:id="rId258" w:tgtFrame="China">
        <w:r w:rsidRPr="00E6193A">
          <w:rPr>
            <w:rFonts w:ascii="Times New Roman" w:eastAsia="Times New Roman" w:hAnsi="Times New Roman" w:cs="Times New Roman"/>
            <w:color w:val="000000"/>
            <w:u w:val="single"/>
            <w:shd w:val="clear" w:color="auto" w:fill="FFFFFF"/>
            <w:lang w:eastAsia="pt-BR"/>
          </w:rPr>
          <w:t>China</w:t>
        </w:r>
      </w:hyperlink>
      <w:r w:rsidRPr="00E6193A">
        <w:rPr>
          <w:rFonts w:ascii="Times New Roman" w:eastAsia="Times New Roman" w:hAnsi="Times New Roman" w:cs="Times New Roman"/>
          <w:color w:val="000000"/>
          <w:shd w:val="clear" w:color="auto" w:fill="FFFFFF"/>
          <w:lang w:eastAsia="pt-BR"/>
        </w:rPr>
        <w:t>, em dezembro de 2019. As tentativas de contê-lo falharam, permitindo que o vírus se espalhasse para outras áreas da China e, posteriormente, para todo o mundo. Em 30 de janeiro de 2020, a </w:t>
      </w:r>
      <w:hyperlink r:id="rId259" w:tgtFrame="Organização Mundial da Saúde">
        <w:r w:rsidRPr="00E6193A">
          <w:rPr>
            <w:rFonts w:ascii="Times New Roman" w:eastAsia="Times New Roman" w:hAnsi="Times New Roman" w:cs="Times New Roman"/>
            <w:color w:val="000000"/>
            <w:u w:val="single"/>
            <w:shd w:val="clear" w:color="auto" w:fill="FFFFFF"/>
            <w:lang w:eastAsia="pt-BR"/>
          </w:rPr>
          <w:t>Organização Mundial da Saúde</w:t>
        </w:r>
      </w:hyperlink>
      <w:r w:rsidRPr="00E6193A">
        <w:rPr>
          <w:rFonts w:ascii="Times New Roman" w:eastAsia="Times New Roman" w:hAnsi="Times New Roman" w:cs="Times New Roman"/>
          <w:color w:val="000000"/>
          <w:shd w:val="clear" w:color="auto" w:fill="FFFFFF"/>
          <w:lang w:eastAsia="pt-BR"/>
        </w:rPr>
        <w:t> (OMS) classificou o surto como </w:t>
      </w:r>
      <w:hyperlink r:id="rId260" w:tgtFrame="Emergência de Saúde Pública de Âmbito Internacional">
        <w:r w:rsidRPr="00E6193A">
          <w:rPr>
            <w:rFonts w:ascii="Times New Roman" w:eastAsia="Times New Roman" w:hAnsi="Times New Roman" w:cs="Times New Roman"/>
            <w:color w:val="000000"/>
            <w:u w:val="single"/>
            <w:shd w:val="clear" w:color="auto" w:fill="FFFFFF"/>
            <w:lang w:eastAsia="pt-BR"/>
          </w:rPr>
          <w:t>Emergência de Saúde Pública de Âmbito Internacional</w:t>
        </w:r>
      </w:hyperlink>
      <w:r w:rsidRPr="00E6193A">
        <w:rPr>
          <w:rFonts w:ascii="Times New Roman" w:eastAsia="Times New Roman" w:hAnsi="Times New Roman" w:cs="Times New Roman"/>
          <w:color w:val="000000"/>
          <w:shd w:val="clear" w:color="auto" w:fill="FFFFFF"/>
          <w:lang w:eastAsia="pt-BR"/>
        </w:rPr>
        <w:t> (PHEIC) e, em 11 de março de 2020, como </w:t>
      </w:r>
      <w:r w:rsidRPr="00E6193A">
        <w:rPr>
          <w:rFonts w:ascii="Times New Roman" w:eastAsia="Times New Roman" w:hAnsi="Times New Roman" w:cs="Times New Roman"/>
          <w:color w:val="000000"/>
          <w:u w:val="single"/>
          <w:shd w:val="clear" w:color="auto" w:fill="FFFFFF"/>
          <w:lang w:eastAsia="pt-BR"/>
        </w:rPr>
        <w:t>pandemia</w:t>
      </w:r>
      <w:r w:rsidRPr="00E6193A">
        <w:rPr>
          <w:rFonts w:ascii="Times New Roman" w:eastAsia="Times New Roman" w:hAnsi="Times New Roman" w:cs="Times New Roman"/>
          <w:color w:val="000000"/>
          <w:shd w:val="clear" w:color="auto" w:fill="FFFFFF"/>
          <w:lang w:eastAsia="pt-BR"/>
        </w:rPr>
        <w:t>.</w:t>
      </w:r>
    </w:p>
    <w:p w14:paraId="72AF90B4"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3.19.2 </w:t>
      </w:r>
      <w:r w:rsidRPr="00E6193A">
        <w:rPr>
          <w:rFonts w:ascii="Times New Roman" w:eastAsia="Times New Roman" w:hAnsi="Times New Roman" w:cs="Times New Roman"/>
          <w:color w:val="000000"/>
          <w:shd w:val="clear" w:color="auto" w:fill="FFFFFF"/>
          <w:lang w:eastAsia="pt-BR"/>
        </w:rPr>
        <w:t xml:space="preserve">Lições valiosas foram aprendidas com a pandemia de COVID-19, não só no âmbito do Sistema Único de Saúde (SUS), das relações sociais, mas sobretudo como a Administração Pública deve lidar com situações críticas e restrições a circulação de pessoas. As organizações públicas que estavam com suas operações baseadas em tecnologias que precisavam ser instalados nos terminais-cliente e acessadas por ambientes de rede internas, sem ou quase nulo uso da internet, tiveram grave prejuízo em suas atividades. Servidores e empregados públicos não podiam se dirigir aos locais de trabalho em função das restrições de circulação, bem como cidadão não podia se deslocar até a Prefeitura, resultando em um verdadeiro “apagão” das estruturas de ofício e serviços, até mesmo com reflexos na arrecadação. </w:t>
      </w:r>
    </w:p>
    <w:p w14:paraId="544F313E"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3.19.3 </w:t>
      </w:r>
      <w:r w:rsidRPr="00E6193A">
        <w:rPr>
          <w:rFonts w:ascii="Times New Roman" w:eastAsia="Times New Roman" w:hAnsi="Times New Roman" w:cs="Times New Roman"/>
          <w:color w:val="000000"/>
          <w:shd w:val="clear" w:color="auto" w:fill="FFFFFF"/>
          <w:lang w:eastAsia="pt-BR"/>
        </w:rPr>
        <w:t>Isso se deve, porque aplicações chamadas “desktop”, precisam ser diretamente instaladas na máquina cliente. Portanto, todo o serviço passa a ser baseado naquele equipamento e a manutenção precisa ser realizada diretamente nele. Para fazer uso do software, o usuário precisa levar aquele equipamento específico, com suas credenciais, para onde quiser trabalhar. A coisa complica, em se pensando que tais sistemas dependem de um CPD interno e de uma infraestrutura, também interna, de rede para poder acessar dados e informações ou processamento. Portanto, de nada adiantaria levar o equipamento público para o local de teletrabalho, se a rede cabeada e o acesso ao CPD não fossem juntos. O que, de fato, a bem da verdade, na maioria dos casos revelava-se impraticável, e altamente dispendioso, ainda mais considerando distâncias quilométricas entre a casa do usuário e o CPD, este último geralmente localizado no prédio da Prefeitura. Nesse cenário, torna-se impossível, a realização de uma simples operação de lançamento de um fato contábil, de emissão de um empenho. Enfim, paralisando a Prefeitura.</w:t>
      </w:r>
    </w:p>
    <w:p w14:paraId="7D20E811"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3.19.4 </w:t>
      </w:r>
      <w:r w:rsidRPr="00E6193A">
        <w:rPr>
          <w:rFonts w:ascii="Times New Roman" w:eastAsia="Times New Roman" w:hAnsi="Times New Roman" w:cs="Times New Roman"/>
          <w:color w:val="000000"/>
          <w:shd w:val="clear" w:color="auto" w:fill="FFFFFF"/>
          <w:lang w:eastAsia="pt-BR"/>
        </w:rPr>
        <w:t xml:space="preserve">Além disso, uma aplicação desktop convive com o </w:t>
      </w:r>
      <w:r w:rsidRPr="00E6193A">
        <w:rPr>
          <w:rFonts w:ascii="Times New Roman" w:eastAsia="Times New Roman" w:hAnsi="Times New Roman" w:cs="Times New Roman"/>
          <w:lang w:eastAsia="pt-BR"/>
        </w:rPr>
        <w:t>risco de problemas de compatibilidade entre Softwares e outros elementos da máquina como hardware, sistema operacional, exigência de múltiplos requisitos de compatibilidade com o computador, (como por exemplo: capacidade de processamento, memória, espaço de disco, sistema operacional compatível, dispositivos de entrada e saída, dentre outros), maior risco de sofrer travamentos devido à baixa capacidade de processamento, mau uso da memória, hardware problemático ou vírus.</w:t>
      </w:r>
    </w:p>
    <w:p w14:paraId="7273DE7E"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3.19.5 </w:t>
      </w:r>
      <w:r w:rsidRPr="00E6193A">
        <w:rPr>
          <w:rFonts w:ascii="Times New Roman" w:eastAsia="Times New Roman" w:hAnsi="Times New Roman" w:cs="Times New Roman"/>
          <w:color w:val="000000"/>
          <w:shd w:val="clear" w:color="auto" w:fill="FFFFFF"/>
          <w:lang w:eastAsia="pt-BR"/>
        </w:rPr>
        <w:t xml:space="preserve">O uso de aplicações desktop continuará a esbarrar em dificuldades de aplicações locais. Uma delas, a necessidade indispensável do técnico de suporte e manutenção se deslocar até o local onde se encontra a estação-cliente, aumentando os custos com deslocamento e restringindo o caráter competitivo. Como uma empresa sediada em outra região do país vai se deslocar até a Prefeitura, sem repassar esse custo ao contrato? Usando aplicativos como TeamViewer®, somente se aumentará a vulnerabilidade de todo o conjunto, abrindo portas de acesso a aplicações maliciosas ou que possam ser exploradas por hackers. Isso tudo, com certeza, é um “calcanhar de aquiles”, quando se fala em ampliação de disputa e a possibilidade de concorrência de qualquer parte do Brasil, obtendo-se melhores e mais vantajosas propostas. </w:t>
      </w:r>
    </w:p>
    <w:p w14:paraId="622B6D99"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3.19.6 </w:t>
      </w:r>
      <w:r w:rsidRPr="00E6193A">
        <w:rPr>
          <w:rFonts w:ascii="Times New Roman" w:eastAsia="Times New Roman" w:hAnsi="Times New Roman" w:cs="Times New Roman"/>
          <w:color w:val="000000"/>
          <w:shd w:val="clear" w:color="auto" w:fill="FFFFFF"/>
          <w:lang w:eastAsia="pt-BR"/>
        </w:rPr>
        <w:t xml:space="preserve">Invariavelmente, os custos de um sistema local, e a necessidade de infraestrutura também loca, devem ser consideradas como grande desvantagem técnica e econômica. Ou seja, armadilhas que o </w:t>
      </w:r>
      <w:r w:rsidRPr="00E6193A">
        <w:rPr>
          <w:rFonts w:ascii="Times New Roman" w:eastAsia="Times New Roman" w:hAnsi="Times New Roman" w:cs="Times New Roman"/>
          <w:color w:val="000000"/>
          <w:shd w:val="clear" w:color="auto" w:fill="FFFFFF"/>
          <w:lang w:eastAsia="pt-BR"/>
        </w:rPr>
        <w:lastRenderedPageBreak/>
        <w:t>gestor público deve evitar, exaltando sempre os princípios constitucionais, da moralidade pública, e da Nova Lei de Licitações e Contratos. O dever de cautela, é um importante apoio ao gestor.</w:t>
      </w:r>
    </w:p>
    <w:p w14:paraId="37188117"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3.20 Software com solução mista (parte da solução em Desktop instalado em cada computador usuário e parte com acesso em ambiente Web)</w:t>
      </w:r>
    </w:p>
    <w:p w14:paraId="421D2885"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3.20.1 </w:t>
      </w:r>
      <w:r w:rsidRPr="00E6193A">
        <w:rPr>
          <w:rFonts w:ascii="Times New Roman" w:eastAsia="SimSun" w:hAnsi="Times New Roman" w:cs="Times New Roman"/>
          <w:color w:val="000000"/>
          <w:shd w:val="clear" w:color="auto" w:fill="FFFFFF"/>
          <w:lang w:eastAsia="hi-IN" w:bidi="hi-IN"/>
        </w:rPr>
        <w:t>Mais uma vez citando a </w:t>
      </w:r>
      <w:r w:rsidRPr="00E6193A">
        <w:rPr>
          <w:rFonts w:ascii="Times New Roman" w:eastAsia="SimSun" w:hAnsi="Times New Roman" w:cs="Times New Roman"/>
          <w:b/>
          <w:bCs/>
          <w:color w:val="000000"/>
          <w:shd w:val="clear" w:color="auto" w:fill="FFFFFF"/>
          <w:lang w:eastAsia="hi-IN" w:bidi="hi-IN"/>
        </w:rPr>
        <w:t>pandemia de COVID-19</w:t>
      </w:r>
      <w:r w:rsidRPr="00E6193A">
        <w:rPr>
          <w:rFonts w:ascii="Times New Roman" w:eastAsia="SimSun" w:hAnsi="Times New Roman" w:cs="Times New Roman"/>
          <w:color w:val="000000"/>
          <w:shd w:val="clear" w:color="auto" w:fill="FFFFFF"/>
          <w:lang w:eastAsia="hi-IN" w:bidi="hi-IN"/>
        </w:rPr>
        <w:t>, também conhecida como </w:t>
      </w:r>
      <w:r w:rsidRPr="00E6193A">
        <w:rPr>
          <w:rFonts w:ascii="Times New Roman" w:eastAsia="SimSun" w:hAnsi="Times New Roman" w:cs="Times New Roman"/>
          <w:b/>
          <w:bCs/>
          <w:color w:val="000000"/>
          <w:shd w:val="clear" w:color="auto" w:fill="FFFFFF"/>
          <w:lang w:eastAsia="hi-IN" w:bidi="hi-IN"/>
        </w:rPr>
        <w:t>pandemia de coronavírus</w:t>
      </w:r>
      <w:r w:rsidRPr="00E6193A">
        <w:rPr>
          <w:rFonts w:ascii="Times New Roman" w:eastAsia="SimSun" w:hAnsi="Times New Roman" w:cs="Times New Roman"/>
          <w:color w:val="000000"/>
          <w:shd w:val="clear" w:color="auto" w:fill="FFFFFF"/>
          <w:lang w:eastAsia="hi-IN" w:bidi="hi-IN"/>
        </w:rPr>
        <w:t>, foi um grande desafio não só no âmbito da saúde, mas como da atividade administrativa em geral, devido principalmente a restrição de circulação de pessoas, na tentativa de frear a doença.</w:t>
      </w:r>
    </w:p>
    <w:p w14:paraId="73A855FF"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3.20.2 </w:t>
      </w:r>
      <w:r w:rsidRPr="00E6193A">
        <w:rPr>
          <w:rFonts w:ascii="Times New Roman" w:eastAsia="Times New Roman" w:hAnsi="Times New Roman" w:cs="Times New Roman"/>
          <w:color w:val="000000"/>
          <w:shd w:val="clear" w:color="auto" w:fill="FFFFFF"/>
          <w:lang w:eastAsia="pt-BR"/>
        </w:rPr>
        <w:t xml:space="preserve">Organizações que utilizavam sistemas baseados em desktop, buscaram algumas tentativas de soluções hibridas, mas com pouco sucesso. Um sistema hibrido une por exemplo um servidor </w:t>
      </w:r>
      <w:r w:rsidRPr="00E6193A">
        <w:rPr>
          <w:rFonts w:ascii="Times New Roman" w:eastAsia="Times New Roman" w:hAnsi="Times New Roman" w:cs="Times New Roman"/>
          <w:i/>
          <w:iCs/>
          <w:color w:val="000000"/>
          <w:shd w:val="clear" w:color="auto" w:fill="FFFFFF"/>
          <w:lang w:eastAsia="pt-BR"/>
        </w:rPr>
        <w:t>on-promisse</w:t>
      </w:r>
      <w:r w:rsidRPr="00E6193A">
        <w:rPr>
          <w:rFonts w:ascii="Times New Roman" w:eastAsia="Times New Roman" w:hAnsi="Times New Roman" w:cs="Times New Roman"/>
          <w:color w:val="000000"/>
          <w:shd w:val="clear" w:color="auto" w:fill="FFFFFF"/>
          <w:lang w:eastAsia="pt-BR"/>
        </w:rPr>
        <w:t>, ou seja, aquele já utilizado pelo CPD da Prefeitura, e mediante emulação acessa recursos por meio da internet. Ainda que se trate de uma solução paliativa, diversos problemas são enfrentados nesse tipo de aplicação, que vão desde a necessidade de maiores recursos de processamento, a manutenção continua sendo local e individual em cada terminal-cliente (ou seja tem que ir até a casa de cada funcionário para realizar manutenções), exigência da instalação de pacotes de emuladores (que nem sempre são compatíveis e exigindo constantes atualizações, representando um verdadeiro terror ao usuário), exigindo maior recurso de processamento local, descartando-se equipamentos mais antigos e menos preparados (pouca memória RAM, baixo processamento, número reduzido de núcleos do processados, baixa frequência do processador, baixa capacidade da GPU, pouco espaço de armazenamento), esbarrando em necessidade de links de internet robustos (banda larga), devido o tráfego de dados não ser otimizado para esse tipo de utilização, bem como as constantes perdas de pacotes extremamente grandes. Sem falar no aumento dos riscos de ataques cibernéticos, pelas portas externas abertas virtualmente no CPD. Ou seja, se trata de solução cara, limitada, pouco confiável, e exige por vezes uma estrutura da qual o município não dispõe em todas as localidades e até a aquisição de novos equipamentos de custo elevado.</w:t>
      </w:r>
    </w:p>
    <w:p w14:paraId="1BF8161E"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 </w:t>
      </w:r>
      <w:r w:rsidRPr="00E6193A">
        <w:rPr>
          <w:rFonts w:ascii="Times New Roman" w:eastAsia="Times New Roman" w:hAnsi="Times New Roman" w:cs="Times New Roman"/>
          <w:shd w:val="clear" w:color="auto" w:fill="FFFFFF"/>
        </w:rPr>
        <w:t>Dentro do contexto de usabilidade e segurança da informação, e em cumprimento desse objetivo, é importante notar a necessidade de especificação de o sistema ser projetado para funcionamento nativo em ambiente web, contando com as devidas especificações, arquitetura, protocolos de segurança e engenharia de processamento e redes adequados a este ambiente. Tal distinção é importante em face da existência de soluções emuladas web no mercado, como vimos, isto é, sistemas legados desenvolvidos para funcionar em ambiente desktop, e publicados em ambiente web através do uso de soluções intermediárias, os emuladores, o que representa a abertura de porta a softwares maliciosos, vírus, malwares, trojans e outras ameaças, além de potencial maior consumo de banda larga. Tem-se do contexto de emulador:</w:t>
      </w:r>
    </w:p>
    <w:p w14:paraId="177547C1" w14:textId="77777777" w:rsidR="00B307DB" w:rsidRPr="00E6193A" w:rsidRDefault="00B307DB" w:rsidP="00B307DB">
      <w:pPr>
        <w:tabs>
          <w:tab w:val="left" w:pos="3119"/>
        </w:tabs>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Emulação, em um contexto de software, é o uso de um programa ou dispositivo para imitar o comportamento de outro programa ou dispositivo.</w:t>
      </w:r>
    </w:p>
    <w:p w14:paraId="094E7C33" w14:textId="77777777" w:rsidR="00B307DB" w:rsidRPr="00E6193A" w:rsidRDefault="00B307DB" w:rsidP="00B307DB">
      <w:pPr>
        <w:tabs>
          <w:tab w:val="left" w:pos="3119"/>
        </w:tabs>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Usos comuns de emulação incluem:</w:t>
      </w:r>
    </w:p>
    <w:p w14:paraId="22FF7623" w14:textId="77777777" w:rsidR="00B307DB" w:rsidRPr="00E6193A" w:rsidRDefault="00B307DB" w:rsidP="00B307DB">
      <w:pPr>
        <w:widowControl w:val="0"/>
        <w:numPr>
          <w:ilvl w:val="0"/>
          <w:numId w:val="111"/>
        </w:numPr>
        <w:tabs>
          <w:tab w:val="left" w:pos="3119"/>
        </w:tabs>
        <w:spacing w:after="0" w:line="240" w:lineRule="auto"/>
        <w:ind w:left="2835" w:right="-568" w:firstLine="0"/>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Executar um sistema operacional em uma plataforma de hardware para a qual não foi originalmente projetado.</w:t>
      </w:r>
    </w:p>
    <w:p w14:paraId="3D63ECBD" w14:textId="77777777" w:rsidR="00B307DB" w:rsidRPr="00E6193A" w:rsidRDefault="00B307DB" w:rsidP="00B307DB">
      <w:pPr>
        <w:widowControl w:val="0"/>
        <w:numPr>
          <w:ilvl w:val="0"/>
          <w:numId w:val="111"/>
        </w:numPr>
        <w:tabs>
          <w:tab w:val="left" w:pos="3119"/>
        </w:tabs>
        <w:spacing w:after="0" w:line="240" w:lineRule="auto"/>
        <w:ind w:left="2835" w:right="-568" w:firstLine="0"/>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Executar jogos baseados em arcade ou console em computadores desktop.</w:t>
      </w:r>
    </w:p>
    <w:p w14:paraId="3D7DE833" w14:textId="77777777" w:rsidR="00B307DB" w:rsidRPr="00E6193A" w:rsidRDefault="00B307DB" w:rsidP="00B307DB">
      <w:pPr>
        <w:widowControl w:val="0"/>
        <w:numPr>
          <w:ilvl w:val="0"/>
          <w:numId w:val="111"/>
        </w:numPr>
        <w:tabs>
          <w:tab w:val="left" w:pos="3119"/>
        </w:tabs>
        <w:spacing w:after="0" w:line="240" w:lineRule="auto"/>
        <w:ind w:left="2835" w:right="-568" w:firstLine="0"/>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Executar aplicativos legados em dispositivos diferentes daqueles para os quais foram desenvolvidos.</w:t>
      </w:r>
    </w:p>
    <w:p w14:paraId="2241C8B1" w14:textId="77777777" w:rsidR="00B307DB" w:rsidRPr="00E6193A" w:rsidRDefault="00B307DB" w:rsidP="00B307DB">
      <w:pPr>
        <w:widowControl w:val="0"/>
        <w:numPr>
          <w:ilvl w:val="0"/>
          <w:numId w:val="111"/>
        </w:numPr>
        <w:tabs>
          <w:tab w:val="left" w:pos="3119"/>
        </w:tabs>
        <w:spacing w:after="0" w:line="240" w:lineRule="auto"/>
        <w:ind w:left="2835" w:right="-568" w:firstLine="0"/>
        <w:jc w:val="both"/>
        <w:rPr>
          <w:rFonts w:ascii="Times New Roman" w:eastAsia="Times New Roman" w:hAnsi="Times New Roman" w:cs="Times New Roman"/>
        </w:rPr>
      </w:pPr>
      <w:r w:rsidRPr="00E6193A">
        <w:rPr>
          <w:rFonts w:ascii="Times New Roman" w:eastAsia="Times New Roman" w:hAnsi="Times New Roman" w:cs="Times New Roman"/>
          <w:i/>
          <w:iCs/>
          <w:shd w:val="clear" w:color="auto" w:fill="FFFFFF"/>
        </w:rPr>
        <w:t>Executar programas aplicativos em sistemas operacionais diferentes daqueles para os quais foram originalmente escritos</w:t>
      </w:r>
      <w:r w:rsidRPr="00E6193A">
        <w:rPr>
          <w:rFonts w:ascii="Times New Roman" w:eastAsia="Times New Roman" w:hAnsi="Times New Roman" w:cs="Times New Roman"/>
          <w:i/>
          <w:iCs/>
          <w:shd w:val="clear" w:color="auto" w:fill="FFFFFF"/>
          <w:vertAlign w:val="superscript"/>
        </w:rPr>
        <w:t>1</w:t>
      </w:r>
      <w:r w:rsidRPr="00E6193A">
        <w:rPr>
          <w:rFonts w:ascii="Times New Roman" w:eastAsia="Times New Roman" w:hAnsi="Times New Roman" w:cs="Times New Roman"/>
          <w:i/>
          <w:iCs/>
          <w:shd w:val="clear" w:color="auto" w:fill="FFFFFF"/>
        </w:rPr>
        <w:t>. (tradução livre)</w:t>
      </w:r>
    </w:p>
    <w:p w14:paraId="50BCF1CF" w14:textId="77777777" w:rsidR="00B307DB" w:rsidRPr="00E6193A" w:rsidRDefault="00B307DB" w:rsidP="00B307DB">
      <w:pPr>
        <w:widowControl w:val="0"/>
        <w:tabs>
          <w:tab w:val="left" w:pos="3119"/>
        </w:tabs>
        <w:spacing w:after="0" w:line="240" w:lineRule="auto"/>
        <w:ind w:left="2835" w:right="-568"/>
        <w:jc w:val="both"/>
        <w:rPr>
          <w:rFonts w:ascii="Times New Roman" w:eastAsia="Times New Roman" w:hAnsi="Times New Roman" w:cs="Times New Roman"/>
        </w:rPr>
      </w:pPr>
    </w:p>
    <w:p w14:paraId="7B958549"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3.20.3 </w:t>
      </w:r>
      <w:r w:rsidRPr="00E6193A">
        <w:rPr>
          <w:rFonts w:ascii="Times New Roman" w:eastAsia="Times New Roman" w:hAnsi="Times New Roman" w:cs="Times New Roman"/>
          <w:iCs/>
        </w:rPr>
        <w:t>O Instituto Nacional de Padrões e Tecnologia (</w:t>
      </w:r>
      <w:r w:rsidRPr="00E6193A">
        <w:rPr>
          <w:rFonts w:ascii="Times New Roman" w:eastAsia="Times New Roman" w:hAnsi="Times New Roman" w:cs="Times New Roman"/>
          <w:i/>
        </w:rPr>
        <w:t>National Institute of Stantards and Technology – NIST</w:t>
      </w:r>
      <w:r w:rsidRPr="00E6193A">
        <w:rPr>
          <w:rFonts w:ascii="Times New Roman" w:eastAsia="Times New Roman" w:hAnsi="Times New Roman" w:cs="Times New Roman"/>
          <w:iCs/>
        </w:rPr>
        <w:t xml:space="preserve">) define que embora a migração em si de recursos computacionais de ambientes desktop para ambientes emulados ou virtualizados não tenha efeito direto nas vulnerabilidades da aplicação, ela pode criar e permitir vetores de ataque adicionais. Especificamente, as aplicações desktop legadas podem ter suas vulnerabilidades exploradas caso sejam utilizadas no ambiente web, tal como ocorre com emuladores. </w:t>
      </w:r>
    </w:p>
    <w:p w14:paraId="322741B9"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iCs/>
          <w:shd w:val="clear" w:color="auto" w:fill="FFFFFF"/>
          <w:lang w:eastAsia="pt-BR"/>
        </w:rPr>
        <w:t xml:space="preserve">3.20.4 </w:t>
      </w:r>
      <w:r w:rsidRPr="00E6193A">
        <w:rPr>
          <w:rFonts w:ascii="Times New Roman" w:eastAsia="Times New Roman" w:hAnsi="Times New Roman" w:cs="Times New Roman"/>
          <w:iCs/>
          <w:shd w:val="clear" w:color="auto" w:fill="FFFFFF"/>
          <w:lang w:eastAsia="pt-BR"/>
        </w:rPr>
        <w:t xml:space="preserve">Em âmbito internacional de segurança da informação, a emulação de soluções desktop em ambiente web expõe as aplicações desktop a vulnerabilidades e riscos para a qual as mesmas não foram </w:t>
      </w:r>
      <w:r w:rsidRPr="00E6193A">
        <w:rPr>
          <w:rFonts w:ascii="Times New Roman" w:eastAsia="Times New Roman" w:hAnsi="Times New Roman" w:cs="Times New Roman"/>
          <w:iCs/>
          <w:shd w:val="clear" w:color="auto" w:fill="FFFFFF"/>
          <w:lang w:eastAsia="pt-BR"/>
        </w:rPr>
        <w:lastRenderedPageBreak/>
        <w:t xml:space="preserve">adequadamente projetadas ou preparadas, visto que as diferenças entre os ambientes tornam as considerações inerentemente diferentes. </w:t>
      </w:r>
    </w:p>
    <w:p w14:paraId="271127F5"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iCs/>
          <w:shd w:val="clear" w:color="auto" w:fill="FFFFFF"/>
          <w:lang w:eastAsia="pt-BR"/>
        </w:rPr>
      </w:pPr>
      <w:r w:rsidRPr="00E6193A">
        <w:rPr>
          <w:rFonts w:ascii="Times New Roman" w:eastAsia="Times New Roman" w:hAnsi="Times New Roman" w:cs="Times New Roman"/>
          <w:b/>
          <w:iCs/>
          <w:shd w:val="clear" w:color="auto" w:fill="FFFFFF"/>
          <w:lang w:eastAsia="pt-BR"/>
        </w:rPr>
        <w:t xml:space="preserve">3.20.5 </w:t>
      </w:r>
      <w:r w:rsidRPr="00E6193A">
        <w:rPr>
          <w:rFonts w:ascii="Times New Roman" w:eastAsia="Times New Roman" w:hAnsi="Times New Roman" w:cs="Times New Roman"/>
          <w:iCs/>
          <w:shd w:val="clear" w:color="auto" w:fill="FFFFFF"/>
          <w:lang w:eastAsia="pt-BR"/>
        </w:rPr>
        <w:t xml:space="preserve">O Projeto Aberto de Segurança de Aplicações Web </w:t>
      </w:r>
      <w:r w:rsidRPr="00E6193A">
        <w:rPr>
          <w:rFonts w:ascii="Times New Roman" w:eastAsia="Times New Roman" w:hAnsi="Times New Roman" w:cs="Times New Roman"/>
          <w:i/>
          <w:shd w:val="clear" w:color="auto" w:fill="FFFFFF"/>
          <w:lang w:eastAsia="pt-BR"/>
        </w:rPr>
        <w:t>(Open Web Application Security Project - OWASP)</w:t>
      </w:r>
      <w:r w:rsidRPr="00E6193A">
        <w:rPr>
          <w:rFonts w:ascii="Times New Roman" w:eastAsia="Times New Roman" w:hAnsi="Times New Roman" w:cs="Times New Roman"/>
          <w:iCs/>
          <w:shd w:val="clear" w:color="auto" w:fill="FFFFFF"/>
          <w:lang w:eastAsia="pt-BR"/>
        </w:rPr>
        <w:t xml:space="preserve"> publica anualmente um documento padrão (</w:t>
      </w:r>
      <w:r w:rsidRPr="00E6193A">
        <w:rPr>
          <w:rFonts w:ascii="Times New Roman" w:eastAsia="Times New Roman" w:hAnsi="Times New Roman" w:cs="Times New Roman"/>
          <w:i/>
          <w:shd w:val="clear" w:color="auto" w:fill="FFFFFF"/>
          <w:lang w:eastAsia="pt-BR"/>
        </w:rPr>
        <w:t>standards</w:t>
      </w:r>
      <w:r w:rsidRPr="00E6193A">
        <w:rPr>
          <w:rFonts w:ascii="Times New Roman" w:eastAsia="Times New Roman" w:hAnsi="Times New Roman" w:cs="Times New Roman"/>
          <w:iCs/>
          <w:shd w:val="clear" w:color="auto" w:fill="FFFFFF"/>
          <w:lang w:eastAsia="pt-BR"/>
        </w:rPr>
        <w:t>) para segurança de aplicações, destacando os dez maiores riscos de cada ambiente e maneiras como os quais podem ser explorados por agentes maliciosos (</w:t>
      </w:r>
      <w:r w:rsidRPr="00E6193A">
        <w:rPr>
          <w:rFonts w:ascii="Times New Roman" w:eastAsia="Times New Roman" w:hAnsi="Times New Roman" w:cs="Times New Roman"/>
          <w:i/>
          <w:shd w:val="clear" w:color="auto" w:fill="FFFFFF"/>
          <w:lang w:eastAsia="pt-BR"/>
        </w:rPr>
        <w:t>hackers</w:t>
      </w:r>
      <w:r w:rsidRPr="00E6193A">
        <w:rPr>
          <w:rFonts w:ascii="Times New Roman" w:eastAsia="Times New Roman" w:hAnsi="Times New Roman" w:cs="Times New Roman"/>
          <w:iCs/>
          <w:shd w:val="clear" w:color="auto" w:fill="FFFFFF"/>
          <w:lang w:eastAsia="pt-BR"/>
        </w:rPr>
        <w:t>). Vejamos OWASP Top 10 Desktop (tradução livre):</w:t>
      </w:r>
    </w:p>
    <w:p w14:paraId="58369BFF"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p>
    <w:p w14:paraId="420B761B"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DA01</w:t>
      </w:r>
      <w:r w:rsidRPr="00E6193A">
        <w:rPr>
          <w:rFonts w:ascii="Times New Roman" w:eastAsia="Times New Roman" w:hAnsi="Times New Roman" w:cs="Times New Roman"/>
          <w:iCs/>
          <w:shd w:val="clear" w:color="auto" w:fill="FFFFFF"/>
        </w:rPr>
        <w:t xml:space="preserve"> – Injeções (SQLi, LDAP, XML, Comando do SO, etc);</w:t>
      </w:r>
    </w:p>
    <w:p w14:paraId="4CBEB5EF"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DA02</w:t>
      </w:r>
      <w:r w:rsidRPr="00E6193A">
        <w:rPr>
          <w:rFonts w:ascii="Times New Roman" w:eastAsia="Times New Roman" w:hAnsi="Times New Roman" w:cs="Times New Roman"/>
          <w:iCs/>
          <w:shd w:val="clear" w:color="auto" w:fill="FFFFFF"/>
        </w:rPr>
        <w:t xml:space="preserve"> - Autenticação quebrada e gerenciamento de sessão (Autenticação no sistema operacional e aplicações desktop gerenciamento de sessão, Autenticação para Importação/Exportação com Drive Externo, Autenticação para unidades compartilhadas de rede ou outros dispositivos periféricos);</w:t>
      </w:r>
    </w:p>
    <w:p w14:paraId="4B5680A5"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DA03</w:t>
      </w:r>
      <w:r w:rsidRPr="00E6193A">
        <w:rPr>
          <w:rFonts w:ascii="Times New Roman" w:eastAsia="Times New Roman" w:hAnsi="Times New Roman" w:cs="Times New Roman"/>
          <w:iCs/>
          <w:shd w:val="clear" w:color="auto" w:fill="FFFFFF"/>
        </w:rPr>
        <w:t xml:space="preserve"> – Exposição de dados sensíveis (exposição de dados confidenciais armazenados localmente após o logout do aplicativo, logs com informações confidenciais, segredos codificados em arquivos, etc);</w:t>
      </w:r>
    </w:p>
    <w:p w14:paraId="50920638"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DA04</w:t>
      </w:r>
      <w:r w:rsidRPr="00E6193A">
        <w:rPr>
          <w:rFonts w:ascii="Times New Roman" w:eastAsia="Times New Roman" w:hAnsi="Times New Roman" w:cs="Times New Roman"/>
          <w:iCs/>
          <w:shd w:val="clear" w:color="auto" w:fill="FFFFFF"/>
        </w:rPr>
        <w:t xml:space="preserve"> - Uso impróprio de criptografia (uso de chaves fracas ou de algoritmos criptográficos desatualizados, uso inapropriado de funções criptográficas, reutilização de parâmetros criptográficos em todas as instalações, uso indevido de criptografia para verificação de integridade);</w:t>
      </w:r>
    </w:p>
    <w:p w14:paraId="0D0568BD"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DA05</w:t>
      </w:r>
      <w:r w:rsidRPr="00E6193A">
        <w:rPr>
          <w:rFonts w:ascii="Times New Roman" w:eastAsia="Times New Roman" w:hAnsi="Times New Roman" w:cs="Times New Roman"/>
          <w:iCs/>
          <w:shd w:val="clear" w:color="auto" w:fill="FFFFFF"/>
        </w:rPr>
        <w:t xml:space="preserve"> - Autorização imprópria (permissão fraca de arquivo/pasta por função de usuário, princípio ausente da abordagem de privilégio mínimo, funções de usuário impróprias);</w:t>
      </w:r>
    </w:p>
    <w:p w14:paraId="238FDEB2"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 xml:space="preserve">DA06 </w:t>
      </w:r>
      <w:r w:rsidRPr="00E6193A">
        <w:rPr>
          <w:rFonts w:ascii="Times New Roman" w:eastAsia="Times New Roman" w:hAnsi="Times New Roman" w:cs="Times New Roman"/>
          <w:iCs/>
          <w:shd w:val="clear" w:color="auto" w:fill="FFFFFF"/>
        </w:rPr>
        <w:t>- Configuração incorreta de segurança (</w:t>
      </w:r>
      <w:r w:rsidRPr="00E6193A">
        <w:rPr>
          <w:rFonts w:ascii="Times New Roman" w:eastAsia="Times New Roman" w:hAnsi="Times New Roman" w:cs="Times New Roman"/>
          <w:i/>
          <w:shd w:val="clear" w:color="auto" w:fill="FFFFFF"/>
        </w:rPr>
        <w:t>hardening</w:t>
      </w:r>
      <w:r w:rsidRPr="00E6193A">
        <w:rPr>
          <w:rFonts w:ascii="Times New Roman" w:eastAsia="Times New Roman" w:hAnsi="Times New Roman" w:cs="Times New Roman"/>
          <w:iCs/>
          <w:shd w:val="clear" w:color="auto" w:fill="FFFFFF"/>
        </w:rPr>
        <w:t xml:space="preserve"> fraco do sistema operacional, políticas de grupo/registro/regras de firewall mal configuradas, verificação de tipo de arquivo ausente para aplicativos de processamento de arquivos, pipes mal configurados, serviços de terceiros mal configurados, etc);</w:t>
      </w:r>
    </w:p>
    <w:p w14:paraId="615F29CE"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DA07</w:t>
      </w:r>
      <w:r w:rsidRPr="00E6193A">
        <w:rPr>
          <w:rFonts w:ascii="Times New Roman" w:eastAsia="Times New Roman" w:hAnsi="Times New Roman" w:cs="Times New Roman"/>
          <w:iCs/>
          <w:shd w:val="clear" w:color="auto" w:fill="FFFFFF"/>
        </w:rPr>
        <w:t xml:space="preserve"> - Comunicação insegura (uso de protocolos ou conjuntos de cifras TLS ou DTLS fracos, consultas de banco de dados não criptografadas em trânsito, comunicação de protocolo personalizado/padrão criptografado ausente);</w:t>
      </w:r>
    </w:p>
    <w:p w14:paraId="1AD3A732"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 xml:space="preserve">DA08 </w:t>
      </w:r>
      <w:r w:rsidRPr="00E6193A">
        <w:rPr>
          <w:rFonts w:ascii="Times New Roman" w:eastAsia="Times New Roman" w:hAnsi="Times New Roman" w:cs="Times New Roman"/>
          <w:iCs/>
          <w:shd w:val="clear" w:color="auto" w:fill="FFFFFF"/>
        </w:rPr>
        <w:t>- Baixa qualidade de código (assinatura de código e verificação de integridade de arquivo ausentes, ofuscação de código ausente, pré-carregamento ou injeção de DLL, condições de corrida, falta de proteção binária (Overflows, Null pointers corrupção de memória) etc;</w:t>
      </w:r>
    </w:p>
    <w:p w14:paraId="44C1D718"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DA09</w:t>
      </w:r>
      <w:r w:rsidRPr="00E6193A">
        <w:rPr>
          <w:rFonts w:ascii="Times New Roman" w:eastAsia="Times New Roman" w:hAnsi="Times New Roman" w:cs="Times New Roman"/>
          <w:iCs/>
          <w:shd w:val="clear" w:color="auto" w:fill="FFFFFF"/>
        </w:rPr>
        <w:t xml:space="preserve"> - Uso de componentes com vulnerabilidades conhecidas (uso de softwares desatualizados ou uso de componentes/serviços obsoletos do Windows/fornecedores de terceiros);</w:t>
      </w:r>
    </w:p>
    <w:p w14:paraId="5B659AD2"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Cs/>
          <w:shd w:val="clear" w:color="auto" w:fill="FFFFFF"/>
        </w:rPr>
        <w:t>DA10</w:t>
      </w:r>
      <w:r w:rsidRPr="00E6193A">
        <w:rPr>
          <w:rFonts w:ascii="Times New Roman" w:eastAsia="Times New Roman" w:hAnsi="Times New Roman" w:cs="Times New Roman"/>
          <w:iCs/>
          <w:shd w:val="clear" w:color="auto" w:fill="FFFFFF"/>
        </w:rPr>
        <w:t xml:space="preserve"> - Registro e monitoramento insuficientes (registros ausentes ou inadequados de atividades, monitoramento regular ausente para detectar abuso).</w:t>
      </w:r>
    </w:p>
    <w:p w14:paraId="63F141BA" w14:textId="77777777" w:rsidR="00B307DB" w:rsidRPr="00E6193A" w:rsidRDefault="00B307DB" w:rsidP="00B307DB">
      <w:pPr>
        <w:spacing w:after="0" w:line="240" w:lineRule="auto"/>
        <w:ind w:left="1134" w:right="-568"/>
        <w:jc w:val="both"/>
        <w:rPr>
          <w:rFonts w:ascii="Times New Roman" w:eastAsia="Times New Roman" w:hAnsi="Times New Roman" w:cs="Times New Roman"/>
          <w:iCs/>
          <w:shd w:val="clear" w:color="auto" w:fill="FFFFFF"/>
        </w:rPr>
      </w:pPr>
    </w:p>
    <w:p w14:paraId="39737BCD"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3.20.6</w:t>
      </w:r>
      <w:r w:rsidRPr="00E6193A">
        <w:rPr>
          <w:rFonts w:ascii="Times New Roman" w:eastAsia="Times New Roman" w:hAnsi="Times New Roman" w:cs="Times New Roman"/>
          <w:shd w:val="clear" w:color="auto" w:fill="FFFFFF"/>
        </w:rPr>
        <w:t xml:space="preserve"> Nota-se que as aplicações emuladas na web utilizam protocolos de comunicação reconhecidamente inseguros, que se incluem no item DA07, a exemplo do protocolo RDP. O Centro Nacional de Segurança Cibernética (</w:t>
      </w:r>
      <w:r w:rsidRPr="00E6193A">
        <w:rPr>
          <w:rFonts w:ascii="Times New Roman" w:eastAsia="Times New Roman" w:hAnsi="Times New Roman" w:cs="Times New Roman"/>
          <w:i/>
          <w:iCs/>
          <w:shd w:val="clear" w:color="auto" w:fill="FFFFFF"/>
        </w:rPr>
        <w:t>National Cyber Security Center – NCSC</w:t>
      </w:r>
      <w:r w:rsidRPr="00E6193A">
        <w:rPr>
          <w:rFonts w:ascii="Times New Roman" w:eastAsia="Times New Roman" w:hAnsi="Times New Roman" w:cs="Times New Roman"/>
          <w:shd w:val="clear" w:color="auto" w:fill="FFFFFF"/>
        </w:rPr>
        <w:t xml:space="preserve">), órgão do Governo do Reino Unido, identificou em 2021 o protocolo RDP como sendo o vetor de ataque mais comum para </w:t>
      </w:r>
      <w:r w:rsidRPr="00E6193A">
        <w:rPr>
          <w:rFonts w:ascii="Times New Roman" w:eastAsia="Times New Roman" w:hAnsi="Times New Roman" w:cs="Times New Roman"/>
          <w:i/>
          <w:iCs/>
          <w:shd w:val="clear" w:color="auto" w:fill="FFFFFF"/>
        </w:rPr>
        <w:t>ransomware</w:t>
      </w:r>
      <w:r w:rsidRPr="00E6193A">
        <w:rPr>
          <w:rFonts w:ascii="Times New Roman" w:eastAsia="Times New Roman" w:hAnsi="Times New Roman" w:cs="Times New Roman"/>
          <w:shd w:val="clear" w:color="auto" w:fill="FFFFFF"/>
        </w:rPr>
        <w:t>, permitindo que o hacker ganhe acesso completo ao ambiente da vítima. Uma das vulnerabilidades mais conhecidas do RDP, a BlueKeep, foi determinada como “crítica” pelo NIST.</w:t>
      </w:r>
    </w:p>
    <w:p w14:paraId="1E612B49"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3.20.7 </w:t>
      </w:r>
      <w:r w:rsidRPr="00E6193A">
        <w:rPr>
          <w:rFonts w:ascii="Times New Roman" w:eastAsia="SimSun" w:hAnsi="Times New Roman" w:cs="Times New Roman"/>
          <w:color w:val="000000"/>
          <w:shd w:val="clear" w:color="auto" w:fill="FFFFFF"/>
          <w:lang w:eastAsia="hi-IN" w:bidi="hi-IN"/>
        </w:rPr>
        <w:t xml:space="preserve">Cabe destacar, que o maior problema dos softwares desenvolvidos nativamente para desktop e emulados para funcionamento em nuvem ou web, é justamente o uso do emulador. </w:t>
      </w:r>
      <w:r w:rsidRPr="00E6193A">
        <w:rPr>
          <w:rFonts w:ascii="Times New Roman" w:eastAsia="Times New Roman" w:hAnsi="Times New Roman" w:cs="Times New Roman"/>
          <w:lang w:eastAsia="hi-IN" w:bidi="hi-IN"/>
        </w:rPr>
        <w:t>No início de 2018 foi descoberto um sofisticado vírus apelidado de “CrossRAT”. Esse malware tem a capacidade de afetar computadores das principais plataformas de mercado, ou seja, Windows, MacOs, Linux (é tão sofisticado que c</w:t>
      </w:r>
      <w:r w:rsidRPr="00E6193A">
        <w:rPr>
          <w:rFonts w:ascii="Times New Roman" w:eastAsia="SimSun" w:hAnsi="Times New Roman" w:cs="Times New Roman"/>
          <w:lang w:eastAsia="hi-IN" w:bidi="hi-IN"/>
        </w:rPr>
        <w:t xml:space="preserve">onsegue vasculhar o systemmd do Linux para identificar qual é a distribuição do </w:t>
      </w:r>
      <w:r w:rsidRPr="00E6193A">
        <w:rPr>
          <w:rFonts w:ascii="Times New Roman" w:eastAsia="SimSun" w:hAnsi="Times New Roman" w:cs="Times New Roman"/>
          <w:lang w:eastAsia="hi-IN" w:bidi="hi-IN"/>
        </w:rPr>
        <w:lastRenderedPageBreak/>
        <w:t>sistema)</w:t>
      </w:r>
      <w:r w:rsidRPr="00E6193A">
        <w:rPr>
          <w:rFonts w:ascii="Times New Roman" w:eastAsia="Times New Roman" w:hAnsi="Times New Roman" w:cs="Times New Roman"/>
          <w:lang w:eastAsia="hi-IN" w:bidi="hi-IN"/>
        </w:rPr>
        <w:t xml:space="preserve"> e até máquinas com o sistema operacional Solaris (da Oracle), permitindo que um hacker mal intencionado possa enviar comandos remotos as máquinas infectadas e obter informações sigilosas dos usuários. Além da capacidade de infectar máquinas de diversas plataformas, chama a atenção que essa praga virtual é construída em Java, explorando vulnerabilidades do plug-in.  Por esse motivo, o suporte à NPAPI, tecnologia necessária para applets Java (simplesmente o mais famoso </w:t>
      </w:r>
      <w:r w:rsidRPr="00E6193A">
        <w:rPr>
          <w:rFonts w:ascii="Times New Roman" w:eastAsia="SimSun" w:hAnsi="Times New Roman" w:cs="Times New Roman"/>
          <w:lang w:eastAsia="hi-IN" w:bidi="hi-IN"/>
        </w:rPr>
        <w:t>plug-in do mercado</w:t>
      </w:r>
      <w:r w:rsidRPr="00E6193A">
        <w:rPr>
          <w:rFonts w:ascii="Times New Roman" w:eastAsia="Times New Roman" w:hAnsi="Times New Roman" w:cs="Times New Roman"/>
          <w:lang w:eastAsia="hi-IN" w:bidi="hi-IN"/>
        </w:rPr>
        <w:t>) foi descontinuado dos principais navegadores (Edge, Mozilla, Safari, Chrome), de modo que não é recomendável e até indesejável, uma gama considerável de aplicações que dependam deste tipo de suporte.</w:t>
      </w:r>
    </w:p>
    <w:p w14:paraId="10C651C2"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b/>
          <w:lang w:eastAsia="hi-IN" w:bidi="hi-IN"/>
        </w:rPr>
        <w:t xml:space="preserve">3.20.8 </w:t>
      </w:r>
      <w:r w:rsidRPr="00E6193A">
        <w:rPr>
          <w:rFonts w:ascii="Times New Roman" w:eastAsia="Times New Roman" w:hAnsi="Times New Roman" w:cs="Times New Roman"/>
          <w:lang w:eastAsia="hi-IN" w:bidi="hi-IN"/>
        </w:rPr>
        <w:t>Ainda, por questão de segurança, os desenvolvedores de browser (Microsoft, Apple, Mozilla e Google) vêm implementando funcionalidades como controle de ActiveX, estratégia para evitar danos aos usuários, dificultando e até impedindo o funcionamento de recursos não nativos (emulados), o que pode impactar na funcionalidade de qualquer solução dependente deste tipo de tecnologia.</w:t>
      </w:r>
    </w:p>
    <w:p w14:paraId="233B48D5"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b/>
          <w:lang w:eastAsia="hi-IN" w:bidi="hi-IN"/>
        </w:rPr>
        <w:t>3.20.9</w:t>
      </w:r>
      <w:r w:rsidRPr="00E6193A">
        <w:rPr>
          <w:rFonts w:ascii="Times New Roman" w:eastAsia="Times New Roman" w:hAnsi="Times New Roman" w:cs="Times New Roman"/>
          <w:lang w:eastAsia="hi-IN" w:bidi="hi-IN"/>
        </w:rPr>
        <w:t xml:space="preserve"> A utilização de soluções hibridas e/ou emuladas, devem ser consideradas apenas em situações excepcionais, transitórias e mesmo apenas como um paliativo emergencial. Nunca em um planejamento de médio ou longo prazo, quanto mais, e nunca, na implantação de um ERP de grande porte, como de uma Prefeitura. </w:t>
      </w:r>
      <w:r w:rsidRPr="00E6193A">
        <w:rPr>
          <w:rFonts w:ascii="Times New Roman" w:eastAsia="SimSun" w:hAnsi="Times New Roman" w:cs="Times New Roman"/>
          <w:lang w:eastAsia="hi-IN" w:bidi="hi-IN"/>
        </w:rPr>
        <w:t>Emuladores, como o Go-Global, o Sky-one e outros, conforme enunciado pelos respectivos autores, “</w:t>
      </w:r>
      <w:r w:rsidRPr="00E6193A">
        <w:rPr>
          <w:rFonts w:ascii="Times New Roman" w:eastAsia="SimSun" w:hAnsi="Times New Roman" w:cs="Times New Roman"/>
          <w:i/>
          <w:lang w:eastAsia="hi-IN" w:bidi="hi-IN"/>
        </w:rPr>
        <w:t>servem como solução temporária para uso enquanto se trabalha em cenários de longo prazo</w:t>
      </w:r>
      <w:r w:rsidRPr="00E6193A">
        <w:rPr>
          <w:rFonts w:ascii="Times New Roman" w:eastAsia="SimSun" w:hAnsi="Times New Roman" w:cs="Times New Roman"/>
          <w:lang w:eastAsia="hi-IN" w:bidi="hi-IN"/>
        </w:rPr>
        <w:t>” (ou seja, enquanto se desenvolve sistema em linguagem nativa para uso pela web). Os sistemas que exigem emuladores nunca apresentarão a mesma performance que os nativos web, como sempre exigirão mais recursos de infraestrutura dos usuários, implicando em custos adicionais para uso e apresentam diversas outras desvantagens, entre elas maior vulnerabilidade quanto a ataques cibernéticos.</w:t>
      </w:r>
    </w:p>
    <w:p w14:paraId="3465E68D" w14:textId="77777777" w:rsidR="00B307DB" w:rsidRPr="00E6193A" w:rsidRDefault="00B307DB" w:rsidP="00B307DB">
      <w:pPr>
        <w:shd w:val="clear" w:color="auto" w:fill="FFFFFF"/>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color w:val="000000"/>
          <w:shd w:val="clear" w:color="auto" w:fill="FFFFFF"/>
          <w:lang w:eastAsia="pt-BR"/>
        </w:rPr>
        <w:t xml:space="preserve">3.20.10 </w:t>
      </w:r>
      <w:r w:rsidRPr="00E6193A">
        <w:rPr>
          <w:rFonts w:ascii="Times New Roman" w:eastAsia="Times New Roman" w:hAnsi="Times New Roman" w:cs="Times New Roman"/>
          <w:color w:val="000000"/>
          <w:shd w:val="clear" w:color="auto" w:fill="FFFFFF"/>
          <w:lang w:eastAsia="pt-BR"/>
        </w:rPr>
        <w:t>Mais uma vez cita-se que o uso de aplicações desktop ou hibridas, ainda continuará a esbarrar em dificuldades. Uma delas, a necessidade indispensável do técnico de suporte e manutenção se deslocar até o local onde se encontra a estação-cliente, aumentando os custos com deslocamento e restringindo o caráter competitivo. Como uma empresa sediada em outra região do país vai se deslocar até a Prefeitura, sem repassar esse custo ao contrato? Usando aplicativos como TeamViewer®, somente se aumentará a vulnerabilidade de todo o conjunto, abrindo portas de acesso a aplicações maliciosas ou que possam ser exploradas por hackers. Isso tudo, com certeza, é um calcanhar de aquiles, quando se fala em ampliação de disputa e a possibilidade de concorrência de qualquer parte do Brasil, obtendo-se melhores e mais vantajosas propostas. Ou seja, armadilhas que o gestor público deve evitar, exaltando sempre os princípios constitucionais, da moralidade pública, e da Nova Lei de Licitações e Contratos. O dever de cautela, é um importante apoio ao gestor.</w:t>
      </w:r>
    </w:p>
    <w:p w14:paraId="444A7A87"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3.21 Software em ambiente web com armazenamento em nuvem</w:t>
      </w:r>
    </w:p>
    <w:p w14:paraId="784B5592"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 </w:t>
      </w:r>
      <w:r w:rsidRPr="00E6193A">
        <w:rPr>
          <w:rFonts w:ascii="Times New Roman" w:eastAsia="SimSun" w:hAnsi="Times New Roman" w:cs="Times New Roman"/>
          <w:iCs/>
          <w:lang w:eastAsia="hi-IN" w:bidi="hi-IN"/>
        </w:rPr>
        <w:t>O Instituto Nacional de Padrões e Tecnologia (</w:t>
      </w:r>
      <w:r w:rsidRPr="00E6193A">
        <w:rPr>
          <w:rFonts w:ascii="Times New Roman" w:eastAsia="SimSun" w:hAnsi="Times New Roman" w:cs="Times New Roman"/>
          <w:i/>
          <w:lang w:eastAsia="hi-IN" w:bidi="hi-IN"/>
        </w:rPr>
        <w:t>National Institute of Stantards and Technology – NIST</w:t>
      </w:r>
      <w:r w:rsidRPr="00E6193A">
        <w:rPr>
          <w:rFonts w:ascii="Times New Roman" w:eastAsia="SimSun" w:hAnsi="Times New Roman" w:cs="Times New Roman"/>
          <w:iCs/>
          <w:lang w:eastAsia="hi-IN" w:bidi="hi-IN"/>
        </w:rPr>
        <w:t>) é uma agência federal dos EUA, cuja missão é promover inovação e competitividade industrial. O NIST edita séries de publicações especiais em suas diversas áreas de atuação, incluindo tecnologia de sistemas computacionais (SP-500-XX) e segurança de computadores (SP-800-XX).</w:t>
      </w:r>
    </w:p>
    <w:p w14:paraId="7D1EBBA5"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3.21.2 </w:t>
      </w:r>
      <w:r w:rsidRPr="00E6193A">
        <w:rPr>
          <w:rFonts w:ascii="Times New Roman" w:eastAsia="SimSun" w:hAnsi="Times New Roman" w:cs="Times New Roman"/>
          <w:iCs/>
          <w:lang w:eastAsia="hi-IN" w:bidi="hi-IN"/>
        </w:rPr>
        <w:t>A publicação SP 800-145, “</w:t>
      </w:r>
      <w:r w:rsidRPr="00E6193A">
        <w:rPr>
          <w:rFonts w:ascii="Times New Roman" w:eastAsia="SimSun" w:hAnsi="Times New Roman" w:cs="Times New Roman"/>
          <w:i/>
          <w:lang w:eastAsia="hi-IN" w:bidi="hi-IN"/>
        </w:rPr>
        <w:t>The NIST Definition of Cloud</w:t>
      </w:r>
      <w:r w:rsidRPr="00E6193A">
        <w:rPr>
          <w:rFonts w:ascii="Times New Roman" w:eastAsia="SimSun" w:hAnsi="Times New Roman" w:cs="Times New Roman"/>
          <w:iCs/>
          <w:lang w:eastAsia="hi-IN" w:bidi="hi-IN"/>
        </w:rPr>
        <w:t>”, apresenta a definição do NIST para computação em nuvem, a qual é adotada como referência para este estudo.</w:t>
      </w:r>
    </w:p>
    <w:p w14:paraId="1F11A1A7"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3.21.3 </w:t>
      </w:r>
      <w:r w:rsidRPr="00E6193A">
        <w:rPr>
          <w:rFonts w:ascii="Times New Roman" w:eastAsia="Times New Roman" w:hAnsi="Times New Roman" w:cs="Times New Roman"/>
          <w:iCs/>
        </w:rPr>
        <w:t>Conforme</w:t>
      </w:r>
      <w:r w:rsidRPr="00E6193A">
        <w:rPr>
          <w:rFonts w:ascii="Times New Roman" w:eastAsia="Times New Roman" w:hAnsi="Times New Roman" w:cs="Times New Roman"/>
          <w:iCs/>
          <w:shd w:val="clear" w:color="auto" w:fill="FFFFFF"/>
        </w:rPr>
        <w:t xml:space="preserve"> </w:t>
      </w:r>
      <w:r w:rsidRPr="00E6193A">
        <w:rPr>
          <w:rFonts w:ascii="Times New Roman" w:eastAsia="Times New Roman" w:hAnsi="Times New Roman" w:cs="Times New Roman"/>
          <w:iCs/>
        </w:rPr>
        <w:t>artigo</w:t>
      </w:r>
      <w:r w:rsidRPr="00E6193A">
        <w:rPr>
          <w:rFonts w:ascii="Times New Roman" w:eastAsia="Times New Roman" w:hAnsi="Times New Roman" w:cs="Times New Roman"/>
          <w:iCs/>
          <w:shd w:val="clear" w:color="auto" w:fill="FFFFFF"/>
        </w:rPr>
        <w:t xml:space="preserve"> da IDGnow intitulado “Cloud Corporation e a TI baseada em cloud”, um novo modelo de utilização de </w:t>
      </w:r>
      <w:r w:rsidRPr="00E6193A">
        <w:rPr>
          <w:rFonts w:ascii="Times New Roman" w:eastAsia="Times New Roman" w:hAnsi="Times New Roman" w:cs="Times New Roman"/>
          <w:iCs/>
        </w:rPr>
        <w:t>aplicativos</w:t>
      </w:r>
      <w:r w:rsidRPr="00E6193A">
        <w:rPr>
          <w:rFonts w:ascii="Times New Roman" w:eastAsia="Times New Roman" w:hAnsi="Times New Roman" w:cs="Times New Roman"/>
          <w:iCs/>
          <w:shd w:val="clear" w:color="auto" w:fill="FFFFFF"/>
        </w:rPr>
        <w:t xml:space="preserve"> em massa, com a difusão de dispositivos móveis, aliado à crise econômica e o conceito de computação em nuvem, permitiu o surgimento de um modelo de negócios para aquisição e consumo de recursos de TI. A computação em nuvem propõe a troca dos investimentos de capital inicial (Capex) pelo gasto por consumo (Opex), e a receita passa a ser distribuída pelos anos em que o cliente usa o software.</w:t>
      </w:r>
    </w:p>
    <w:p w14:paraId="02734F20"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shd w:val="clear" w:color="auto" w:fill="FFFFFF"/>
        </w:rPr>
        <w:t xml:space="preserve">3.21.4 </w:t>
      </w:r>
      <w:r w:rsidRPr="00E6193A">
        <w:rPr>
          <w:rFonts w:ascii="Times New Roman" w:eastAsia="Times New Roman" w:hAnsi="Times New Roman" w:cs="Times New Roman"/>
          <w:iCs/>
          <w:shd w:val="clear" w:color="auto" w:fill="FFFFFF"/>
        </w:rPr>
        <w:t>Assim, o risco da aquisição e da manutenção se desloca do usuário para o fornecedor, que necessita manter constantemente o usuário satisfeito. O fornecedor passa a ter um empenho muito maior em fazer com que o usuário aproveite todo o potencial de funcionalidades do software.</w:t>
      </w:r>
      <w:r w:rsidRPr="00E6193A">
        <w:rPr>
          <w:rFonts w:ascii="Times New Roman" w:eastAsia="Times New Roman" w:hAnsi="Times New Roman" w:cs="Times New Roman"/>
          <w:i/>
        </w:rPr>
        <w:t xml:space="preserve"> </w:t>
      </w:r>
    </w:p>
    <w:p w14:paraId="1CAF2EBB"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3.21.5 </w:t>
      </w:r>
      <w:r w:rsidRPr="00E6193A">
        <w:rPr>
          <w:rFonts w:ascii="Times New Roman" w:eastAsia="Times New Roman" w:hAnsi="Times New Roman" w:cs="Times New Roman"/>
          <w:iCs/>
        </w:rPr>
        <w:t xml:space="preserve">O Software web e em nuvem como Serviço, utiliza um modelo de entrega de um-para-muitos, no qual um único provedor fornece serviços de software para múltiplos usuários. Neste modelo, a cobrança pelos serviços é feita baseada nos tipos e quantidades de serviços utilizados, algo semelhante ao consumo de serviços de água ou energia elétrica. No caso </w:t>
      </w:r>
      <w:r w:rsidRPr="00E6193A">
        <w:rPr>
          <w:rFonts w:ascii="Times New Roman" w:eastAsia="Times New Roman" w:hAnsi="Times New Roman" w:cs="Times New Roman"/>
          <w:i/>
        </w:rPr>
        <w:t>in tela</w:t>
      </w:r>
      <w:r w:rsidRPr="00E6193A">
        <w:rPr>
          <w:rFonts w:ascii="Times New Roman" w:eastAsia="Times New Roman" w:hAnsi="Times New Roman" w:cs="Times New Roman"/>
          <w:iCs/>
        </w:rPr>
        <w:t>, por módulos (área/atividade) a serem utilizada pela Administração.</w:t>
      </w:r>
    </w:p>
    <w:p w14:paraId="07A086F1"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3.21.6 </w:t>
      </w:r>
      <w:r w:rsidRPr="00E6193A">
        <w:rPr>
          <w:rFonts w:ascii="Times New Roman" w:eastAsia="Times New Roman" w:hAnsi="Times New Roman" w:cs="Times New Roman"/>
          <w:iCs/>
        </w:rPr>
        <w:t xml:space="preserve">A padronização tende a reduzir os custos de sua implementação e manutenção. Esse tipo de estratégia facilita o compartilhamento e entendimento das informações entre diversas esferas de governo </w:t>
      </w:r>
      <w:r w:rsidRPr="00E6193A">
        <w:rPr>
          <w:rFonts w:ascii="Times New Roman" w:eastAsia="Times New Roman" w:hAnsi="Times New Roman" w:cs="Times New Roman"/>
          <w:iCs/>
        </w:rPr>
        <w:lastRenderedPageBreak/>
        <w:t xml:space="preserve">e a melhoria contínua do serviço público, a medida de usuários diferentes compartilham experiências e solicitam melhorias para o amadurecimento da ferramenta. </w:t>
      </w:r>
    </w:p>
    <w:p w14:paraId="34658F36"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shd w:val="clear" w:color="auto" w:fill="FFFFFF"/>
        </w:rPr>
        <w:t xml:space="preserve">3.21.7 </w:t>
      </w:r>
      <w:r w:rsidRPr="00E6193A">
        <w:rPr>
          <w:rFonts w:ascii="Times New Roman" w:eastAsia="Times New Roman" w:hAnsi="Times New Roman" w:cs="Times New Roman"/>
          <w:iCs/>
          <w:shd w:val="clear" w:color="auto" w:fill="FFFFFF"/>
        </w:rPr>
        <w:t>O que não impede a parametrização de determinadas funcionalidades, com inserção de parâmetros de acordo com a legislação e rotinas locais, algo já previsto nesse tipo de aplicação de grande escala.</w:t>
      </w:r>
    </w:p>
    <w:p w14:paraId="3733E548"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3.21.8 </w:t>
      </w:r>
      <w:r w:rsidRPr="00E6193A">
        <w:rPr>
          <w:rFonts w:ascii="Times New Roman" w:eastAsia="Times New Roman" w:hAnsi="Times New Roman" w:cs="Times New Roman"/>
          <w:iCs/>
        </w:rPr>
        <w:t>Os benefícios oferecidos por esse modelo permitem o foco nas funções essenciais da organização. Além dos benefícios esperados pela terceirização em geral, o modelo traz benefícios específicos como: maior disponibilidade, flexibilidade da oferta do serviço em função de variações na demanda, menor dependência de pessoal qualificado, possível redução de vários riscos de segurança, pagamento por uso efetivo de recursos e potencial redução de custos.</w:t>
      </w:r>
    </w:p>
    <w:p w14:paraId="5CEFCCC0"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3.21.9 </w:t>
      </w:r>
      <w:r w:rsidRPr="00E6193A">
        <w:rPr>
          <w:rFonts w:ascii="Times New Roman" w:eastAsia="Times New Roman" w:hAnsi="Times New Roman" w:cs="Times New Roman"/>
          <w:iCs/>
        </w:rPr>
        <w:t>Assim, computação em nuvem é um termo que remete a grupos de recursos computacionais acessíveis pela internet, flexíveis, provisionados por demanda e de maneira autônoma pelo demandante. Os serviços disponibilizados através da computação em nuvem são flexíveis porque os recursos e processamento disponíveis podem ser ajustados dinamicamente de acordo com as necessidades, sem a obrigatoriedade de envolvimento da equipe de TI do cliente – no caso, do Município - Desta maneira, cria-se um modelo de computação independente de hardware, capaz de absorver crescimentos futuros ou ajustar-se a novas demandas.</w:t>
      </w:r>
    </w:p>
    <w:p w14:paraId="768EDA88"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3.21.10 </w:t>
      </w:r>
      <w:r w:rsidRPr="00E6193A">
        <w:rPr>
          <w:rFonts w:ascii="Times New Roman" w:eastAsia="Times New Roman" w:hAnsi="Times New Roman" w:cs="Times New Roman"/>
          <w:iCs/>
        </w:rPr>
        <w:t xml:space="preserve">Embora existam soluções diversas de implantação, a infraestrutura de nuvem privada parece a mais adequadas a aplicação de um ERP municipal, porque está disponível para uso exclusivo por uma única organização. Sua utilização, gerenciamento e operação podem ser feitos pela própria contratada ou terceiros, ou por uma combinação dos dois. No entanto, o cliente terá controle sobre sua localização geográfica, o que a faz tornar atrativa para dados ou sistemas com restrições de acesso ou que são de missão crítica, como sistemas de gestão administrativa e fiscal dos entes públicos. </w:t>
      </w:r>
      <w:r w:rsidRPr="00E6193A">
        <w:rPr>
          <w:rFonts w:ascii="Times New Roman" w:eastAsia="Times New Roman" w:hAnsi="Times New Roman" w:cs="Times New Roman"/>
        </w:rPr>
        <w:t>A nuvem privada proporciona ainda maior controle sobre a segurança da informação e performance, visto que seus recursos são determinados tendo em vista as necessidades específicas dos softwares e dados que a utilizam.</w:t>
      </w:r>
    </w:p>
    <w:p w14:paraId="61628C1D"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3.21.11 </w:t>
      </w:r>
      <w:r w:rsidRPr="00E6193A">
        <w:rPr>
          <w:rFonts w:ascii="Times New Roman" w:eastAsia="SimSun" w:hAnsi="Times New Roman" w:cs="Times New Roman"/>
          <w:iCs/>
          <w:lang w:eastAsia="hi-IN" w:bidi="hi-IN"/>
        </w:rPr>
        <w:t>Voltando ao NIST,</w:t>
      </w:r>
      <w:r w:rsidRPr="00E6193A">
        <w:rPr>
          <w:rFonts w:ascii="Times New Roman" w:eastAsia="SimSun" w:hAnsi="Times New Roman" w:cs="Times New Roman"/>
          <w:i/>
          <w:lang w:eastAsia="hi-IN" w:bidi="hi-IN"/>
        </w:rPr>
        <w:t xml:space="preserve"> é necessário, ainda, diferenciar os conceitos de nuvem, serviços na nuvem, computação em nuvem e serviços de computação em nuvem. </w:t>
      </w:r>
      <w:r w:rsidRPr="00E6193A">
        <w:rPr>
          <w:rFonts w:ascii="Times New Roman" w:eastAsia="SimSun" w:hAnsi="Times New Roman" w:cs="Times New Roman"/>
          <w:iCs/>
          <w:lang w:eastAsia="hi-IN" w:bidi="hi-IN"/>
        </w:rPr>
        <w:t>No caso in tela, da solução pretendida pelo Município, temos uma combinação de um software web (para uso em navegadores, sem precisar instalações) e Computação em nuvem (cloud computing):</w:t>
      </w:r>
      <w:r w:rsidRPr="00E6193A">
        <w:rPr>
          <w:rFonts w:ascii="Times New Roman" w:eastAsia="SimSun" w:hAnsi="Times New Roman" w:cs="Times New Roman"/>
          <w:i/>
          <w:lang w:eastAsia="hi-IN" w:bidi="hi-IN"/>
        </w:rPr>
        <w:t xml:space="preserve"> De acordo com o IDC, é “o ambiente de TI – envolvendo todos os elementos da “pilha” de TI e produtos de rede (e serviços de suporte) – que permite o desenvolvimento, entrega e consumo de serviços na nuvem”, de maneira escalável e elástica.  Envolve um framework e vocabulário voltados ao domínio de TI.</w:t>
      </w:r>
    </w:p>
    <w:p w14:paraId="1CA6265B"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3.21.12 </w:t>
      </w:r>
      <w:r w:rsidRPr="00E6193A">
        <w:rPr>
          <w:rFonts w:ascii="Times New Roman" w:eastAsia="Times New Roman" w:hAnsi="Times New Roman" w:cs="Times New Roman"/>
          <w:iCs/>
        </w:rPr>
        <w:t>Diversas fontes de informação sobre computação em nuvem e softwares web, listam potenciais vantagens, havendo grande interseção entre elas. No entanto, a importância relativa de cada vantagem é sensível às particularidades do sistema sendo utilizado em nuvem (sobretudo em função de sua classificação entre IaaS, PaaS ou SaaS) e das prioridades da entidade contratante desses serviços.</w:t>
      </w:r>
    </w:p>
    <w:p w14:paraId="2D1A212A"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3.21.13 </w:t>
      </w:r>
      <w:r w:rsidRPr="00E6193A">
        <w:rPr>
          <w:rFonts w:ascii="Times New Roman" w:eastAsia="SimSun" w:hAnsi="Times New Roman" w:cs="Times New Roman"/>
          <w:iCs/>
          <w:lang w:eastAsia="hi-IN" w:bidi="hi-IN"/>
        </w:rPr>
        <w:t>As vantagens de nuvem decorrem essencialmente de benefícios de escala: ao consolidar centros de processamento de dados (CPDs) isolados em um pool de recursos computacionais compartilhados em nuvem, reúne-se um conjunto maior de recursos, o que permite reduzir seus custos unitários, melhorar seu aproveitamento, balanceando as demandas por serviços de diversos clientes, o que otimiza o nível de uso dos recursos e divide os custos fixos em uma maior base de usuários.</w:t>
      </w:r>
    </w:p>
    <w:p w14:paraId="5E771342"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3.21.14 </w:t>
      </w:r>
      <w:r w:rsidRPr="00E6193A">
        <w:rPr>
          <w:rFonts w:ascii="Times New Roman" w:eastAsia="SimSun" w:hAnsi="Times New Roman" w:cs="Times New Roman"/>
          <w:iCs/>
          <w:lang w:eastAsia="hi-IN" w:bidi="hi-IN"/>
        </w:rPr>
        <w:t>Segundo estudo da IDC, divulgados pelo TCU no citado acórdão, as principais vantagens do uso de computação em nuvem são:</w:t>
      </w:r>
    </w:p>
    <w:p w14:paraId="192AC45D" w14:textId="77777777" w:rsidR="00B307DB" w:rsidRPr="00E6193A" w:rsidRDefault="00B307DB" w:rsidP="00B307DB">
      <w:pPr>
        <w:tabs>
          <w:tab w:val="left" w:pos="284"/>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a)</w:t>
      </w:r>
      <w:r w:rsidRPr="00E6193A">
        <w:rPr>
          <w:rFonts w:ascii="Times New Roman" w:eastAsia="Times New Roman" w:hAnsi="Times New Roman" w:cs="Times New Roman"/>
          <w:iCs/>
        </w:rPr>
        <w:tab/>
      </w:r>
      <w:r w:rsidRPr="00E6193A">
        <w:rPr>
          <w:rFonts w:ascii="Times New Roman" w:eastAsia="Times New Roman" w:hAnsi="Times New Roman" w:cs="Times New Roman"/>
          <w:b/>
          <w:iCs/>
        </w:rPr>
        <w:t>Redução de custos de infraestrutura e serviços de TI</w:t>
      </w:r>
      <w:r w:rsidRPr="00E6193A">
        <w:rPr>
          <w:rFonts w:ascii="Times New Roman" w:eastAsia="Times New Roman" w:hAnsi="Times New Roman" w:cs="Times New Roman"/>
          <w:iCs/>
        </w:rPr>
        <w:t xml:space="preserve">. O benefício mais significativo vem de hospedar aplicações em infraestrutura em nuvem devido à redução de custos de capital (capital expenditure - Capex) e custos operacionais (operacional expenditure - Opex). </w:t>
      </w:r>
    </w:p>
    <w:p w14:paraId="18BBE127" w14:textId="77777777" w:rsidR="00B307DB" w:rsidRPr="00E6193A" w:rsidRDefault="00B307DB" w:rsidP="00B307DB">
      <w:pPr>
        <w:tabs>
          <w:tab w:val="left" w:pos="284"/>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b) Melhoria da produtividade do usuário final</w:t>
      </w:r>
      <w:r w:rsidRPr="00E6193A">
        <w:rPr>
          <w:rFonts w:ascii="Times New Roman" w:eastAsia="Times New Roman" w:hAnsi="Times New Roman" w:cs="Times New Roman"/>
          <w:iCs/>
        </w:rPr>
        <w:t>. Os usuários finais beneficiaram-se de menor indisponibilidade do serviço e recuperação mais rápida, reduzindo o tempo de inatividade em 72% e economizando expressivos recursos de cada aplicativo por ano.</w:t>
      </w:r>
    </w:p>
    <w:p w14:paraId="7AB965F0"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3.21.15 </w:t>
      </w:r>
      <w:r w:rsidRPr="00E6193A">
        <w:rPr>
          <w:rFonts w:ascii="Times New Roman" w:eastAsia="SimSun" w:hAnsi="Times New Roman" w:cs="Times New Roman"/>
          <w:iCs/>
          <w:lang w:eastAsia="hi-IN" w:bidi="hi-IN"/>
        </w:rPr>
        <w:t>Outras vantagens também são apontadas pela Isaca na publicação “Controls and Assurance in the Cloud: Using COBIT 5”:</w:t>
      </w:r>
    </w:p>
    <w:p w14:paraId="3588A10C" w14:textId="77777777" w:rsidR="00B307DB" w:rsidRPr="00E6193A" w:rsidRDefault="00B307DB" w:rsidP="00B307DB">
      <w:pPr>
        <w:tabs>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a) Melhorar capacidade de resposta</w:t>
      </w:r>
      <w:r w:rsidRPr="00E6193A">
        <w:rPr>
          <w:rFonts w:ascii="Times New Roman" w:eastAsia="Times New Roman" w:hAnsi="Times New Roman" w:cs="Times New Roman"/>
          <w:iCs/>
        </w:rPr>
        <w:t>. Computação em nuvem fornece serviços flexíveis e escaláveis que podem ser implementados rapidamente para fornecer às organizações a capacidade de responder a mudanças de requisitos e a períodos de picos.</w:t>
      </w:r>
    </w:p>
    <w:p w14:paraId="559722BF" w14:textId="77777777" w:rsidR="00B307DB" w:rsidRPr="00E6193A" w:rsidRDefault="00B307DB" w:rsidP="00B307DB">
      <w:pPr>
        <w:tabs>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lastRenderedPageBreak/>
        <w:t>b) Ciclo mais rápido de inovação</w:t>
      </w:r>
      <w:r w:rsidRPr="00E6193A">
        <w:rPr>
          <w:rFonts w:ascii="Times New Roman" w:eastAsia="Times New Roman" w:hAnsi="Times New Roman" w:cs="Times New Roman"/>
          <w:iCs/>
        </w:rPr>
        <w:t>. No ambiente de nuvem, a inovação é tratada muito mais rápido do que dentro da instituição. O gerenciamento de patches e atualizações para novas versões tornam-se mais flexíveis.</w:t>
      </w:r>
    </w:p>
    <w:p w14:paraId="221CEDFA" w14:textId="77777777" w:rsidR="00B307DB" w:rsidRPr="00E6193A" w:rsidRDefault="00B307DB" w:rsidP="00B307DB">
      <w:pPr>
        <w:tabs>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c) Redução do tempo para implementação</w:t>
      </w:r>
      <w:r w:rsidRPr="00E6193A">
        <w:rPr>
          <w:rFonts w:ascii="Times New Roman" w:eastAsia="Times New Roman" w:hAnsi="Times New Roman" w:cs="Times New Roman"/>
          <w:iCs/>
        </w:rPr>
        <w:t>. Computação em nuvem oferece poder de processamento e capacidade de armazenamento de dados conforme a necessidade, quase em tempo real.</w:t>
      </w:r>
    </w:p>
    <w:p w14:paraId="4AE25B93" w14:textId="77777777" w:rsidR="00B307DB" w:rsidRPr="00E6193A" w:rsidRDefault="00B307DB" w:rsidP="00B307DB">
      <w:pPr>
        <w:tabs>
          <w:tab w:val="left" w:pos="1418"/>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d) Resiliência</w:t>
      </w:r>
      <w:r w:rsidRPr="00E6193A">
        <w:rPr>
          <w:rFonts w:ascii="Times New Roman" w:eastAsia="Times New Roman" w:hAnsi="Times New Roman" w:cs="Times New Roman"/>
          <w:iCs/>
        </w:rPr>
        <w:t>. Computação em nuvem pode fornecer um ambiente altamente resiliente e reduzir o potencial de falha e o risco de downtime.</w:t>
      </w:r>
    </w:p>
    <w:p w14:paraId="68DFE261"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3.21.16 </w:t>
      </w:r>
      <w:r w:rsidRPr="00E6193A">
        <w:rPr>
          <w:rFonts w:ascii="Times New Roman" w:eastAsia="Times New Roman" w:hAnsi="Times New Roman" w:cs="Times New Roman"/>
          <w:iCs/>
        </w:rPr>
        <w:t xml:space="preserve">Adicionalmente, a computação em nuvem também traz vantagens em sustentabilidade ambiental. A nuvem é, em geral, mais eficiente do que a infraestrutura própria de TI, pois quando a demanda por recursos computacionais de determinado cliente diminui, esses são realocados para atender às necessidades de outros clientes. Assim, o uso de recursos de infraestrutura física, como energia elétrica e ar-condicionado, que seriam utilizados mesmo em situações de ociosidade da infraestrutura de TI em data centers próprios, seria otimizado em ambiente de nuvem. </w:t>
      </w:r>
    </w:p>
    <w:p w14:paraId="6FFC841E"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3.21.17 </w:t>
      </w:r>
      <w:r w:rsidRPr="00E6193A">
        <w:rPr>
          <w:rFonts w:ascii="Times New Roman" w:eastAsia="Times New Roman" w:hAnsi="Times New Roman" w:cs="Times New Roman"/>
          <w:iCs/>
        </w:rPr>
        <w:t xml:space="preserve">Além disso, do ponto de vista ambiental, a possibilidade de tornar digitais os processos e rotinas e seu acesso praticamente em qualquer lugar com acesso a internet (por um laptop, tablet ou smartphone) – por meio de softwares web - contribui significativamente para a redução e até eliminação do consumo de papel, tinta, tonner e outros insumos altamente impactantes a natureza, tanto na sua produção quanto no seu descarte. </w:t>
      </w:r>
    </w:p>
    <w:p w14:paraId="45656DC8"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3.21.18 </w:t>
      </w:r>
      <w:r w:rsidRPr="00E6193A">
        <w:rPr>
          <w:rFonts w:ascii="Times New Roman" w:eastAsia="SimSun" w:hAnsi="Times New Roman" w:cs="Times New Roman"/>
          <w:iCs/>
          <w:lang w:eastAsia="hi-IN" w:bidi="hi-IN"/>
        </w:rPr>
        <w:t>Adicionalmente às vantagens gerais anteriormente elencadas, identificam-se as seguintes vantagens mais específicas para atividades estatais:</w:t>
      </w:r>
    </w:p>
    <w:p w14:paraId="5F31674C" w14:textId="77777777" w:rsidR="00B307DB" w:rsidRPr="00E6193A" w:rsidRDefault="00B307DB" w:rsidP="00B307DB">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a) </w:t>
      </w:r>
      <w:r w:rsidRPr="00E6193A">
        <w:rPr>
          <w:rFonts w:ascii="Times New Roman" w:eastAsia="Times New Roman" w:hAnsi="Times New Roman" w:cs="Times New Roman"/>
          <w:b/>
          <w:bCs/>
          <w:iCs/>
          <w:u w:val="single"/>
        </w:rPr>
        <w:t>Maior agilidade da administração pública na entrega de serviços</w:t>
      </w:r>
      <w:r w:rsidRPr="00E6193A">
        <w:rPr>
          <w:rFonts w:ascii="Times New Roman" w:eastAsia="Times New Roman" w:hAnsi="Times New Roman" w:cs="Times New Roman"/>
          <w:iCs/>
        </w:rPr>
        <w:t xml:space="preserve"> e em sua atualização tecnológica, pois os processos formais de contratação pública podem dificultar a manutenção de uma infraestrutura de TI própria atualizada e que responda rapidamente às demandas de seus usuários.</w:t>
      </w:r>
    </w:p>
    <w:p w14:paraId="0554C00E" w14:textId="77777777" w:rsidR="00B307DB" w:rsidRPr="00E6193A" w:rsidRDefault="00B307DB" w:rsidP="00B307DB">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b)</w:t>
      </w:r>
      <w:r w:rsidRPr="00E6193A">
        <w:rPr>
          <w:rFonts w:ascii="Times New Roman" w:eastAsia="Times New Roman" w:hAnsi="Times New Roman" w:cs="Times New Roman"/>
          <w:iCs/>
        </w:rPr>
        <w:t xml:space="preserve"> </w:t>
      </w:r>
      <w:r w:rsidRPr="00E6193A">
        <w:rPr>
          <w:rFonts w:ascii="Times New Roman" w:eastAsia="Times New Roman" w:hAnsi="Times New Roman" w:cs="Times New Roman"/>
          <w:b/>
          <w:bCs/>
          <w:iCs/>
          <w:u w:val="single"/>
        </w:rPr>
        <w:t>Suporte a futuras iniciativas de Big Data e Dados Abertos</w:t>
      </w:r>
      <w:r w:rsidRPr="00E6193A">
        <w:rPr>
          <w:rFonts w:ascii="Times New Roman" w:eastAsia="Times New Roman" w:hAnsi="Times New Roman" w:cs="Times New Roman"/>
          <w:iCs/>
        </w:rPr>
        <w:t>, facilitando a abertura de informações governamentais que hoje encontram-se em sistemas que controlam as operações cotidianas do Estado e, portanto, são fechados com acesso limitado aos seus operadores. O uso de nuvem permitiria ampliar o acesso a esses dados a um custo menor, sem comprometer a segurança, a disponibilidade e o desempenho operacional dos sistemas originais. Uma vez os dados governamentais estando facilmente acessíveis, torna-se possível maior participação da sociedade na criação de novos serviços baseados nesses dados.</w:t>
      </w:r>
    </w:p>
    <w:p w14:paraId="1F588CB7" w14:textId="77777777" w:rsidR="00B307DB" w:rsidRPr="00E6193A" w:rsidRDefault="00B307DB" w:rsidP="00B307DB">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c) </w:t>
      </w:r>
      <w:r w:rsidRPr="00E6193A">
        <w:rPr>
          <w:rFonts w:ascii="Times New Roman" w:eastAsia="Times New Roman" w:hAnsi="Times New Roman" w:cs="Times New Roman"/>
          <w:b/>
          <w:bCs/>
          <w:iCs/>
          <w:u w:val="single"/>
        </w:rPr>
        <w:t>Atendimento a picos de demanda sazonal</w:t>
      </w:r>
      <w:r w:rsidRPr="00E6193A">
        <w:rPr>
          <w:rFonts w:ascii="Times New Roman" w:eastAsia="Times New Roman" w:hAnsi="Times New Roman" w:cs="Times New Roman"/>
          <w:iCs/>
        </w:rPr>
        <w:t xml:space="preserve"> de serviços públicos pela Internet sem necessidade de alocar grande quantidade de recursos fixos. Várias atividades estatais acarretam picos sazonais de demanda de serviços próximos a datas limite como: entregas de declarações de imposto de renda, inscrições e resultados do Enem, resultados eleitorais e listagem de gestores públicos inelegíveis, períodos de recadastramento do INSS, listagem dos percentuais do fundo de participação dos municípios, emissão e processamento de boletos de IPTU, semanas de conciliação, etc.</w:t>
      </w:r>
    </w:p>
    <w:p w14:paraId="231B01BA" w14:textId="77777777" w:rsidR="00B307DB" w:rsidRPr="00E6193A" w:rsidRDefault="00B307DB" w:rsidP="00B307DB">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d)</w:t>
      </w:r>
      <w:r w:rsidRPr="00E6193A">
        <w:rPr>
          <w:rFonts w:ascii="Times New Roman" w:eastAsia="Times New Roman" w:hAnsi="Times New Roman" w:cs="Times New Roman"/>
          <w:iCs/>
        </w:rPr>
        <w:t xml:space="preserve"> </w:t>
      </w:r>
      <w:r w:rsidRPr="00E6193A">
        <w:rPr>
          <w:rFonts w:ascii="Times New Roman" w:eastAsia="Times New Roman" w:hAnsi="Times New Roman" w:cs="Times New Roman"/>
          <w:b/>
          <w:bCs/>
          <w:iCs/>
          <w:u w:val="single"/>
        </w:rPr>
        <w:t>A contratação de serviços em nuvem de SaaS</w:t>
      </w:r>
      <w:r w:rsidRPr="00E6193A">
        <w:rPr>
          <w:rFonts w:ascii="Times New Roman" w:eastAsia="Times New Roman" w:hAnsi="Times New Roman" w:cs="Times New Roman"/>
          <w:iCs/>
        </w:rPr>
        <w:t xml:space="preserve"> pode levar a uma redução de oportunidades de desvios e irregularidades, quando comparada às múltiplas contratações de máquinas, licenças de software, manutenção e suporte necessárias para a operação de CPD próprio. As ofertas de SaaS, utilizando métricas de precificação com custos unitários divulgados publicamente e iguais para todos os clientes, facilita a pesquisa de preços.</w:t>
      </w:r>
    </w:p>
    <w:p w14:paraId="5E1E0DB7" w14:textId="77777777" w:rsidR="00B307DB" w:rsidRPr="00E6193A" w:rsidRDefault="00B307DB" w:rsidP="00B307DB">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e) </w:t>
      </w:r>
      <w:r w:rsidRPr="00E6193A">
        <w:rPr>
          <w:rFonts w:ascii="Times New Roman" w:eastAsia="Times New Roman" w:hAnsi="Times New Roman" w:cs="Times New Roman"/>
          <w:b/>
          <w:bCs/>
          <w:iCs/>
          <w:u w:val="single"/>
        </w:rPr>
        <w:t>Agilidade e economia na entrega de serviços</w:t>
      </w:r>
      <w:r w:rsidRPr="00E6193A">
        <w:rPr>
          <w:rFonts w:ascii="Times New Roman" w:eastAsia="Times New Roman" w:hAnsi="Times New Roman" w:cs="Times New Roman"/>
          <w:iCs/>
        </w:rPr>
        <w:t xml:space="preserve"> para instituições públicas com unidades descentralizadas, que podem ter serviços disponibilizados por meio de acesso à internet, mais barato que as interconexões via redes privadas.</w:t>
      </w:r>
    </w:p>
    <w:p w14:paraId="42011AD2" w14:textId="77777777" w:rsidR="00B307DB" w:rsidRPr="00E6193A" w:rsidRDefault="00B307DB" w:rsidP="00B307DB">
      <w:pPr>
        <w:tabs>
          <w:tab w:val="left" w:pos="851"/>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f)</w:t>
      </w:r>
      <w:r w:rsidRPr="00E6193A">
        <w:rPr>
          <w:rFonts w:ascii="Times New Roman" w:eastAsia="Times New Roman" w:hAnsi="Times New Roman" w:cs="Times New Roman"/>
          <w:iCs/>
        </w:rPr>
        <w:t xml:space="preserve"> </w:t>
      </w:r>
      <w:r w:rsidRPr="00E6193A">
        <w:rPr>
          <w:rFonts w:ascii="Times New Roman" w:eastAsia="Times New Roman" w:hAnsi="Times New Roman" w:cs="Times New Roman"/>
          <w:b/>
          <w:bCs/>
          <w:iCs/>
          <w:u w:val="single"/>
        </w:rPr>
        <w:t>Suporte ao desenvolvimento de iniciativas de inteligência artificial</w:t>
      </w:r>
      <w:r w:rsidRPr="00E6193A">
        <w:rPr>
          <w:rFonts w:ascii="Times New Roman" w:eastAsia="Times New Roman" w:hAnsi="Times New Roman" w:cs="Times New Roman"/>
          <w:iCs/>
        </w:rPr>
        <w:t xml:space="preserve"> para a gestão pública, por meio da centralização dos blocos de informação na nuvem, aumentando-se a eficácia e eficiência das decisões administrativas.</w:t>
      </w:r>
    </w:p>
    <w:p w14:paraId="3F6EAF00" w14:textId="77777777" w:rsidR="00B307DB" w:rsidRPr="00E6193A" w:rsidRDefault="00B307DB" w:rsidP="00B307DB">
      <w:pPr>
        <w:widowControl w:val="0"/>
        <w:spacing w:after="0" w:line="240" w:lineRule="auto"/>
        <w:ind w:right="-568"/>
        <w:jc w:val="both"/>
        <w:rPr>
          <w:rFonts w:ascii="Times New Roman" w:eastAsia="SimSun" w:hAnsi="Times New Roman" w:cs="Times New Roman"/>
          <w:iCs/>
          <w:lang w:eastAsia="hi-IN" w:bidi="hi-IN"/>
        </w:rPr>
      </w:pPr>
      <w:r w:rsidRPr="00E6193A">
        <w:rPr>
          <w:rFonts w:ascii="Times New Roman" w:eastAsia="SimSun" w:hAnsi="Times New Roman" w:cs="Times New Roman"/>
          <w:b/>
          <w:iCs/>
          <w:lang w:eastAsia="hi-IN" w:bidi="hi-IN"/>
        </w:rPr>
        <w:t xml:space="preserve">3.21.19 </w:t>
      </w:r>
      <w:r w:rsidRPr="00E6193A">
        <w:rPr>
          <w:rFonts w:ascii="Times New Roman" w:eastAsia="SimSun" w:hAnsi="Times New Roman" w:cs="Times New Roman"/>
          <w:iCs/>
          <w:lang w:eastAsia="hi-IN" w:bidi="hi-IN"/>
        </w:rPr>
        <w:t xml:space="preserve">Segundo análise da ENISA (European Network and Information Security Agency), os ganhos de escala refletem-se também na área de segurança: </w:t>
      </w:r>
    </w:p>
    <w:p w14:paraId="143C5C22"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p>
    <w:p w14:paraId="6AA7429D" w14:textId="77777777" w:rsidR="00B307DB" w:rsidRPr="00E6193A" w:rsidRDefault="00B307DB" w:rsidP="00B307DB">
      <w:pPr>
        <w:spacing w:after="0" w:line="240" w:lineRule="auto"/>
        <w:ind w:left="2835" w:right="-568"/>
        <w:jc w:val="both"/>
        <w:rPr>
          <w:rFonts w:ascii="Times New Roman" w:eastAsia="Times New Roman" w:hAnsi="Times New Roman" w:cs="Times New Roman"/>
          <w:i/>
        </w:rPr>
      </w:pPr>
      <w:r w:rsidRPr="00E6193A">
        <w:rPr>
          <w:rFonts w:ascii="Times New Roman" w:eastAsia="Times New Roman" w:hAnsi="Times New Roman" w:cs="Times New Roman"/>
          <w:b/>
          <w:i/>
        </w:rPr>
        <w:t>Segurança e os benefícios de escala</w:t>
      </w:r>
      <w:r w:rsidRPr="00E6193A">
        <w:rPr>
          <w:rFonts w:ascii="Times New Roman" w:eastAsia="Times New Roman" w:hAnsi="Times New Roman" w:cs="Times New Roman"/>
          <w:i/>
        </w:rPr>
        <w:t xml:space="preserve">: de forma simples, </w:t>
      </w:r>
      <w:r w:rsidRPr="00E6193A">
        <w:rPr>
          <w:rFonts w:ascii="Times New Roman" w:eastAsia="Times New Roman" w:hAnsi="Times New Roman" w:cs="Times New Roman"/>
          <w:i/>
          <w:u w:val="single"/>
        </w:rPr>
        <w:t>todos os tipos de medidas de segurança são mais baratos quando implementados em larga escala</w:t>
      </w:r>
      <w:r w:rsidRPr="00E6193A">
        <w:rPr>
          <w:rFonts w:ascii="Times New Roman" w:eastAsia="Times New Roman" w:hAnsi="Times New Roman" w:cs="Times New Roman"/>
          <w:i/>
        </w:rPr>
        <w:t xml:space="preserve">. Portanto, um mesmo valor de investimento em segurança permite adquirir </w:t>
      </w:r>
      <w:r w:rsidRPr="00E6193A">
        <w:rPr>
          <w:rFonts w:ascii="Times New Roman" w:eastAsia="Times New Roman" w:hAnsi="Times New Roman" w:cs="Times New Roman"/>
          <w:i/>
          <w:u w:val="single"/>
        </w:rPr>
        <w:t>uma melhor proteção</w:t>
      </w:r>
      <w:r w:rsidRPr="00E6193A">
        <w:rPr>
          <w:rFonts w:ascii="Times New Roman" w:eastAsia="Times New Roman" w:hAnsi="Times New Roman" w:cs="Times New Roman"/>
          <w:i/>
        </w:rPr>
        <w:t xml:space="preserve">. Isso inclui todos os tipos de medidas defensivas, tais como filtragem, gerenciamento de atualizações, o </w:t>
      </w:r>
      <w:r w:rsidRPr="00E6193A">
        <w:rPr>
          <w:rFonts w:ascii="Times New Roman" w:eastAsia="Times New Roman" w:hAnsi="Times New Roman" w:cs="Times New Roman"/>
          <w:b/>
          <w:i/>
        </w:rPr>
        <w:t>hardening</w:t>
      </w:r>
      <w:r w:rsidRPr="00E6193A">
        <w:rPr>
          <w:rFonts w:ascii="Times New Roman" w:eastAsia="Times New Roman" w:hAnsi="Times New Roman" w:cs="Times New Roman"/>
          <w:i/>
        </w:rPr>
        <w:t xml:space="preserve"> das instâncias de máquinas virtuais e </w:t>
      </w:r>
      <w:r w:rsidRPr="00E6193A">
        <w:rPr>
          <w:rFonts w:ascii="Times New Roman" w:eastAsia="Times New Roman" w:hAnsi="Times New Roman" w:cs="Times New Roman"/>
          <w:b/>
          <w:i/>
        </w:rPr>
        <w:lastRenderedPageBreak/>
        <w:t>hypervisors</w:t>
      </w:r>
      <w:r w:rsidRPr="00E6193A">
        <w:rPr>
          <w:rFonts w:ascii="Times New Roman" w:eastAsia="Times New Roman" w:hAnsi="Times New Roman" w:cs="Times New Roman"/>
          <w:bCs/>
          <w:iCs/>
        </w:rPr>
        <w:t>,</w:t>
      </w:r>
      <w:r w:rsidRPr="00E6193A">
        <w:rPr>
          <w:rFonts w:ascii="Times New Roman" w:eastAsia="Times New Roman" w:hAnsi="Times New Roman" w:cs="Times New Roman"/>
          <w:i/>
        </w:rPr>
        <w:t xml:space="preserve"> etc. Outros benefícios de escala incluem: multiplicidade de localizações, redes de borda (conteúdo entregue ou processado mais perto de seu destino), menor tempo de resposta em incidentes e gerenciamento de ameaças. (tradução livre)</w:t>
      </w:r>
    </w:p>
    <w:p w14:paraId="2DB37F11"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p>
    <w:p w14:paraId="5A1E7695" w14:textId="77777777" w:rsidR="00B307DB" w:rsidRPr="00E6193A" w:rsidRDefault="00B307DB" w:rsidP="00B307DB">
      <w:pPr>
        <w:widowControl w:val="0"/>
        <w:spacing w:after="0" w:line="240" w:lineRule="auto"/>
        <w:ind w:right="-568"/>
        <w:jc w:val="both"/>
        <w:rPr>
          <w:rFonts w:ascii="Times New Roman" w:eastAsia="SimSun" w:hAnsi="Times New Roman" w:cs="Times New Roman"/>
          <w:iCs/>
          <w:lang w:eastAsia="hi-IN" w:bidi="hi-IN"/>
        </w:rPr>
      </w:pPr>
      <w:r w:rsidRPr="00E6193A">
        <w:rPr>
          <w:rFonts w:ascii="Times New Roman" w:eastAsia="SimSun" w:hAnsi="Times New Roman" w:cs="Times New Roman"/>
          <w:b/>
          <w:iCs/>
          <w:lang w:eastAsia="hi-IN" w:bidi="hi-IN"/>
        </w:rPr>
        <w:t xml:space="preserve">3.21.20 </w:t>
      </w:r>
      <w:r w:rsidRPr="00E6193A">
        <w:rPr>
          <w:rFonts w:ascii="Times New Roman" w:eastAsia="SimSun" w:hAnsi="Times New Roman" w:cs="Times New Roman"/>
          <w:iCs/>
          <w:lang w:eastAsia="hi-IN" w:bidi="hi-IN"/>
        </w:rPr>
        <w:t>Como a segurança é um dos elementos diferenciadores de mercado, os principais fornecedores de nuvem competem com propostas abrangentes e robustas de segurança, possivelmente superando o padrão de segurança em data centers próprios dos clientes (e da própria Prefeitura), que possuem menos recursos disponíveis de segurança a serem amortizados sobre uma menor base de usuários. Dentre essas vantagens de segurança na nuvem, destacam-se:</w:t>
      </w:r>
    </w:p>
    <w:p w14:paraId="5DB80FF0"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p>
    <w:p w14:paraId="794853E8" w14:textId="77777777" w:rsidR="00B307DB" w:rsidRPr="00E6193A" w:rsidRDefault="00B307DB" w:rsidP="00B307DB">
      <w:pPr>
        <w:tabs>
          <w:tab w:val="left" w:pos="1418"/>
        </w:tabs>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i/>
        </w:rPr>
        <w:t xml:space="preserve">a) </w:t>
      </w:r>
      <w:r w:rsidRPr="00E6193A">
        <w:rPr>
          <w:rFonts w:ascii="Times New Roman" w:eastAsia="Times New Roman" w:hAnsi="Times New Roman" w:cs="Times New Roman"/>
          <w:i/>
        </w:rPr>
        <w:t>maior resistência a ataques contra a disponibilidade de serviços (</w:t>
      </w:r>
      <w:r w:rsidRPr="00E6193A">
        <w:rPr>
          <w:rFonts w:ascii="Times New Roman" w:eastAsia="Times New Roman" w:hAnsi="Times New Roman" w:cs="Times New Roman"/>
          <w:b/>
          <w:i/>
        </w:rPr>
        <w:t>distributed denial of service</w:t>
      </w:r>
      <w:r w:rsidRPr="00E6193A">
        <w:rPr>
          <w:rFonts w:ascii="Times New Roman" w:eastAsia="Times New Roman" w:hAnsi="Times New Roman" w:cs="Times New Roman"/>
          <w:i/>
        </w:rPr>
        <w:t xml:space="preserve"> - DDoS) devido à maior capacidade do provedor de nuvem para realocar dinamicamente os recursos de filtragem, </w:t>
      </w:r>
      <w:r w:rsidRPr="00E6193A">
        <w:rPr>
          <w:rFonts w:ascii="Times New Roman" w:eastAsia="Times New Roman" w:hAnsi="Times New Roman" w:cs="Times New Roman"/>
          <w:b/>
          <w:i/>
        </w:rPr>
        <w:t>traffic shaping</w:t>
      </w:r>
      <w:r w:rsidRPr="00E6193A">
        <w:rPr>
          <w:rFonts w:ascii="Times New Roman" w:eastAsia="Times New Roman" w:hAnsi="Times New Roman" w:cs="Times New Roman"/>
          <w:i/>
        </w:rPr>
        <w:t>, autenticação, criptografia, etc.</w:t>
      </w:r>
    </w:p>
    <w:p w14:paraId="66C7F6CC" w14:textId="77777777" w:rsidR="00B307DB" w:rsidRPr="00E6193A" w:rsidRDefault="00B307DB" w:rsidP="00B307DB">
      <w:pPr>
        <w:tabs>
          <w:tab w:val="left" w:pos="1418"/>
        </w:tabs>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i/>
        </w:rPr>
        <w:t xml:space="preserve">b) </w:t>
      </w:r>
      <w:r w:rsidRPr="00E6193A">
        <w:rPr>
          <w:rFonts w:ascii="Times New Roman" w:eastAsia="Times New Roman" w:hAnsi="Times New Roman" w:cs="Times New Roman"/>
          <w:i/>
        </w:rPr>
        <w:t>vantagens para auditoria e perícia: o uso de virtualização em computação em nuvem, permite fornecer imagens dedicadas para a perícia forense de máquinas virtuais, acessíveis sem precisar desconectar a infraestrutura operacional, levando a um menor tempo de inatividade durante o período de análise. O uso de nuvem também permite fornecer mais espaço de armazenamento de baixo custo para logs, permitindo conservar registros de atividade mais abrangentes e por mais tempo.</w:t>
      </w:r>
    </w:p>
    <w:p w14:paraId="2053D258" w14:textId="77777777" w:rsidR="00B307DB" w:rsidRPr="00E6193A" w:rsidRDefault="00B307DB" w:rsidP="00B307DB">
      <w:pPr>
        <w:tabs>
          <w:tab w:val="left" w:pos="1418"/>
        </w:tabs>
        <w:spacing w:after="0" w:line="240" w:lineRule="auto"/>
        <w:ind w:left="2835" w:right="-568"/>
        <w:jc w:val="both"/>
        <w:rPr>
          <w:rFonts w:ascii="Times New Roman" w:eastAsia="Times New Roman" w:hAnsi="Times New Roman" w:cs="Times New Roman"/>
          <w:i/>
        </w:rPr>
      </w:pPr>
      <w:r w:rsidRPr="00E6193A">
        <w:rPr>
          <w:rFonts w:ascii="Times New Roman" w:eastAsia="Times New Roman" w:hAnsi="Times New Roman" w:cs="Times New Roman"/>
          <w:b/>
          <w:i/>
        </w:rPr>
        <w:t xml:space="preserve">c) </w:t>
      </w:r>
      <w:r w:rsidRPr="00E6193A">
        <w:rPr>
          <w:rFonts w:ascii="Times New Roman" w:eastAsia="Times New Roman" w:hAnsi="Times New Roman" w:cs="Times New Roman"/>
          <w:i/>
        </w:rPr>
        <w:t xml:space="preserve">atualizações e parametrização padrão de segurança mais efetivas e rápidas: a padronização das imagens de máquinas virtuais e dos módulos de </w:t>
      </w:r>
      <w:r w:rsidRPr="00E6193A">
        <w:rPr>
          <w:rFonts w:ascii="Times New Roman" w:eastAsia="Times New Roman" w:hAnsi="Times New Roman" w:cs="Times New Roman"/>
          <w:b/>
          <w:i/>
        </w:rPr>
        <w:t>software</w:t>
      </w:r>
      <w:r w:rsidRPr="00E6193A">
        <w:rPr>
          <w:rFonts w:ascii="Times New Roman" w:eastAsia="Times New Roman" w:hAnsi="Times New Roman" w:cs="Times New Roman"/>
          <w:i/>
        </w:rPr>
        <w:t xml:space="preserve"> usados ​​pelos clientes possibilita ajustes finos (</w:t>
      </w:r>
      <w:r w:rsidRPr="00E6193A">
        <w:rPr>
          <w:rFonts w:ascii="Times New Roman" w:eastAsia="Times New Roman" w:hAnsi="Times New Roman" w:cs="Times New Roman"/>
          <w:b/>
          <w:i/>
        </w:rPr>
        <w:t>hardening</w:t>
      </w:r>
      <w:r w:rsidRPr="00E6193A">
        <w:rPr>
          <w:rFonts w:ascii="Times New Roman" w:eastAsia="Times New Roman" w:hAnsi="Times New Roman" w:cs="Times New Roman"/>
          <w:i/>
        </w:rPr>
        <w:t>) de parâmetros de segurança, tornando-os mais robustos e otimizados, e atualizações contínuas.</w:t>
      </w:r>
    </w:p>
    <w:p w14:paraId="4AB93277" w14:textId="77777777" w:rsidR="00B307DB" w:rsidRPr="00E6193A" w:rsidRDefault="00B307DB" w:rsidP="00B307DB">
      <w:pPr>
        <w:tabs>
          <w:tab w:val="left" w:pos="1418"/>
        </w:tabs>
        <w:spacing w:after="0" w:line="240" w:lineRule="auto"/>
        <w:ind w:left="2835" w:right="-568"/>
        <w:jc w:val="both"/>
        <w:rPr>
          <w:rFonts w:ascii="Times New Roman" w:eastAsia="Times New Roman" w:hAnsi="Times New Roman" w:cs="Times New Roman"/>
        </w:rPr>
      </w:pPr>
    </w:p>
    <w:p w14:paraId="3DD1D76C"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iCs/>
          <w:lang w:eastAsia="zh-CN" w:bidi="hi-IN"/>
        </w:rPr>
        <w:t xml:space="preserve">3.20.21 </w:t>
      </w:r>
      <w:r w:rsidRPr="00E6193A">
        <w:rPr>
          <w:rFonts w:ascii="Times New Roman" w:eastAsia="SimSun" w:hAnsi="Times New Roman" w:cs="Times New Roman"/>
          <w:iCs/>
          <w:lang w:eastAsia="zh-CN" w:bidi="hi-IN"/>
        </w:rPr>
        <w:t xml:space="preserve">Em conformidade com as diretrizes e melhores práticas de cidadania digital, a acessibilidade e facilidade do acesso aos serviços públicos pelo cidadão deverão ser resguardadas. O Decreto n° 8.936, de 19 de dezembro de 2016, permitiu o início do projeto da plataforma de cidadania digital, que contempla diversas diretrizes para a prestação de serviços públicos digitais, das quais fazem parte a convergência autoritativa e a federação dos processos de autenticação dos serviços digitais. Para essa diretriz foi concebido o conceito da Plataforma de Autenticação Digital do Cidadão, o projeto Login Único, tendo, como destaque no decreto, o mecanismo de acesso digital único por meio do login gov.br. </w:t>
      </w:r>
    </w:p>
    <w:p w14:paraId="36421C0F"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iCs/>
          <w:lang w:eastAsia="zh-CN" w:bidi="hi-IN"/>
        </w:rPr>
        <w:t xml:space="preserve">3.20.22 </w:t>
      </w:r>
      <w:r w:rsidRPr="00E6193A">
        <w:rPr>
          <w:rFonts w:ascii="Times New Roman" w:eastAsia="SimSun" w:hAnsi="Times New Roman" w:cs="Times New Roman"/>
          <w:iCs/>
          <w:lang w:eastAsia="zh-CN" w:bidi="hi-IN"/>
        </w:rPr>
        <w:t>O login gov.br permite evitar a duplicidade e inconsistência de informações, falta de integração, dados dispersos e diversas formas de autenticação. Da mesma forma, verifica-se que são reduzidos os problemas enfrentados por cidadãos ao tentar acessar um serviço público digital. Assim, a Plataforma de Cidadania Digital por meio do login gov.br amplia e simplifica o acesso dos cidadãos brasileiros aos serviços públicos digitais, inclusive por meio de dispositivos móveis, ao mesmo tempo em que facilita a identificação e autenticação do cidadão, privilegiando a governança e a convergência autoritativa. Desta forma, e em cumprimento dessas diretrizes de cidadania digital e governo digital, o sistema de gestão também deverá contemplar acesso pelo login único gov.br, seguindo os protocolos de integração amplamente disponibilizados.</w:t>
      </w:r>
    </w:p>
    <w:p w14:paraId="213B2C6A" w14:textId="77777777" w:rsidR="00B307DB" w:rsidRPr="00E6193A" w:rsidRDefault="00B307DB" w:rsidP="00B307DB">
      <w:pPr>
        <w:spacing w:after="0" w:line="240" w:lineRule="auto"/>
        <w:ind w:right="-568"/>
        <w:jc w:val="both"/>
        <w:rPr>
          <w:rFonts w:ascii="Times New Roman" w:eastAsia="Times New Roman" w:hAnsi="Times New Roman" w:cs="Times New Roman"/>
          <w:shd w:val="clear" w:color="auto" w:fill="FFFFFF"/>
        </w:rPr>
      </w:pPr>
      <w:r w:rsidRPr="00E6193A">
        <w:rPr>
          <w:rFonts w:ascii="Times New Roman" w:eastAsia="Times New Roman" w:hAnsi="Times New Roman" w:cs="Times New Roman"/>
          <w:b/>
          <w:shd w:val="clear" w:color="auto" w:fill="FFFFFF"/>
        </w:rPr>
        <w:t xml:space="preserve">3.20.23 </w:t>
      </w:r>
      <w:r w:rsidRPr="00E6193A">
        <w:rPr>
          <w:rFonts w:ascii="Times New Roman" w:eastAsia="Times New Roman" w:hAnsi="Times New Roman" w:cs="Times New Roman"/>
          <w:shd w:val="clear" w:color="auto" w:fill="FFFFFF"/>
        </w:rPr>
        <w:t>A Administração Pública depende de sistemas informatizados que contem com alta acessibilidade interna (servidores) e externa (comunidade), propiciando compatibilidade com os diversos dispositivos, sistemas operacionais, e navegadores utilizados atualmente. Nesse contexto, encontram-se algumas definições relevantes:</w:t>
      </w:r>
    </w:p>
    <w:p w14:paraId="7623A47D" w14:textId="77777777" w:rsidR="00B307DB" w:rsidRPr="00E6193A" w:rsidRDefault="00B307DB" w:rsidP="00B307DB">
      <w:pPr>
        <w:spacing w:after="0" w:line="240" w:lineRule="auto"/>
        <w:ind w:right="-568"/>
        <w:jc w:val="both"/>
        <w:rPr>
          <w:rFonts w:ascii="Times New Roman" w:eastAsia="Times New Roman" w:hAnsi="Times New Roman" w:cs="Times New Roman"/>
        </w:rPr>
      </w:pPr>
    </w:p>
    <w:p w14:paraId="506A4246"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b/>
          <w:bCs/>
          <w:i/>
          <w:iCs/>
          <w:shd w:val="clear" w:color="auto" w:fill="FFFFFF"/>
        </w:rPr>
        <w:t>Software web:</w:t>
      </w:r>
      <w:r w:rsidRPr="00E6193A">
        <w:rPr>
          <w:rFonts w:ascii="Times New Roman" w:eastAsia="Times New Roman" w:hAnsi="Times New Roman" w:cs="Times New Roman"/>
          <w:i/>
          <w:iCs/>
          <w:shd w:val="clear" w:color="auto" w:fill="FFFFFF"/>
        </w:rPr>
        <w:t xml:space="preserve"> aplicações da Web são programas de software que podem ser acessados por meio de um navegador e conexão com a Internet. Softwares Web fornecem aos usuários qualquer lugar, acesso a qualquer momento e nenhum software precisa ser baixado ou instalado</w:t>
      </w:r>
      <w:r w:rsidRPr="00E6193A">
        <w:rPr>
          <w:rFonts w:ascii="Times New Roman" w:eastAsia="Times New Roman" w:hAnsi="Times New Roman" w:cs="Times New Roman"/>
          <w:i/>
          <w:iCs/>
          <w:shd w:val="clear" w:color="auto" w:fill="FFFFFF"/>
          <w:vertAlign w:val="superscript"/>
        </w:rPr>
        <w:t>2</w:t>
      </w:r>
      <w:r w:rsidRPr="00E6193A">
        <w:rPr>
          <w:rFonts w:ascii="Times New Roman" w:eastAsia="Times New Roman" w:hAnsi="Times New Roman" w:cs="Times New Roman"/>
          <w:i/>
          <w:iCs/>
          <w:shd w:val="clear" w:color="auto" w:fill="FFFFFF"/>
        </w:rPr>
        <w:t>.  (tradução livre)</w:t>
      </w:r>
    </w:p>
    <w:p w14:paraId="177D62CE" w14:textId="77777777" w:rsidR="00B307DB" w:rsidRPr="00E6193A" w:rsidRDefault="00B307DB" w:rsidP="00B307DB">
      <w:pPr>
        <w:spacing w:after="0" w:line="240" w:lineRule="auto"/>
        <w:ind w:left="2835" w:right="-568"/>
        <w:jc w:val="both"/>
        <w:rPr>
          <w:rFonts w:ascii="Times New Roman" w:eastAsia="Times New Roman" w:hAnsi="Times New Roman" w:cs="Times New Roman"/>
          <w:i/>
          <w:iCs/>
          <w:shd w:val="clear" w:color="auto" w:fill="FFFFFF"/>
        </w:rPr>
      </w:pPr>
      <w:r w:rsidRPr="00E6193A">
        <w:rPr>
          <w:rFonts w:ascii="Times New Roman" w:eastAsia="Times New Roman" w:hAnsi="Times New Roman" w:cs="Times New Roman"/>
          <w:b/>
          <w:bCs/>
          <w:i/>
          <w:iCs/>
          <w:shd w:val="clear" w:color="auto" w:fill="FFFFFF"/>
        </w:rPr>
        <w:lastRenderedPageBreak/>
        <w:t>Software em nuvem:</w:t>
      </w:r>
      <w:r w:rsidRPr="00E6193A">
        <w:rPr>
          <w:rFonts w:ascii="Times New Roman" w:eastAsia="Times New Roman" w:hAnsi="Times New Roman" w:cs="Times New Roman"/>
          <w:i/>
          <w:iCs/>
          <w:shd w:val="clear" w:color="auto" w:fill="FFFFFF"/>
        </w:rPr>
        <w:t xml:space="preserve"> uma aplicação hospedada como um serviço em um ambiente de computação em nuvem. (tradução livre)</w:t>
      </w:r>
    </w:p>
    <w:p w14:paraId="4044377A"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p>
    <w:p w14:paraId="14111778"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3.20.24 </w:t>
      </w:r>
      <w:r w:rsidRPr="00E6193A">
        <w:rPr>
          <w:rFonts w:ascii="Times New Roman" w:eastAsia="Times New Roman" w:hAnsi="Times New Roman" w:cs="Times New Roman"/>
          <w:shd w:val="clear" w:color="auto" w:fill="FFFFFF"/>
        </w:rPr>
        <w:t>Note-se, que há proximidade dos conceitos de software web e software em nuvem, visto que os softwares web são normalmente softwares em nuvem com acesso via navegador (com possibilidade de formas complementares de acesso além do navegador, como via interface desktop ou aplicativos), enquanto um software que é “somente” nuvem, mas não web, não terá acesso via navegador web. Dessa forma, os softwares web e em nuvem apresentam vantagens adicionais para a Administração Pública em relação aos softwares “somente” em nuvem:</w:t>
      </w:r>
    </w:p>
    <w:p w14:paraId="6EBE0965" w14:textId="77777777" w:rsidR="00B307DB" w:rsidRPr="00E6193A" w:rsidRDefault="00B307DB" w:rsidP="00B307DB">
      <w:pPr>
        <w:widowControl w:val="0"/>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bCs/>
          <w:shd w:val="clear" w:color="auto" w:fill="FFFFFF"/>
        </w:rPr>
        <w:t xml:space="preserve">a) Compatibilidade: </w:t>
      </w:r>
      <w:r w:rsidRPr="00E6193A">
        <w:rPr>
          <w:rFonts w:ascii="Times New Roman" w:eastAsia="Times New Roman" w:hAnsi="Times New Roman" w:cs="Times New Roman"/>
          <w:shd w:val="clear" w:color="auto" w:fill="FFFFFF"/>
        </w:rPr>
        <w:t>os softwares web apresentam compatibilidade ampliada em relação a aplicações instaladas localmente, pois funcionam através do navegador web, o que promove a compatibilidade entre diversos dispositivos e sistemas operacionais, sejam eles dispositivos desktop ou mobile. Independentemente do uso de Windows, MacOS, Linux, iOS, ou Android, o software web pode ser utilizado. Os softwares que exigem algum download local, como é o caso dos softwares desktop e softwares em nuvem com cliente desktop, apresentam compatibilidade mais reduzida, uma vez que são desenvolvidos para funcionar somente em determinados sistemas operacionais;</w:t>
      </w:r>
    </w:p>
    <w:p w14:paraId="0B7B4761" w14:textId="77777777" w:rsidR="00B307DB" w:rsidRPr="00E6193A" w:rsidRDefault="00B307DB" w:rsidP="00B307DB">
      <w:pPr>
        <w:widowControl w:val="0"/>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bCs/>
          <w:shd w:val="clear" w:color="auto" w:fill="FFFFFF"/>
        </w:rPr>
        <w:t>b) Acessibilidade:</w:t>
      </w:r>
      <w:r w:rsidRPr="00E6193A">
        <w:rPr>
          <w:rFonts w:ascii="Times New Roman" w:eastAsia="Times New Roman" w:hAnsi="Times New Roman" w:cs="Times New Roman"/>
          <w:shd w:val="clear" w:color="auto" w:fill="FFFFFF"/>
        </w:rPr>
        <w:t xml:space="preserve"> expandindo-se no conceito de compatibilidade, os softwares web apresentam acessibilidade ampliada visto que são acessíveis sem a necessidade de instalação local. Desta forma, podem ser imediatamente acessados de qualquer dispositivo com acesso à internet e navegador web, de qualquer lugar e em qualquer horário, mediante credenciais de acesso. Assim, seu funcionamento não depende de possuir determinados sistemas operacionais ou espaço disponível no disco rígido para instalação. Isso é vital para softwares que são acessados por pessoas em diferentes localidades, como é o caso de um sistema de gestão pública (usado pela Administração e pela sociedade), e para continuidade dos trabalhos mesmo em situações que exijam o trabalho remoto, tal como foi o caso durante a pandemia da COVID-19. Com um software web, o sistema de gestão pode ser acessado de qualquer dispositivo com navegador, sem restrição de sistema operacional. Em contraste, um software que exige qualquer download local (desktop) além de atrasar o início da operação com o software (e até impedi-la), restringe a gama de dispositivos que podem ser utilizados, e pode não ser compatível com os sistemas operacionais e dispositivos dos usuários do sistema (servidores e comunidade);</w:t>
      </w:r>
    </w:p>
    <w:p w14:paraId="136E0612" w14:textId="77777777" w:rsidR="00B307DB" w:rsidRPr="00E6193A" w:rsidRDefault="00B307DB" w:rsidP="00B307DB">
      <w:pPr>
        <w:widowControl w:val="0"/>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bCs/>
          <w:shd w:val="clear" w:color="auto" w:fill="FFFFFF"/>
        </w:rPr>
        <w:t xml:space="preserve">c) Facilidade de gestão e segurança com atualizações automáticas: </w:t>
      </w:r>
      <w:r w:rsidRPr="00E6193A">
        <w:rPr>
          <w:rFonts w:ascii="Times New Roman" w:eastAsia="Times New Roman" w:hAnsi="Times New Roman" w:cs="Times New Roman"/>
          <w:shd w:val="clear" w:color="auto" w:fill="FFFFFF"/>
        </w:rPr>
        <w:t xml:space="preserve">em um software web, as atualizações de software são imediatas e automaticamente disponíveis para todos os usuários uma vez que a aplicação é acessada via navegador web, o que elimina a necessidade de atualização do software instalado localmente.  Assim, a atualização do software é facilitada, o que também propicia uma maior segurança da informação visto que se elimina o fator humano e necessidade de ação na atualização de software. Isso garante que a Administração sempre tenha o software atualizado e com as funcionalidades mais recentes, importante para cumprir novas regras contábeis e fiscais, por exemplo. Além disso, em um contexto de segurança da informação, as atualizações de software são essenciais pois incluem correções de vulnerabilidades de softwares, que poderiam ser exploradas por hackers. Com um sistema desktop ou sistema nuvem com </w:t>
      </w:r>
      <w:r w:rsidRPr="00E6193A">
        <w:rPr>
          <w:rFonts w:ascii="Times New Roman" w:eastAsia="Times New Roman" w:hAnsi="Times New Roman" w:cs="Times New Roman"/>
          <w:i/>
          <w:iCs/>
          <w:shd w:val="clear" w:color="auto" w:fill="FFFFFF"/>
        </w:rPr>
        <w:t>thin client</w:t>
      </w:r>
      <w:r w:rsidRPr="00E6193A">
        <w:rPr>
          <w:rFonts w:ascii="Times New Roman" w:eastAsia="Times New Roman" w:hAnsi="Times New Roman" w:cs="Times New Roman"/>
          <w:shd w:val="clear" w:color="auto" w:fill="FFFFFF"/>
        </w:rPr>
        <w:t xml:space="preserve"> desktop, atualizações poderiam ser atrasadas devido ao custo e ao esforço necessários.</w:t>
      </w:r>
    </w:p>
    <w:p w14:paraId="7EEB8BFE" w14:textId="04ADBC63" w:rsidR="00B307DB" w:rsidRPr="00E6193A" w:rsidRDefault="00582952" w:rsidP="00B307DB">
      <w:pPr>
        <w:widowControl w:val="0"/>
        <w:spacing w:after="0" w:line="240" w:lineRule="auto"/>
        <w:ind w:right="-568"/>
        <w:jc w:val="both"/>
        <w:rPr>
          <w:rFonts w:ascii="Times New Roman" w:eastAsia="Times New Roman" w:hAnsi="Times New Roman" w:cs="Times New Roman"/>
        </w:rPr>
      </w:pPr>
      <w:r>
        <w:rPr>
          <w:rFonts w:ascii="Times New Roman" w:eastAsia="Times New Roman" w:hAnsi="Times New Roman" w:cs="Times New Roman"/>
          <w:b/>
          <w:bCs/>
          <w:shd w:val="clear" w:color="auto" w:fill="FFFFFF"/>
        </w:rPr>
        <w:t>d)</w:t>
      </w:r>
      <w:r w:rsidR="00B307DB" w:rsidRPr="00E6193A">
        <w:rPr>
          <w:rFonts w:ascii="Times New Roman" w:eastAsia="Times New Roman" w:hAnsi="Times New Roman" w:cs="Times New Roman"/>
          <w:bCs/>
          <w:shd w:val="clear" w:color="auto" w:fill="FFFFFF"/>
        </w:rPr>
        <w:t xml:space="preserve"> </w:t>
      </w:r>
      <w:r w:rsidR="00B307DB" w:rsidRPr="00E6193A">
        <w:rPr>
          <w:rFonts w:ascii="Times New Roman" w:eastAsia="Times New Roman" w:hAnsi="Times New Roman" w:cs="Times New Roman"/>
          <w:b/>
          <w:bCs/>
          <w:shd w:val="clear" w:color="auto" w:fill="FFFFFF"/>
        </w:rPr>
        <w:t>Redução de custos de TI</w:t>
      </w:r>
      <w:r w:rsidR="00B307DB" w:rsidRPr="00E6193A">
        <w:rPr>
          <w:rFonts w:ascii="Times New Roman" w:eastAsia="Times New Roman" w:hAnsi="Times New Roman" w:cs="Times New Roman"/>
          <w:shd w:val="clear" w:color="auto" w:fill="FFFFFF"/>
        </w:rPr>
        <w:t>: com um software web, não há necessidade de instalação de nenhuma aplicação na máquina local, o que reduz o investimento de tempo, recursos humanos, e recursos financeiros na instalação e atualização do software;</w:t>
      </w:r>
    </w:p>
    <w:p w14:paraId="2D669CF7"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3.20.25 </w:t>
      </w:r>
      <w:r w:rsidRPr="00E6193A">
        <w:rPr>
          <w:rFonts w:ascii="Times New Roman" w:eastAsia="SimSun" w:hAnsi="Times New Roman" w:cs="Times New Roman"/>
          <w:color w:val="000000"/>
          <w:shd w:val="clear" w:color="auto" w:fill="FFFFFF"/>
          <w:lang w:eastAsia="hi-IN" w:bidi="hi-IN"/>
        </w:rPr>
        <w:t>O uso de aplicações desktop ou hibridas, ainda continuará a esbarrar em dificuldades que não existem em softwares web.</w:t>
      </w:r>
    </w:p>
    <w:p w14:paraId="54A075CA"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3.20.26 </w:t>
      </w:r>
      <w:r w:rsidRPr="00E6193A">
        <w:rPr>
          <w:rFonts w:ascii="Times New Roman" w:eastAsia="Times New Roman" w:hAnsi="Times New Roman" w:cs="Times New Roman"/>
          <w:shd w:val="clear" w:color="auto" w:fill="FFFFFF"/>
        </w:rPr>
        <w:t>Em suma, sabendo que as empresas adotam seus protocolos de segurança da informação no desenvolvimento de software de acordo com as principais vulnerabilidades identificadas, e notando que essas vulnerabilidades são distintas entre os ambientes desktop e web, não é razoável assumir que um software desenvolvido para funcionamento em ambiente desktop, e emulado para funcionamento web, terá segurança suficiente para utilização na web, ou comparável a aplicações que desde sua concepção foram projetadas para funcionamento web, com preocupação com os riscos particulares e inerentes desse ambiente.</w:t>
      </w:r>
    </w:p>
    <w:p w14:paraId="2AD399DB"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3.20.26 </w:t>
      </w:r>
      <w:r w:rsidRPr="00E6193A">
        <w:rPr>
          <w:rFonts w:ascii="Times New Roman" w:eastAsia="Times New Roman" w:hAnsi="Times New Roman" w:cs="Times New Roman"/>
          <w:shd w:val="clear" w:color="auto" w:fill="FFFFFF"/>
        </w:rPr>
        <w:t xml:space="preserve">Ainda que a definição de um sistema em nuvem não impeça que o software demande a instalação de um </w:t>
      </w:r>
      <w:r w:rsidRPr="00E6193A">
        <w:rPr>
          <w:rFonts w:ascii="Times New Roman" w:eastAsia="Times New Roman" w:hAnsi="Times New Roman" w:cs="Times New Roman"/>
          <w:i/>
          <w:iCs/>
          <w:shd w:val="clear" w:color="auto" w:fill="FFFFFF"/>
        </w:rPr>
        <w:t>thin client</w:t>
      </w:r>
      <w:r w:rsidRPr="00E6193A">
        <w:rPr>
          <w:rFonts w:ascii="Times New Roman" w:eastAsia="Times New Roman" w:hAnsi="Times New Roman" w:cs="Times New Roman"/>
          <w:shd w:val="clear" w:color="auto" w:fill="FFFFFF"/>
        </w:rPr>
        <w:t xml:space="preserve"> ou interface desktop, as significativas vantagens dos softwares web, ou seja, softwares acessados por meio de navegador e que não exigem instalação local, motiva a observação de tal distinção </w:t>
      </w:r>
      <w:r w:rsidRPr="00E6193A">
        <w:rPr>
          <w:rFonts w:ascii="Times New Roman" w:eastAsia="Times New Roman" w:hAnsi="Times New Roman" w:cs="Times New Roman"/>
          <w:shd w:val="clear" w:color="auto" w:fill="FFFFFF"/>
        </w:rPr>
        <w:lastRenderedPageBreak/>
        <w:t>na elaboração do futuro Termo de Referência, definindo como um software em nuvem e web, que não requer download local.</w:t>
      </w:r>
    </w:p>
    <w:p w14:paraId="12C22760"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3.20.27 </w:t>
      </w:r>
      <w:r w:rsidRPr="00E6193A">
        <w:rPr>
          <w:rFonts w:ascii="Times New Roman" w:eastAsia="Times New Roman" w:hAnsi="Times New Roman" w:cs="Times New Roman"/>
          <w:shd w:val="clear" w:color="auto" w:fill="FFFFFF"/>
        </w:rPr>
        <w:t xml:space="preserve">Essa observação também segue o sabido e notório movimento de mercado, em que mesmo grandes aplicações que historicamente contavam somente com versões desktop tiveram suas versões web lançadas em anos recentes, em face das relevantes vantagens de softwares web. Tem-se nesse universo o Microsoft Office, que em 2015 teve sua versão web lançada, o que facilitou o trabalho e acessibilidade à aplicação, precisando somente de um dispositivo com acesso à Internet e navegador para utilização, e sem requisitos de downloads locais. Há outros exemplos significantes nesse contexto, tais como os ERPs Sankhya e Oracle NetSuite, aplicações de escritório e produtividade Google Workspace, aplicação de design Figma (software web vendido para a Adobe por US$ 20 bilhões), e plataformas de streaming Netflix e Spotify. Tem-se ainda os dados de movimento do mercado, com levantamentos da Cisco® apontando que 94% das empresas globais </w:t>
      </w:r>
      <w:r w:rsidRPr="00E6193A">
        <w:rPr>
          <w:rFonts w:ascii="Times New Roman" w:eastAsia="Times New Roman" w:hAnsi="Times New Roman" w:cs="Times New Roman"/>
        </w:rPr>
        <w:t>utilizariam soluções em nuvem em 2020. Como contraste, dados da pesquisa TIC Governo Eletrônico de 2021 mostram que apenas 31% dos órgãos públicos federais e estaduais utilizam alguma tecnologia em nuvem. Investir em soluções desenvolvidas para esse mesmo ambiente, dessa forma, é investir no que há de mais moderno na tecnologia, impulsionando a inovação, eficiência, e agilidade da Administração Pública. E evitando um novo “apagão” do serviço público administrativo, em eventual e iminente nova pandemia, como relatam estudiosos.</w:t>
      </w:r>
    </w:p>
    <w:p w14:paraId="3D6D45EC"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3.20.28 </w:t>
      </w:r>
      <w:r w:rsidRPr="00E6193A">
        <w:rPr>
          <w:rFonts w:ascii="Times New Roman" w:eastAsia="SimSun" w:hAnsi="Times New Roman" w:cs="Times New Roman"/>
          <w:color w:val="000000"/>
          <w:lang w:eastAsia="zh-CN" w:bidi="hi-IN"/>
        </w:rPr>
        <w:t xml:space="preserve">Outros dados, agora do relatório </w:t>
      </w:r>
      <w:r w:rsidRPr="00E6193A">
        <w:rPr>
          <w:rFonts w:ascii="Times New Roman" w:eastAsia="SimSun" w:hAnsi="Times New Roman" w:cs="Times New Roman"/>
          <w:i/>
          <w:iCs/>
          <w:color w:val="000000"/>
          <w:lang w:eastAsia="zh-CN" w:bidi="hi-IN"/>
        </w:rPr>
        <w:t>The Global Risk Report</w:t>
      </w:r>
      <w:r w:rsidRPr="00E6193A">
        <w:rPr>
          <w:rFonts w:ascii="Times New Roman" w:eastAsia="SimSun" w:hAnsi="Times New Roman" w:cs="Times New Roman"/>
          <w:color w:val="000000"/>
          <w:lang w:eastAsia="zh-CN" w:bidi="hi-IN"/>
        </w:rPr>
        <w:t xml:space="preserve"> do Fórum Econômico Mundial, e d</w:t>
      </w:r>
      <w:r w:rsidRPr="00E6193A">
        <w:rPr>
          <w:rFonts w:ascii="Times New Roman" w:eastAsia="SimSun" w:hAnsi="Times New Roman" w:cs="Times New Roman"/>
          <w:color w:val="000000"/>
          <w:shd w:val="clear" w:color="auto" w:fill="FFFFFF"/>
          <w:lang w:eastAsia="zh-CN" w:bidi="hi-IN"/>
        </w:rPr>
        <w:t>ados da consultoria Gartner, apontam que até 2025, 85% de todas as organizações do mundo operarão sistemas diretamente dentro da nuvem</w:t>
      </w:r>
      <w:r w:rsidRPr="00E6193A">
        <w:rPr>
          <w:rFonts w:ascii="Times New Roman" w:eastAsia="SimSun" w:hAnsi="Times New Roman" w:cs="Times New Roman"/>
          <w:shd w:val="clear" w:color="auto" w:fill="FFFFFF"/>
          <w:lang w:eastAsia="zh-CN" w:bidi="hi-IN"/>
        </w:rPr>
        <w:t>.</w:t>
      </w:r>
      <w:r w:rsidRPr="00E6193A">
        <w:rPr>
          <w:rFonts w:ascii="Times New Roman" w:eastAsia="SimSun" w:hAnsi="Times New Roman" w:cs="Times New Roman"/>
          <w:lang w:eastAsia="zh-CN" w:bidi="hi-IN"/>
        </w:rPr>
        <w:t xml:space="preserve"> Ou seja, o ambiente web é o futuro. Sem sombra de dúvidas, a computação em nuvem, com softwares web se revelou decisiva para a superação de obstáculos durante a </w:t>
      </w:r>
      <w:r w:rsidRPr="00E6193A">
        <w:rPr>
          <w:rFonts w:ascii="Times New Roman" w:eastAsia="SimSun" w:hAnsi="Times New Roman" w:cs="Times New Roman"/>
          <w:color w:val="000000"/>
          <w:shd w:val="clear" w:color="auto" w:fill="FFFFFF"/>
          <w:lang w:eastAsia="zh-CN" w:bidi="hi-IN"/>
        </w:rPr>
        <w:t>de COVID-19, sobretudo para a Administração Pública, evitando os piores cenários da atividade administrativa.</w:t>
      </w:r>
    </w:p>
    <w:p w14:paraId="2420437B"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3.20.29 </w:t>
      </w:r>
      <w:r w:rsidRPr="00E6193A">
        <w:rPr>
          <w:rFonts w:ascii="Times New Roman" w:eastAsia="SimSun" w:hAnsi="Times New Roman" w:cs="Times New Roman"/>
          <w:lang w:eastAsia="zh-CN" w:bidi="hi-IN"/>
        </w:rPr>
        <w:t>A implementação de um ERP web, possibilita a realização de atividades impossíveis em soluções desktop, o enfrentamento de situações de restrição a circulação sem a interrupção dos serviços públicos, além de outras diversas vantagens, segundo apontamentos do Tribunal de Contas da União</w:t>
      </w:r>
      <w:r w:rsidRPr="00E6193A">
        <w:rPr>
          <w:rFonts w:ascii="Times New Roman" w:eastAsia="SimSun" w:hAnsi="Times New Roman" w:cs="Times New Roman"/>
          <w:iCs/>
          <w:shd w:val="clear" w:color="auto" w:fill="FFFFFF"/>
          <w:lang w:eastAsia="zh-CN" w:bidi="hi-IN"/>
        </w:rPr>
        <w:t xml:space="preserve"> Acórdão </w:t>
      </w:r>
      <w:r w:rsidRPr="00E6193A">
        <w:rPr>
          <w:rFonts w:ascii="Times New Roman" w:eastAsia="SimSun" w:hAnsi="Times New Roman" w:cs="Times New Roman"/>
          <w:iCs/>
          <w:lang w:eastAsia="zh-CN" w:bidi="hi-IN"/>
        </w:rPr>
        <w:t xml:space="preserve">TC 025.994/2014-0, entre outros, como </w:t>
      </w:r>
      <w:r w:rsidRPr="00E6193A">
        <w:rPr>
          <w:rFonts w:ascii="Times New Roman" w:eastAsia="SimSun" w:hAnsi="Times New Roman" w:cs="Times New Roman"/>
          <w:lang w:eastAsia="zh-CN" w:bidi="hi-IN"/>
        </w:rPr>
        <w:t xml:space="preserve">poder ser instalado em qualquer PC ligado a internet, sem alterar os atuais requisitos de hardware das máquinas, bem como sua alta disponibilidade, segurança dos dados e da informação (contra vazamentos, ataques cibernéticos, desastres), flexibilidade (podendo-se aumentar ou diminuir recursos sob demanda), mobilidade (por meio de dispositivos conectados à internet, como laptop, tablet, smartfone),  acesso e atualização em tempo real de todas as bases e informações, fácil gestão dos níveis e privilégios de acesso, atualizações automáticas, estabilidade, sustentabilidade (redução do uso/consumo de recursos como papel, impressos gráficos, etc), e possibilite a continuidade da prestação dos serviços públicos e atividades administrativas em situações adversas (como COVID 19 possibilitando atividades em regime de teletrabalho), ampliação do acesso e do uso de informações governamentais, sem necessidade de alocar grandes recursos fixos locais de TI, menos </w:t>
      </w:r>
      <w:r w:rsidRPr="00E6193A">
        <w:rPr>
          <w:rFonts w:ascii="Times New Roman" w:eastAsia="SimSun" w:hAnsi="Times New Roman" w:cs="Times New Roman"/>
          <w:color w:val="191919"/>
          <w:lang w:eastAsia="pt-BR"/>
        </w:rPr>
        <w:t>necessidade de constante atualização de software e hardware caros, Suporte técnico direto na nuvem do software, dispensando intervenção nas maquinas locais, ou manutenção de equipes de TI locais, facilidade de integração e ajuste de escala com flexibilidade.</w:t>
      </w:r>
    </w:p>
    <w:p w14:paraId="04C989DF"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3.20.30 </w:t>
      </w:r>
      <w:r w:rsidRPr="00E6193A">
        <w:rPr>
          <w:rFonts w:ascii="Times New Roman" w:eastAsia="Times New Roman" w:hAnsi="Times New Roman" w:cs="Times New Roman"/>
          <w:shd w:val="clear" w:color="auto" w:fill="FFFFFF"/>
        </w:rPr>
        <w:t>Na escolha da solução a Administração deverá exigir padrões mínimos de segurança, compatibilidade, e usabilidade para os sistemas web, incluindo seu desenvolvimento para uso nativo no ambiente web, descartando soluções que não apresentem estes mesmos padrões, como ocorre com o uso dos emuladores.</w:t>
      </w:r>
    </w:p>
    <w:p w14:paraId="42BAEEBA"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3.20.31 </w:t>
      </w:r>
      <w:r w:rsidRPr="00E6193A">
        <w:rPr>
          <w:rFonts w:ascii="Times New Roman" w:eastAsia="Times New Roman" w:hAnsi="Times New Roman" w:cs="Times New Roman"/>
          <w:shd w:val="clear" w:color="auto" w:fill="FFFFFF"/>
        </w:rPr>
        <w:t>Ainda no objetivo de assegurar a compatibilidade do software com os mais diversos dispositivos e sistemas operacionais, bem como segurança, performance, e confiabilidade da aplicação no ambiente web, uma solução desenvolvida para operação pela internet é aquela desenvolvida utilizando linguagens próprias para a web, o que deve ser exigido pela Administração e não restringe a livre iniciativa do mercado. Como forma de garantir a correta visualização e acessibilidade da aplicação pelos mais diversos navegadores, o Consórcio da World Wide Web (</w:t>
      </w:r>
      <w:r w:rsidRPr="00E6193A">
        <w:rPr>
          <w:rFonts w:ascii="Times New Roman" w:eastAsia="Times New Roman" w:hAnsi="Times New Roman" w:cs="Times New Roman"/>
          <w:i/>
          <w:iCs/>
          <w:shd w:val="clear" w:color="auto" w:fill="FFFFFF"/>
        </w:rPr>
        <w:t>World Wide Web Consortium - W3C)</w:t>
      </w:r>
      <w:r w:rsidRPr="00E6193A">
        <w:rPr>
          <w:rFonts w:ascii="Times New Roman" w:eastAsia="Times New Roman" w:hAnsi="Times New Roman" w:cs="Times New Roman"/>
          <w:shd w:val="clear" w:color="auto" w:fill="FFFFFF"/>
        </w:rPr>
        <w:t xml:space="preserve"> estabelece o HTML e o CSS como sendo as duas tecnologias centrais para a construção da camada de apresentação das aplicações web (front-end). No lado do servidor (back-end), há a necessidade por linguagens com boa performance e escalabilidade, permitindo o uso do software por um grande número de usuários, com agilidade e tráfego de informações otimizado para a web, e contando com recursos básicos para aplicações web como suporte para sessões, usuários, autenticação, e acesso controlado a recursos. Nesse contexto, a escolha de linguagens de programação adequadas ao servidor de uma </w:t>
      </w:r>
      <w:r w:rsidRPr="00E6193A">
        <w:rPr>
          <w:rFonts w:ascii="Times New Roman" w:eastAsia="Times New Roman" w:hAnsi="Times New Roman" w:cs="Times New Roman"/>
          <w:shd w:val="clear" w:color="auto" w:fill="FFFFFF"/>
        </w:rPr>
        <w:lastRenderedPageBreak/>
        <w:t>aplicação web, como Python, C#, PHP (lista não-exaustiva), é importante para garantir níveis adequados de performance e usabilidade da aplicação, não estrangulando a capacidade de link de internet disponível atualmente.</w:t>
      </w:r>
    </w:p>
    <w:p w14:paraId="186530B0"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3.20.32 </w:t>
      </w:r>
      <w:r w:rsidRPr="00E6193A">
        <w:rPr>
          <w:rFonts w:ascii="Times New Roman" w:eastAsia="Times New Roman" w:hAnsi="Times New Roman" w:cs="Times New Roman"/>
          <w:shd w:val="clear" w:color="auto" w:fill="FFFFFF"/>
        </w:rPr>
        <w:t xml:space="preserve">Na contratação de sistemas web, a Administração ainda deve exigir padrões mínimos de segurança no software, e alinhados a requisitos comuns a sistemas web para uso em missão crítica, tal como é um sistema para gestão pública (ERP de grande porte). Dentro dessa necessidade, o sistema de gestão deve configurar-se como uma aplicação resiliente construída com alta disponibilidade e recuperação de desastres. </w:t>
      </w:r>
    </w:p>
    <w:p w14:paraId="7D097E9D"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3.20.33 </w:t>
      </w:r>
      <w:r w:rsidRPr="00E6193A">
        <w:rPr>
          <w:rFonts w:ascii="Times New Roman" w:eastAsia="Times New Roman" w:hAnsi="Times New Roman" w:cs="Times New Roman"/>
          <w:shd w:val="clear" w:color="auto" w:fill="FFFFFF"/>
        </w:rPr>
        <w:t>Dentro do contexto de alta disponibilidade, confiabilidade, e resiliência do sistema, e no padrão de desenvolvimento web, a arquitetura de “n” camadas deve ser empregada, contendo ao menos: camada de apresentação, camada de aplicação, e camada de banco de dados, mas podendo incluir mais camadas. As aplicações web são, por definição, aplicações distribuídas, logo são aplicações em “n” camadas.</w:t>
      </w:r>
    </w:p>
    <w:p w14:paraId="704B5374"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3.20.34 </w:t>
      </w:r>
      <w:r w:rsidRPr="00E6193A">
        <w:rPr>
          <w:rFonts w:ascii="Times New Roman" w:eastAsia="Times New Roman" w:hAnsi="Times New Roman" w:cs="Times New Roman"/>
          <w:shd w:val="clear" w:color="auto" w:fill="FFFFFF"/>
        </w:rPr>
        <w:t>Nessa configuração, a separação da camada de banco de dados e sua hospedagem na nuvem permite que os dados estejam acessíveis de diversos lugares diferentes, e a separação da camada de aplicação e seu armazenamento no servidor web permite rápida atualização das regras de negócio, sem necessidade de alteração da camada de apresentação no navegador. Na arquitetura em “n” camadas, a camada de apresentação e a camada de dados não podem se comunicar diretamente, logo a camada de aplicação pode funcionar como firewall interno, inibindo ataques do tipo SQL Injection e Negação de Serviço através de análise do tráfego, o que aumenta a segurança geral da aplicação. Ainda, em um sistema web a camada de apresentação é carregada no navegador, o que elimina a necessidade de atualização manual ou reinstalação local do cliente, pois as alterações de interface são imediatamente disponíveis mediante acesso pelo navegador, ocasionando economia de tempo e recursos humanos a cada vez que seja necessária a atualização da interface.</w:t>
      </w:r>
    </w:p>
    <w:p w14:paraId="14CD8440"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3.20.35 </w:t>
      </w:r>
      <w:r w:rsidRPr="00E6193A">
        <w:rPr>
          <w:rFonts w:ascii="Times New Roman" w:eastAsia="Times New Roman" w:hAnsi="Times New Roman" w:cs="Times New Roman"/>
          <w:shd w:val="clear" w:color="auto" w:fill="FFFFFF"/>
        </w:rPr>
        <w:t>A arquitetura da aplicação em 2 camadas, no modelo tradicional Cliente/Servidor, mantém as camadas de apresentação e aplicação fortemente conectadas e normalmente executadas no cliente, em que grande parte ou todo o processamento ocorre nos clientes. Logo, tal configuração ocasiona uma carga maior no computador local, que precisaria ter um maior poder de computação, e potencial congestionamento de rede, o que poderia exigir maiores investimentos em link de internet, do que os já existentes. Ainda, visto que a lógica do negócio (camada de aplicação) é tratada no servidor (cliente), há um aumento da complexidade de atualização do sistema: quando a lógica do negócio se altera, seja por uma nova legislação ou requisito funcional, um novo módulo cliente precisa ser distribuído para todos os clientes envolvidos. Há ainda uma maior vulnerabilidade da solução uma vez que o cliente pode se comunicar diretamente com o banco de dados, e potencial perda de performance toda vez que há um aumento do número de usuários. É importante ressaltar que o modelo de desenvolvimento em “n” camadas, com no mínimo as 3 camadas citadas, surgiu motivado pelo desenvolvimento de aplicações web, permitindo um funcionamento mais seguro, consistente e adequado ao ambiente web, reduzindo o tráfego de rede e melhorando o desempenho da aplicação. Desta forma, os modelos tradicionais Cliente/Servidor devem ser evitados nas contratações de sistemas de gestão pública, visto que não há interesse público na contratação de sistemas obsoletos com desempenho inferior e que oneram a Administração com custos subsequentes em infraestrutura, recursos humanos, e investimento de tempo.</w:t>
      </w:r>
    </w:p>
    <w:p w14:paraId="2B574F83"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shd w:val="clear" w:color="auto" w:fill="FFFFFF"/>
          <w:lang w:eastAsia="hi-IN" w:bidi="hi-IN"/>
        </w:rPr>
        <w:t>3.20.36</w:t>
      </w:r>
      <w:r w:rsidRPr="00E6193A">
        <w:rPr>
          <w:rFonts w:ascii="Times New Roman" w:eastAsia="SimSun" w:hAnsi="Times New Roman" w:cs="Times New Roman"/>
          <w:shd w:val="clear" w:color="auto" w:fill="FFFFFF"/>
          <w:lang w:eastAsia="hi-IN" w:bidi="hi-IN"/>
        </w:rPr>
        <w:t xml:space="preserve"> </w:t>
      </w:r>
      <w:r w:rsidRPr="00E6193A">
        <w:rPr>
          <w:rFonts w:ascii="Times New Roman" w:eastAsia="SimSun" w:hAnsi="Times New Roman" w:cs="Times New Roman"/>
          <w:lang w:eastAsia="hi-IN" w:bidi="hi-IN"/>
        </w:rPr>
        <w:t>É de conhecimento público e notório que a massificação do uso da internet também vem aumentando as investidas criminosas, interrompendo serviços e portais, clonando bancos de dados com informações valiosas de empresas e cidadãos sob a custódia dos Entes Públicos, enfim, abrangendo os mais inescrupulosos interesses. A própria Suprema Corte Brasileira (STF) já registrou sinistros e ocorrências de invasão às suas redes de computadores como noticiado amplamente nos jornais e noticiários. Até mesmo contas de comunicação de Ministros do Supremo.</w:t>
      </w:r>
    </w:p>
    <w:p w14:paraId="4F921A46"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3.20.37 </w:t>
      </w:r>
      <w:r w:rsidRPr="00E6193A">
        <w:rPr>
          <w:rFonts w:ascii="Times New Roman" w:eastAsia="Times New Roman" w:hAnsi="Times New Roman" w:cs="Times New Roman"/>
          <w:shd w:val="clear" w:color="auto" w:fill="FFFFFF"/>
        </w:rPr>
        <w:t>No mesmo contexto de alta disponibilidade, resiliência, e recuperação de desastres, há a necessidade da aplicação de tecnologias adequadas para inibir ameaças externas. Um estudo da Verizon de 2022 apontou que os agentes externos (</w:t>
      </w:r>
      <w:r w:rsidRPr="00E6193A">
        <w:rPr>
          <w:rFonts w:ascii="Times New Roman" w:eastAsia="Times New Roman" w:hAnsi="Times New Roman" w:cs="Times New Roman"/>
          <w:i/>
          <w:iCs/>
          <w:shd w:val="clear" w:color="auto" w:fill="FFFFFF"/>
        </w:rPr>
        <w:t>hackers</w:t>
      </w:r>
      <w:r w:rsidRPr="00E6193A">
        <w:rPr>
          <w:rFonts w:ascii="Times New Roman" w:eastAsia="Times New Roman" w:hAnsi="Times New Roman" w:cs="Times New Roman"/>
          <w:shd w:val="clear" w:color="auto" w:fill="FFFFFF"/>
        </w:rPr>
        <w:t>) foram responsáveis por mais de 80% das violações de dados e aplicações naquele ano, padrão de dominância que vem se mantendo desde 2008. Simultaneamente, a IBM aponta que os custos com violações de dados cresceram mais de 10% entre 2020 e 2021, chegando a 4,35 milhões de dólares por violação (</w:t>
      </w:r>
      <w:r w:rsidRPr="00E6193A">
        <w:rPr>
          <w:rFonts w:ascii="Times New Roman" w:eastAsia="Times New Roman" w:hAnsi="Times New Roman" w:cs="Times New Roman"/>
          <w:i/>
          <w:iCs/>
          <w:shd w:val="clear" w:color="auto" w:fill="FFFFFF"/>
        </w:rPr>
        <w:t>data breach</w:t>
      </w:r>
      <w:r w:rsidRPr="00E6193A">
        <w:rPr>
          <w:rFonts w:ascii="Times New Roman" w:eastAsia="Times New Roman" w:hAnsi="Times New Roman" w:cs="Times New Roman"/>
          <w:shd w:val="clear" w:color="auto" w:fill="FFFFFF"/>
        </w:rPr>
        <w:t xml:space="preserve">) em 2022. </w:t>
      </w:r>
    </w:p>
    <w:p w14:paraId="3306C66C"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3.20.38 </w:t>
      </w:r>
      <w:r w:rsidRPr="00E6193A">
        <w:rPr>
          <w:rFonts w:ascii="Times New Roman" w:eastAsia="SimSun" w:hAnsi="Times New Roman" w:cs="Times New Roman"/>
          <w:lang w:eastAsia="hi-IN" w:bidi="hi-IN"/>
        </w:rPr>
        <w:t xml:space="preserve">Segundo a Agência Brasil (agência pública de notícias) o sistema de pagamentos instantâneos brasileiro (PIX), criado e gerenciado pelo Banco Central do Brasil (BC), já teve diversas vezes os dados vazados. Somente em dois desses eventos, um ocorrido nos dias 03 e 05 de dezembro de 2021, e outro </w:t>
      </w:r>
      <w:r w:rsidRPr="00E6193A">
        <w:rPr>
          <w:rFonts w:ascii="Times New Roman" w:eastAsia="SimSun" w:hAnsi="Times New Roman" w:cs="Times New Roman"/>
          <w:lang w:eastAsia="hi-IN" w:bidi="hi-IN"/>
        </w:rPr>
        <w:lastRenderedPageBreak/>
        <w:t xml:space="preserve">em agosto do mesmo ano, no primeiro vazaram 414,5 mil e no segundo 160,1mil dados de clientes incluindo informações de CPF e chave de transação. </w:t>
      </w:r>
    </w:p>
    <w:p w14:paraId="25F6F2A8" w14:textId="77777777" w:rsidR="00B307DB" w:rsidRPr="00E6193A" w:rsidRDefault="00B307DB" w:rsidP="00B307DB">
      <w:pPr>
        <w:widowControl w:val="0"/>
        <w:tabs>
          <w:tab w:val="left" w:pos="1418"/>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3.20.39 </w:t>
      </w:r>
      <w:r w:rsidRPr="00E6193A">
        <w:rPr>
          <w:rFonts w:ascii="Times New Roman" w:eastAsia="SimSun" w:hAnsi="Times New Roman" w:cs="Times New Roman"/>
          <w:iCs/>
          <w:lang w:eastAsia="hi-IN" w:bidi="hi-IN"/>
        </w:rPr>
        <w:t xml:space="preserve">Por isso, no setor de TI cada vez mais é imprescindível, indispensável a utilização de um bom recurso de Firewall de Borda. </w:t>
      </w:r>
      <w:r w:rsidRPr="00E6193A">
        <w:rPr>
          <w:rFonts w:ascii="Times New Roman" w:eastAsia="SimSun" w:hAnsi="Times New Roman" w:cs="Times New Roman"/>
          <w:i/>
          <w:iCs/>
          <w:lang w:eastAsia="hi-IN" w:bidi="hi-IN"/>
        </w:rPr>
        <w:t>O Firewall de Borda é um sistema desenvolvido para prevenir o acesso não autorizado a uma rede privada, ou proveniente dela. A tarefa básica do Firewall é controlar o tráfego entre redes de computadores com diferentes níveis de confiança, como a rede Internet (zona não confiável), a rede de servidores (zona desmilitarizada) e a rede interna de uma empresa (zona confiável). Além desse sistema ser capaz de restringir e controlar o fluxo do tráfego de dados entre redes, mais comumente entre uma rede interna e a Internet, os Firewalls podem estabelecer regiões seguras entre redes internas, criando perímetros de segurança com políticas específicas para os sistemas que abrigam</w:t>
      </w:r>
      <w:r w:rsidRPr="00E6193A">
        <w:rPr>
          <w:rFonts w:ascii="Times New Roman" w:eastAsia="SimSun" w:hAnsi="Times New Roman" w:cs="Times New Roman"/>
          <w:lang w:eastAsia="hi-IN" w:bidi="hi-IN"/>
        </w:rPr>
        <w:t>.</w:t>
      </w:r>
    </w:p>
    <w:p w14:paraId="0DC7CD35" w14:textId="77777777" w:rsidR="00B307DB" w:rsidRPr="00E6193A" w:rsidRDefault="00B307DB" w:rsidP="00B307DB">
      <w:pPr>
        <w:widowControl w:val="0"/>
        <w:tabs>
          <w:tab w:val="left" w:pos="1418"/>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3.20.40 </w:t>
      </w:r>
      <w:r w:rsidRPr="00E6193A">
        <w:rPr>
          <w:rFonts w:ascii="Times New Roman" w:eastAsia="SimSun" w:hAnsi="Times New Roman" w:cs="Times New Roman"/>
          <w:iCs/>
          <w:lang w:eastAsia="hi-IN" w:bidi="hi-IN"/>
        </w:rPr>
        <w:t>O Tribunal de Contas da União alerta, nesse sentido</w:t>
      </w:r>
      <w:r w:rsidRPr="00E6193A">
        <w:rPr>
          <w:rFonts w:ascii="Times New Roman" w:eastAsia="SimSun" w:hAnsi="Times New Roman" w:cs="Times New Roman"/>
          <w:i/>
          <w:lang w:eastAsia="hi-IN" w:bidi="hi-IN"/>
        </w:rPr>
        <w:t xml:space="preserve">, que </w:t>
      </w:r>
      <w:r w:rsidRPr="00E6193A">
        <w:rPr>
          <w:rFonts w:ascii="Times New Roman" w:eastAsia="SimSun" w:hAnsi="Times New Roman" w:cs="Times New Roman"/>
          <w:iCs/>
          <w:lang w:eastAsia="hi-IN" w:bidi="hi-IN"/>
        </w:rPr>
        <w:t>as maciças concentrações de recursos e dados nos provedores de computação em nuvem podem representar um alvo atraente para possíveis atacantes</w:t>
      </w:r>
      <w:r w:rsidRPr="00E6193A">
        <w:rPr>
          <w:rFonts w:ascii="Times New Roman" w:eastAsia="SimSun" w:hAnsi="Times New Roman" w:cs="Times New Roman"/>
          <w:i/>
          <w:lang w:eastAsia="hi-IN" w:bidi="hi-IN"/>
        </w:rPr>
        <w:t>.</w:t>
      </w:r>
    </w:p>
    <w:p w14:paraId="45182A3E" w14:textId="77777777" w:rsidR="00B307DB" w:rsidRPr="00E6193A" w:rsidRDefault="00B307DB" w:rsidP="00B307DB">
      <w:pPr>
        <w:widowControl w:val="0"/>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3.20.41 </w:t>
      </w:r>
      <w:r w:rsidRPr="00E6193A">
        <w:rPr>
          <w:rFonts w:ascii="Times New Roman" w:eastAsia="SimSun" w:hAnsi="Times New Roman" w:cs="Times New Roman"/>
          <w:lang w:eastAsia="zh-CN" w:bidi="hi-IN"/>
        </w:rPr>
        <w:t>A Lei nº 7.783/1989, em seu art. 10, inciso IX, considera o processamento de dados, ligados a serviços públicos, como atividade essencial. Invocando-se a responsabilidade objetiva do Estado enraizada no artigo 37, § 6º da Constituição Federal, concomitantemente ao art. 43 do Código Civil e art. 22 do Código de Defesa do Consumidor, caberá em caso de serviços oferecidos ao cidadão (exemplo Nota Fiscal Eletrônica de Serviços, Consultas e Exames, etc), em caso de indisponibilidade temporária, prolongada ou permanente, a responsabilização primária da Administração, de maneira solidária, a qualquer invocação de danos a terceiros. Podendo configurar graves prejuízos ao erário público.</w:t>
      </w:r>
    </w:p>
    <w:p w14:paraId="4B196B02"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spacing w:val="2"/>
          <w:shd w:val="clear" w:color="auto" w:fill="FFFFFF"/>
          <w:lang w:eastAsia="hi-IN" w:bidi="hi-IN"/>
        </w:rPr>
        <w:t xml:space="preserve">3.20.42 </w:t>
      </w:r>
      <w:r w:rsidRPr="00E6193A">
        <w:rPr>
          <w:rFonts w:ascii="Times New Roman" w:eastAsia="SimSun" w:hAnsi="Times New Roman" w:cs="Times New Roman"/>
          <w:spacing w:val="2"/>
          <w:shd w:val="clear" w:color="auto" w:fill="FFFFFF"/>
          <w:lang w:eastAsia="hi-IN" w:bidi="hi-IN"/>
        </w:rPr>
        <w:t>Nesse contexto, deve ser observada a redação do art. 28 do Decreto Lei nº 4.657/1942 (LINDB), imprimindo que “</w:t>
      </w:r>
      <w:r w:rsidRPr="00E6193A">
        <w:rPr>
          <w:rFonts w:ascii="Times New Roman" w:eastAsia="SimSun" w:hAnsi="Times New Roman" w:cs="Times New Roman"/>
          <w:i/>
          <w:iCs/>
          <w:spacing w:val="2"/>
          <w:shd w:val="clear" w:color="auto" w:fill="FFFFFF"/>
          <w:lang w:eastAsia="hi-IN" w:bidi="hi-IN"/>
        </w:rPr>
        <w:t xml:space="preserve">o agente público responderá pessoalmente por suas decisões ou opiniões técnicas em caso de dolo ou </w:t>
      </w:r>
      <w:r w:rsidRPr="00E6193A">
        <w:rPr>
          <w:rFonts w:ascii="Times New Roman" w:eastAsia="SimSun" w:hAnsi="Times New Roman" w:cs="Times New Roman"/>
          <w:i/>
          <w:iCs/>
          <w:spacing w:val="2"/>
          <w:u w:val="single"/>
          <w:shd w:val="clear" w:color="auto" w:fill="FFFFFF"/>
          <w:lang w:eastAsia="hi-IN" w:bidi="hi-IN"/>
        </w:rPr>
        <w:t>erro grosseiro</w:t>
      </w:r>
      <w:r w:rsidRPr="00E6193A">
        <w:rPr>
          <w:rFonts w:ascii="Times New Roman" w:eastAsia="SimSun" w:hAnsi="Times New Roman" w:cs="Times New Roman"/>
          <w:spacing w:val="2"/>
          <w:shd w:val="clear" w:color="auto" w:fill="FFFFFF"/>
          <w:lang w:eastAsia="hi-IN" w:bidi="hi-IN"/>
        </w:rPr>
        <w:t>”. Principalmente se existem previamente orientações previstas quanto a matéria, de conhecimento geral, como expostos nesse estudo.</w:t>
      </w:r>
    </w:p>
    <w:p w14:paraId="292B0771"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3.20.43 </w:t>
      </w:r>
      <w:r w:rsidRPr="00E6193A">
        <w:rPr>
          <w:rFonts w:ascii="Times New Roman" w:eastAsia="SimSun" w:hAnsi="Times New Roman" w:cs="Times New Roman"/>
          <w:lang w:eastAsia="hi-IN" w:bidi="hi-IN"/>
        </w:rPr>
        <w:t>Em âmbito nacional e geral, a Lei Geral de Proteção de Dados Pessoais (Lei nº 13.709/2018 – LGPD) estabelece uma série de critérios e responsabilidades quanto ao tratamento e uso de dados de terceiros, aplicando-se diretamente aos sistemas de gestão pública. O que não pode ser ignorado, cabendo exigir os recursos necessários a segurança da informação e redução de riscos de incidentes.</w:t>
      </w:r>
    </w:p>
    <w:p w14:paraId="72C93A1D" w14:textId="77777777" w:rsidR="00B307DB" w:rsidRPr="00E6193A" w:rsidRDefault="00B307DB" w:rsidP="00B307DB">
      <w:pPr>
        <w:widowControl w:val="0"/>
        <w:spacing w:after="0" w:line="240" w:lineRule="auto"/>
        <w:ind w:right="-568"/>
        <w:jc w:val="both"/>
        <w:rPr>
          <w:rFonts w:ascii="Times New Roman" w:eastAsia="SimSun" w:hAnsi="Times New Roman" w:cs="Times New Roman"/>
          <w:color w:val="000000"/>
          <w:shd w:val="clear" w:color="auto" w:fill="FFFFFF"/>
          <w:lang w:eastAsia="hi-IN" w:bidi="hi-IN"/>
        </w:rPr>
      </w:pPr>
      <w:r w:rsidRPr="00E6193A">
        <w:rPr>
          <w:rFonts w:ascii="Times New Roman" w:eastAsia="SimSun" w:hAnsi="Times New Roman" w:cs="Times New Roman"/>
          <w:b/>
          <w:spacing w:val="2"/>
          <w:shd w:val="clear" w:color="auto" w:fill="FFFFFF"/>
          <w:lang w:eastAsia="hi-IN" w:bidi="hi-IN"/>
        </w:rPr>
        <w:t xml:space="preserve">3.20.44 </w:t>
      </w:r>
      <w:r w:rsidRPr="00E6193A">
        <w:rPr>
          <w:rFonts w:ascii="Times New Roman" w:eastAsia="SimSun" w:hAnsi="Times New Roman" w:cs="Times New Roman"/>
          <w:spacing w:val="2"/>
          <w:shd w:val="clear" w:color="auto" w:fill="FFFFFF"/>
          <w:lang w:eastAsia="hi-IN" w:bidi="hi-IN"/>
        </w:rPr>
        <w:t>As diretrizes em questão partem, entre outras, do Acordão n</w:t>
      </w:r>
      <w:r w:rsidRPr="00E6193A">
        <w:rPr>
          <w:rFonts w:ascii="Times New Roman" w:eastAsia="SimSun" w:hAnsi="Times New Roman" w:cs="Times New Roman"/>
          <w:caps/>
          <w:color w:val="000000"/>
          <w:shd w:val="clear" w:color="auto" w:fill="FFFFFF"/>
          <w:lang w:eastAsia="hi-IN" w:bidi="hi-IN"/>
        </w:rPr>
        <w:t>º 71/2007- TCU– P</w:t>
      </w:r>
      <w:r w:rsidRPr="00E6193A">
        <w:rPr>
          <w:rFonts w:ascii="Times New Roman" w:eastAsia="SimSun" w:hAnsi="Times New Roman" w:cs="Times New Roman"/>
          <w:color w:val="000000"/>
          <w:shd w:val="clear" w:color="auto" w:fill="FFFFFF"/>
          <w:lang w:eastAsia="hi-IN" w:bidi="hi-IN"/>
        </w:rPr>
        <w:t>lenário</w:t>
      </w:r>
      <w:r w:rsidRPr="00E6193A">
        <w:rPr>
          <w:rFonts w:ascii="Times New Roman" w:eastAsia="SimSun" w:hAnsi="Times New Roman" w:cs="Times New Roman"/>
          <w:caps/>
          <w:color w:val="000000"/>
          <w:shd w:val="clear" w:color="auto" w:fill="FFFFFF"/>
          <w:lang w:eastAsia="hi-IN" w:bidi="hi-IN"/>
        </w:rPr>
        <w:t xml:space="preserve">, </w:t>
      </w:r>
      <w:r w:rsidRPr="00E6193A">
        <w:rPr>
          <w:rFonts w:ascii="Times New Roman" w:eastAsia="SimSun" w:hAnsi="Times New Roman" w:cs="Times New Roman"/>
          <w:color w:val="000000"/>
          <w:shd w:val="clear" w:color="auto" w:fill="FFFFFF"/>
          <w:lang w:eastAsia="hi-IN" w:bidi="hi-IN"/>
        </w:rPr>
        <w:t>exarado pelo Tribunal de Contas da União, em manifesto assim consignado:</w:t>
      </w:r>
    </w:p>
    <w:p w14:paraId="2CC74FFD"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p>
    <w:p w14:paraId="755474A6" w14:textId="77777777" w:rsidR="00B307DB" w:rsidRPr="00E6193A" w:rsidRDefault="00B307DB" w:rsidP="00B307DB">
      <w:pPr>
        <w:widowControl w:val="0"/>
        <w:spacing w:after="0" w:line="240" w:lineRule="auto"/>
        <w:ind w:left="2835" w:right="-568"/>
        <w:jc w:val="both"/>
        <w:rPr>
          <w:rFonts w:ascii="Times New Roman" w:eastAsia="SimSun" w:hAnsi="Times New Roman" w:cs="Times New Roman"/>
          <w:color w:val="000000"/>
          <w:shd w:val="clear" w:color="auto" w:fill="FFFFFF"/>
          <w:lang w:eastAsia="hi-IN" w:bidi="hi-IN"/>
        </w:rPr>
      </w:pPr>
      <w:r w:rsidRPr="00E6193A">
        <w:rPr>
          <w:rFonts w:ascii="Times New Roman" w:eastAsia="SimSun" w:hAnsi="Times New Roman" w:cs="Times New Roman"/>
          <w:color w:val="000000"/>
          <w:shd w:val="clear" w:color="auto" w:fill="FFFFFF"/>
          <w:lang w:eastAsia="hi-IN" w:bidi="hi-IN"/>
        </w:rPr>
        <w:t>"</w:t>
      </w:r>
      <w:r w:rsidRPr="00E6193A">
        <w:rPr>
          <w:rFonts w:ascii="Times New Roman" w:eastAsia="SimSun" w:hAnsi="Times New Roman" w:cs="Times New Roman"/>
          <w:i/>
          <w:iCs/>
          <w:color w:val="000000"/>
          <w:shd w:val="clear" w:color="auto" w:fill="FFFFFF"/>
          <w:lang w:eastAsia="hi-IN" w:bidi="hi-IN"/>
        </w:rPr>
        <w:t>9.4. determinar, com fulcro no art. 43, inciso I, da Lei 8.443/92 c/c o art. 250, inciso II, do Regimento Interno do TCU, à Coordenação-Geral de Logística do Ministério da Justiça - CGL/MJ que </w:t>
      </w:r>
      <w:r w:rsidRPr="00E6193A">
        <w:rPr>
          <w:rFonts w:ascii="Times New Roman" w:eastAsia="SimSun" w:hAnsi="Times New Roman" w:cs="Times New Roman"/>
          <w:b/>
          <w:bCs/>
          <w:i/>
          <w:iCs/>
          <w:color w:val="000000"/>
          <w:shd w:val="clear" w:color="auto" w:fill="FFFFFF"/>
          <w:lang w:eastAsia="hi-IN" w:bidi="hi-IN"/>
        </w:rPr>
        <w:t>nos contratos de serviços relativos à área de TI, defina claramente, </w:t>
      </w:r>
      <w:r w:rsidRPr="00E6193A">
        <w:rPr>
          <w:rFonts w:ascii="Times New Roman" w:eastAsia="SimSun" w:hAnsi="Times New Roman" w:cs="Times New Roman"/>
          <w:b/>
          <w:bCs/>
          <w:i/>
          <w:iCs/>
          <w:color w:val="000000"/>
          <w:u w:val="single"/>
          <w:shd w:val="clear" w:color="auto" w:fill="FFFFFF"/>
          <w:lang w:eastAsia="hi-IN" w:bidi="hi-IN"/>
        </w:rPr>
        <w:t>tanto nos editais de licitação como nos contratos</w:t>
      </w:r>
      <w:r w:rsidRPr="00E6193A">
        <w:rPr>
          <w:rFonts w:ascii="Times New Roman" w:eastAsia="SimSun" w:hAnsi="Times New Roman" w:cs="Times New Roman"/>
          <w:b/>
          <w:bCs/>
          <w:i/>
          <w:iCs/>
          <w:color w:val="000000"/>
          <w:shd w:val="clear" w:color="auto" w:fill="FFFFFF"/>
          <w:lang w:eastAsia="hi-IN" w:bidi="hi-IN"/>
        </w:rPr>
        <w:t>, cláusulas contemplando </w:t>
      </w:r>
      <w:r w:rsidRPr="00E6193A">
        <w:rPr>
          <w:rFonts w:ascii="Times New Roman" w:eastAsia="SimSun" w:hAnsi="Times New Roman" w:cs="Times New Roman"/>
          <w:b/>
          <w:bCs/>
          <w:i/>
          <w:iCs/>
          <w:color w:val="000000"/>
          <w:u w:val="single"/>
          <w:shd w:val="clear" w:color="auto" w:fill="FFFFFF"/>
          <w:lang w:eastAsia="hi-IN" w:bidi="hi-IN"/>
        </w:rPr>
        <w:t>requisitos de segurança da informação</w:t>
      </w:r>
      <w:r w:rsidRPr="00E6193A">
        <w:rPr>
          <w:rFonts w:ascii="Times New Roman" w:eastAsia="SimSun" w:hAnsi="Times New Roman" w:cs="Times New Roman"/>
          <w:i/>
          <w:iCs/>
          <w:color w:val="000000"/>
          <w:shd w:val="clear" w:color="auto" w:fill="FFFFFF"/>
          <w:lang w:eastAsia="hi-IN" w:bidi="hi-IN"/>
        </w:rPr>
        <w:t> como os previstos no item 6.2.3 da NBR ISO/IEC 17799:2005</w:t>
      </w:r>
      <w:r w:rsidRPr="00E6193A">
        <w:rPr>
          <w:rFonts w:ascii="Times New Roman" w:eastAsia="SimSun" w:hAnsi="Times New Roman" w:cs="Times New Roman"/>
          <w:color w:val="000000"/>
          <w:shd w:val="clear" w:color="auto" w:fill="FFFFFF"/>
          <w:lang w:eastAsia="hi-IN" w:bidi="hi-IN"/>
        </w:rPr>
        <w:t>".</w:t>
      </w:r>
    </w:p>
    <w:p w14:paraId="440BF90B" w14:textId="77777777" w:rsidR="00B307DB" w:rsidRPr="00E6193A" w:rsidRDefault="00B307DB" w:rsidP="00B307DB">
      <w:pPr>
        <w:widowControl w:val="0"/>
        <w:spacing w:after="0" w:line="240" w:lineRule="auto"/>
        <w:ind w:left="2835" w:right="-568"/>
        <w:jc w:val="both"/>
        <w:rPr>
          <w:rFonts w:ascii="Times New Roman" w:eastAsia="SimSun" w:hAnsi="Times New Roman" w:cs="Times New Roman"/>
          <w:lang w:eastAsia="hi-IN" w:bidi="hi-IN"/>
        </w:rPr>
      </w:pPr>
    </w:p>
    <w:p w14:paraId="1A5DF4D6"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3.20.45 </w:t>
      </w:r>
      <w:r w:rsidRPr="00E6193A">
        <w:rPr>
          <w:rFonts w:ascii="Times New Roman" w:eastAsia="Times New Roman" w:hAnsi="Times New Roman" w:cs="Times New Roman"/>
          <w:shd w:val="clear" w:color="auto" w:fill="FFFFFF"/>
        </w:rPr>
        <w:t xml:space="preserve">Diante de uma necessidade mais ampla de usabilidade, e ainda dentro e requisitos básicos de segurança para sistemas web, a Administração deverá assegurar que o uso da solução em rotinas corriqueiras não irá exigir a instalação local de </w:t>
      </w:r>
      <w:r w:rsidRPr="00E6193A">
        <w:rPr>
          <w:rFonts w:ascii="Times New Roman" w:eastAsia="Times New Roman" w:hAnsi="Times New Roman" w:cs="Times New Roman"/>
          <w:i/>
          <w:iCs/>
          <w:shd w:val="clear" w:color="auto" w:fill="FFFFFF"/>
        </w:rPr>
        <w:t>plugins</w:t>
      </w:r>
      <w:r w:rsidRPr="00E6193A">
        <w:rPr>
          <w:rFonts w:ascii="Times New Roman" w:eastAsia="Times New Roman" w:hAnsi="Times New Roman" w:cs="Times New Roman"/>
          <w:shd w:val="clear" w:color="auto" w:fill="FFFFFF"/>
        </w:rPr>
        <w:t xml:space="preserve"> ou </w:t>
      </w:r>
      <w:r w:rsidRPr="00E6193A">
        <w:rPr>
          <w:rFonts w:ascii="Times New Roman" w:eastAsia="Times New Roman" w:hAnsi="Times New Roman" w:cs="Times New Roman"/>
          <w:i/>
          <w:iCs/>
          <w:shd w:val="clear" w:color="auto" w:fill="FFFFFF"/>
        </w:rPr>
        <w:t>runtime environments</w:t>
      </w:r>
      <w:r w:rsidRPr="00E6193A">
        <w:rPr>
          <w:rFonts w:ascii="Times New Roman" w:eastAsia="Times New Roman" w:hAnsi="Times New Roman" w:cs="Times New Roman"/>
          <w:shd w:val="clear" w:color="auto" w:fill="FFFFFF"/>
        </w:rPr>
        <w:t xml:space="preserve">. Esse requisito visa evitar em um sentido mais direto os riscos A06:2021 e </w:t>
      </w:r>
      <w:r w:rsidRPr="00E6193A">
        <w:rPr>
          <w:rFonts w:ascii="Times New Roman" w:eastAsia="Times New Roman" w:hAnsi="Times New Roman" w:cs="Times New Roman"/>
          <w:iCs/>
          <w:shd w:val="clear" w:color="auto" w:fill="FFFFFF"/>
        </w:rPr>
        <w:t xml:space="preserve">A08:2021 </w:t>
      </w:r>
      <w:r w:rsidRPr="00E6193A">
        <w:rPr>
          <w:rFonts w:ascii="Times New Roman" w:eastAsia="Times New Roman" w:hAnsi="Times New Roman" w:cs="Times New Roman"/>
          <w:shd w:val="clear" w:color="auto" w:fill="FFFFFF"/>
        </w:rPr>
        <w:t xml:space="preserve">da OWASP, em que o download local de </w:t>
      </w:r>
      <w:r w:rsidRPr="00E6193A">
        <w:rPr>
          <w:rFonts w:ascii="Times New Roman" w:eastAsia="Times New Roman" w:hAnsi="Times New Roman" w:cs="Times New Roman"/>
          <w:i/>
          <w:iCs/>
          <w:shd w:val="clear" w:color="auto" w:fill="FFFFFF"/>
        </w:rPr>
        <w:t>runtime environments</w:t>
      </w:r>
      <w:r w:rsidRPr="00E6193A">
        <w:rPr>
          <w:rFonts w:ascii="Times New Roman" w:eastAsia="Times New Roman" w:hAnsi="Times New Roman" w:cs="Times New Roman"/>
          <w:shd w:val="clear" w:color="auto" w:fill="FFFFFF"/>
        </w:rPr>
        <w:t xml:space="preserve"> e plugins pode expor o dispositivo cliente e rede local a vulnerabilidades adicionais, ainda mais se tais instalações não forem mantidas propriamente atualizadas mediante ação do usuário. Softwares instalados de runtime como o </w:t>
      </w:r>
      <w:r w:rsidRPr="00E6193A">
        <w:rPr>
          <w:rFonts w:ascii="Times New Roman" w:eastAsia="Times New Roman" w:hAnsi="Times New Roman" w:cs="Times New Roman"/>
          <w:i/>
          <w:iCs/>
          <w:shd w:val="clear" w:color="auto" w:fill="FFFFFF"/>
        </w:rPr>
        <w:t>Java Runtime Environment</w:t>
      </w:r>
      <w:r w:rsidRPr="00E6193A">
        <w:rPr>
          <w:rFonts w:ascii="Times New Roman" w:eastAsia="Times New Roman" w:hAnsi="Times New Roman" w:cs="Times New Roman"/>
          <w:shd w:val="clear" w:color="auto" w:fill="FFFFFF"/>
        </w:rPr>
        <w:t xml:space="preserve"> (JRE) podem representar um risco de segurança da informação adicional quando utilizados com suas configurações padrão, além de apresentarem diversas outras vulnerabilidades adicionais extensivamente documentadas. O usuário leigo, que é a grande maioria, dificilmente saberá realizar uma configuração avançada ou identificar riscos sutis. Nesse sentido, a Universidade de Yale (Yale University) determinou em 2021 a desinstalação do JRE de mais de 8.200 (oito mil e duzentos) dispositivos, removendo o software vulnerável que colocava a Universidade em risco maior para possíveis ataques cibernéticos. Embora a Oracle esteja continuamente lançando novas versões do JRE para mitigar as vulnerabilidades identificadas, seu risco de segurança é considerável. Notadamente, a própria Java recomenda a </w:t>
      </w:r>
      <w:r w:rsidRPr="00E6193A">
        <w:rPr>
          <w:rFonts w:ascii="Times New Roman" w:eastAsia="Times New Roman" w:hAnsi="Times New Roman" w:cs="Times New Roman"/>
          <w:shd w:val="clear" w:color="auto" w:fill="FFFFFF"/>
        </w:rPr>
        <w:lastRenderedPageBreak/>
        <w:t xml:space="preserve">desinstalação de versões anteriores do JRE, que “apresentam um sério risco de segurança”, e especifica que algumas aplicações que dependem do JRE não são compatíveis com sua versão mais recente. </w:t>
      </w:r>
    </w:p>
    <w:p w14:paraId="2186876B"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3.20.46 </w:t>
      </w:r>
      <w:r w:rsidRPr="00E6193A">
        <w:rPr>
          <w:rFonts w:ascii="Times New Roman" w:eastAsia="Times New Roman" w:hAnsi="Times New Roman" w:cs="Times New Roman"/>
          <w:shd w:val="clear" w:color="auto" w:fill="FFFFFF"/>
        </w:rPr>
        <w:t>Não obstante, os mesmos requisitos de acessibilidade e usabilidade do sistema de gestão que justificam a especificação por um sistema web, e não desktop, e que portando especificam soluções que não exijam downloads e instalações locais da aplicação, justificam a especificação por padrões de arquitetura que não exijam instalações locais de plugins e softwares de terceiros para acesso a rotinas básicas do sistema. Tal requisito segue ainda os Princípios para Design de Plataformas Web (</w:t>
      </w:r>
      <w:r w:rsidRPr="00E6193A">
        <w:rPr>
          <w:rFonts w:ascii="Times New Roman" w:eastAsia="Times New Roman" w:hAnsi="Times New Roman" w:cs="Times New Roman"/>
          <w:i/>
          <w:iCs/>
          <w:shd w:val="clear" w:color="auto" w:fill="FFFFFF"/>
        </w:rPr>
        <w:t>Web Platform Design Principles</w:t>
      </w:r>
      <w:r w:rsidRPr="00E6193A">
        <w:rPr>
          <w:rFonts w:ascii="Times New Roman" w:eastAsia="Times New Roman" w:hAnsi="Times New Roman" w:cs="Times New Roman"/>
          <w:shd w:val="clear" w:color="auto" w:fill="FFFFFF"/>
        </w:rPr>
        <w:t xml:space="preserve">) da W3C, que determina que os recursos devem preservar a expectativa dos usuários que o acesso a uma página web é seguro, e que não requer instalações locais, atividade que apresenta riscos adicionais frente ao acesso nativo no navegador. </w:t>
      </w:r>
    </w:p>
    <w:p w14:paraId="4105C6E6"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3.20.47 </w:t>
      </w:r>
      <w:r w:rsidRPr="00E6193A">
        <w:rPr>
          <w:rFonts w:ascii="Times New Roman" w:eastAsia="Times New Roman" w:hAnsi="Times New Roman" w:cs="Times New Roman"/>
          <w:shd w:val="clear" w:color="auto" w:fill="FFFFFF"/>
        </w:rPr>
        <w:t xml:space="preserve">No contexto de um sistema para gestão pública cujo maior usuário é a comunidade, e não os servidores públicos, a exigência de instalação local de quaisquer </w:t>
      </w:r>
      <w:r w:rsidRPr="00E6193A">
        <w:rPr>
          <w:rFonts w:ascii="Times New Roman" w:eastAsia="Times New Roman" w:hAnsi="Times New Roman" w:cs="Times New Roman"/>
          <w:i/>
          <w:iCs/>
          <w:shd w:val="clear" w:color="auto" w:fill="FFFFFF"/>
        </w:rPr>
        <w:t>plugins</w:t>
      </w:r>
      <w:r w:rsidRPr="00E6193A">
        <w:rPr>
          <w:rFonts w:ascii="Times New Roman" w:eastAsia="Times New Roman" w:hAnsi="Times New Roman" w:cs="Times New Roman"/>
          <w:shd w:val="clear" w:color="auto" w:fill="FFFFFF"/>
        </w:rPr>
        <w:t xml:space="preserve"> e </w:t>
      </w:r>
      <w:r w:rsidRPr="00E6193A">
        <w:rPr>
          <w:rFonts w:ascii="Times New Roman" w:eastAsia="Times New Roman" w:hAnsi="Times New Roman" w:cs="Times New Roman"/>
          <w:i/>
          <w:iCs/>
          <w:shd w:val="clear" w:color="auto" w:fill="FFFFFF"/>
        </w:rPr>
        <w:t>runtimes</w:t>
      </w:r>
      <w:r w:rsidRPr="00E6193A">
        <w:rPr>
          <w:rFonts w:ascii="Times New Roman" w:eastAsia="Times New Roman" w:hAnsi="Times New Roman" w:cs="Times New Roman"/>
          <w:shd w:val="clear" w:color="auto" w:fill="FFFFFF"/>
        </w:rPr>
        <w:t xml:space="preserve"> para acessar até mesmo funcionalidades corriqueiras constituiria em um empecilho à acessibilidade, limitando até a portabilidade e acesso à aplicação de outro dispositivo, no qual a mesma instalação seria necessária e nem sempre possível por motivos de compatibilidade e disponibilidade de hardware. Portanto, e sabendo do padrão de mercado e ampla disponibilidade de soluções que funcionam sem instalações locais, a Administração deverá resguardar a acessibilidade, usabilidade, e segurança através do requisito de funcionamento da aplicação sem instalações locais.</w:t>
      </w:r>
    </w:p>
    <w:p w14:paraId="15AC33C8"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3.20.48 </w:t>
      </w:r>
      <w:r w:rsidRPr="00E6193A">
        <w:rPr>
          <w:rFonts w:ascii="Times New Roman" w:eastAsia="Times New Roman" w:hAnsi="Times New Roman" w:cs="Times New Roman"/>
          <w:shd w:val="clear" w:color="auto" w:fill="FFFFFF"/>
        </w:rPr>
        <w:t>Ainda, e na mesma necessidade de acessibilidade, usabilidade, e economicidade nos custos secundários oriundos da utilização de um sistema web, onde o acesso se dá pela internet, é importante estabelecer requisitos de arquitetura da solução que visem minimizar o volume do tráfego de informações e facilitem a operação mesmo em condições não ideais de conectividade e velocidade de banda larga. É inerente da solução que haverá trocas de informações entre softwares e entre o servidor e os dispositivos clientes, o que torna essencial o requisito de que o tráfego de dados seja o mínimo possível para execução das atividades do usuário. Nesse contexto, o formato JSON já é amplamente utilizado por aplicações web, como padrão de mercado e formato leve que consome menos banda larga e permite um funcionamento mais rápido da aplicação. Assim, mantendo a autonomia dos fornecedores de utilizarem outros formatos quando necessário, é necessário o requisito de manter um tráfego de dados entre cliente e servidor mínimo, e preferencialmente no formato JSON. É importante notar que esse requisito suporta a arquitetura comum a sistemas web, onde a separação entre “n” camadas, em comparação a modelos tradicionais Cliente/Servidor, visa otimizar o tráfego de informações e evitar a necessidade de investimentos onerosos em aumento da banda larga quando há soluções em padrão de mercado com funcionamento adequado no ambiente web.</w:t>
      </w:r>
    </w:p>
    <w:p w14:paraId="0A4B4B6A"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3.20.48 </w:t>
      </w:r>
      <w:r w:rsidRPr="00E6193A">
        <w:rPr>
          <w:rFonts w:ascii="Times New Roman" w:eastAsia="Times New Roman" w:hAnsi="Times New Roman" w:cs="Times New Roman"/>
          <w:shd w:val="clear" w:color="auto" w:fill="FFFFFF"/>
        </w:rPr>
        <w:t xml:space="preserve">Dentro do mesmo princípio de acessibilidade, deverá ser resguardado o acesso prático e disponibilidade dos serviços públicos digitais ao cidadão. Tal princípio é sustentado pelo Decreto n° 8.936, de 19 de dezembro de 2016, que permitiu o início do projeto da plataforma de cidadania digital, contemplando diversas diretrizes para a prestação de serviços públicos digitais. Fazem parte dessas diretrizes o processo de autenticação dos serviços digitais, para o qual foi concebido o conceito da Plataforma de Autenticação Digital do Cidadão. Através do projeto Login Único, foi criado o mecanismo de acesso digital único por meio do login gov.br, que resguarda o acesso do cidadão aos serviços públicos digitais de forma prática, democrática e segura. </w:t>
      </w:r>
    </w:p>
    <w:p w14:paraId="0598C720"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Times New Roman" w:hAnsi="Times New Roman" w:cs="Times New Roman"/>
          <w:b/>
          <w:shd w:val="clear" w:color="auto" w:fill="FFFFFF"/>
        </w:rPr>
        <w:t xml:space="preserve">3.20.49 </w:t>
      </w:r>
      <w:r w:rsidRPr="00E6193A">
        <w:rPr>
          <w:rFonts w:ascii="Times New Roman" w:eastAsia="Times New Roman" w:hAnsi="Times New Roman" w:cs="Times New Roman"/>
          <w:shd w:val="clear" w:color="auto" w:fill="FFFFFF"/>
        </w:rPr>
        <w:t>O login gov.br permite evitar a duplicidade e inconsistência de informações, melhora a integração dos diferentes serviços, evita dados dispersos e unifica diversas formas de autenticação. Da mesma forma, verifica-se que são reduzidos os problemas enfrentados por cidadãos ao tentar acessar um serviço público digital. Dessa forma, o login gov.br amplia e simplifica o acesso dos cidadãos brasileiros aos serviços públicos digitais, inclusive por meio de dispositivos móveis, ao mesmo tempo em que facilita a identificação e autenticação do cidadão, privilegiando a governança e a convergência autoritativa. Desta forma, e em cumprimento dessas diretrizes de cidadania digital e governo digital, o sistema de gestão também deverá contemplar acesso pelo login único gov.br, seguindo os protocolos de integração amplamente disponibilizados, sem qualquer prejuízo à competitividade, e em atendimento ao interesse público.</w:t>
      </w:r>
    </w:p>
    <w:p w14:paraId="511BD125"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3.20.50 </w:t>
      </w:r>
      <w:r w:rsidRPr="00E6193A">
        <w:rPr>
          <w:rFonts w:ascii="Times New Roman" w:eastAsia="Times New Roman" w:hAnsi="Times New Roman" w:cs="Times New Roman"/>
          <w:shd w:val="clear" w:color="auto" w:fill="FFFFFF"/>
        </w:rPr>
        <w:t>Foram observadas também necessidades de recursos funcionais com aplicação abrangente no sistema, isto é, que são necessárias de forma global, em diversas áreas de aplicação. Dentro da necessidade da construção de uma gestão baseada em processos, a continuidade da operação e serviço à comunidade independe de pessoas específicas, e sim de processos bem estabelecidos. Assim, deriva-</w:t>
      </w:r>
      <w:r w:rsidRPr="00E6193A">
        <w:rPr>
          <w:rFonts w:ascii="Times New Roman" w:eastAsia="Times New Roman" w:hAnsi="Times New Roman" w:cs="Times New Roman"/>
          <w:shd w:val="clear" w:color="auto" w:fill="FFFFFF"/>
        </w:rPr>
        <w:lastRenderedPageBreak/>
        <w:t xml:space="preserve">se a necessidade de um software orientado a processos, isto é, com o requisito de recursos de desenho, configuração, e execução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w:t>
      </w:r>
    </w:p>
    <w:p w14:paraId="33334CF6"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3.20.51 </w:t>
      </w:r>
      <w:r w:rsidRPr="00E6193A">
        <w:rPr>
          <w:rFonts w:ascii="Times New Roman" w:eastAsia="Times New Roman" w:hAnsi="Times New Roman" w:cs="Times New Roman"/>
          <w:shd w:val="clear" w:color="auto" w:fill="FFFFFF"/>
        </w:rPr>
        <w:t xml:space="preserve">O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é definido como um recurso que permite configurar e monitorar um conjunto definido de tarefas em sequência lógica, facilitando a colaboração entre usuários e departamentos e o aproveitamento de conceitos de gestão do conhecimento e inteligência coletiva, visto que o software passa a guiar o usuário na operação e rotinas. Dessa forma, evita-se nulidades nos processos, permite-se um trâmite de processos mais célere e seguro, e reduz-se os esforços manuais, automatizando tarefas repetitivas e incluindo mecanismos de verificação de regularidade em software. O gerenciamento de processos e fluxo de trabalho através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visa otimizar, melhorar e automatizar fluxos de trabalho sempre que possível para aumentar a produtividade, eliminar a repetição, reduzindo erros, diminuindo custos, e aumentando a velocidade de andamento de processos, como explorado em uma publicação do Instituto de Pesquisa Econômica Aplicada (Ipea) focado em sua aplicação na Administração Pública como ferramenta de gestão de conhecimento, e estudos específicos em órgãos públicos municipais como a Prefeitura Municipal de Porto Alegre. Neste último estudo, destaca-se a importância da integração entre o sistema de gerenciamento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e o sistema de gestão do órgão público, visto que “é comum um processo atravessar as fronteiras entre domínios de diversas aplicações”, fazendo com que a “integração entre estes dois tipos de aplicação (sistema de gestão e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seja necessária na quase totalidade das experiências”, onde seria inadmissível supor que os participantes e autores dos processos devam ter o retrabalho de digitar informações que já estão presentes nos seus módulos do sistema de gestão.</w:t>
      </w:r>
    </w:p>
    <w:p w14:paraId="521C4F02"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shd w:val="clear" w:color="auto" w:fill="FFFFFF"/>
        </w:rPr>
        <w:t xml:space="preserve">3.20.52 </w:t>
      </w:r>
      <w:r w:rsidRPr="00E6193A">
        <w:rPr>
          <w:rFonts w:ascii="Times New Roman" w:eastAsia="Times New Roman" w:hAnsi="Times New Roman" w:cs="Times New Roman"/>
          <w:shd w:val="clear" w:color="auto" w:fill="FFFFFF"/>
        </w:rPr>
        <w:t xml:space="preserve">Dentro dessas necessidades de completa integração ao sistema de gestão, a Administração deverá exigir que os recursos de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xml:space="preserve"> façam parte do sistema de gestão, e permitam o relacionamento de dados e documentos no cadastro único da aplicação, além de requisitos funcionais básicos para gestão de fluxos de trabalho (</w:t>
      </w:r>
      <w:r w:rsidRPr="00E6193A">
        <w:rPr>
          <w:rFonts w:ascii="Times New Roman" w:eastAsia="Times New Roman" w:hAnsi="Times New Roman" w:cs="Times New Roman"/>
          <w:i/>
          <w:iCs/>
          <w:shd w:val="clear" w:color="auto" w:fill="FFFFFF"/>
        </w:rPr>
        <w:t>workflow</w:t>
      </w:r>
      <w:r w:rsidRPr="00E6193A">
        <w:rPr>
          <w:rFonts w:ascii="Times New Roman" w:eastAsia="Times New Roman" w:hAnsi="Times New Roman" w:cs="Times New Roman"/>
          <w:shd w:val="clear" w:color="auto" w:fill="FFFFFF"/>
        </w:rPr>
        <w:t>): permitir a execução automática de funções e carregamento de telas do sistema de gestão, desenho de processos na metodologia BPMN (</w:t>
      </w:r>
      <w:r w:rsidRPr="00E6193A">
        <w:rPr>
          <w:rFonts w:ascii="Times New Roman" w:eastAsia="Times New Roman" w:hAnsi="Times New Roman" w:cs="Times New Roman"/>
          <w:i/>
          <w:iCs/>
          <w:shd w:val="clear" w:color="auto" w:fill="FFFFFF"/>
        </w:rPr>
        <w:t xml:space="preserve">Business Process Model and Notation, </w:t>
      </w:r>
      <w:r w:rsidRPr="00E6193A">
        <w:rPr>
          <w:rFonts w:ascii="Times New Roman" w:eastAsia="Times New Roman" w:hAnsi="Times New Roman" w:cs="Times New Roman"/>
          <w:shd w:val="clear" w:color="auto" w:fill="FFFFFF"/>
        </w:rPr>
        <w:t>padrão de mercado para mapeamento de processos também presente no ISO/IEC 19510:2013), controle de versionamento de fluxos de trabalho (</w:t>
      </w:r>
      <w:r w:rsidRPr="00E6193A">
        <w:rPr>
          <w:rFonts w:ascii="Times New Roman" w:eastAsia="Times New Roman" w:hAnsi="Times New Roman" w:cs="Times New Roman"/>
          <w:i/>
          <w:iCs/>
          <w:shd w:val="clear" w:color="auto" w:fill="FFFFFF"/>
        </w:rPr>
        <w:t>workflows</w:t>
      </w:r>
      <w:r w:rsidRPr="00E6193A">
        <w:rPr>
          <w:rFonts w:ascii="Times New Roman" w:eastAsia="Times New Roman" w:hAnsi="Times New Roman" w:cs="Times New Roman"/>
          <w:shd w:val="clear" w:color="auto" w:fill="FFFFFF"/>
        </w:rPr>
        <w:t>), dentre outros requisitos que atendam às necessidades de mapeamento e automação de processos da Administração.</w:t>
      </w:r>
    </w:p>
    <w:p w14:paraId="230FF12C"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shd w:val="clear" w:color="auto" w:fill="FFFFFF"/>
          <w:lang w:eastAsia="zh-CN" w:bidi="hi-IN"/>
        </w:rPr>
        <w:t xml:space="preserve">3.20.53 </w:t>
      </w:r>
      <w:r w:rsidRPr="00E6193A">
        <w:rPr>
          <w:rFonts w:ascii="Times New Roman" w:eastAsia="SimSun" w:hAnsi="Times New Roman" w:cs="Times New Roman"/>
          <w:shd w:val="clear" w:color="auto" w:fill="FFFFFF"/>
          <w:lang w:eastAsia="zh-CN" w:bidi="hi-IN"/>
        </w:rPr>
        <w:t>Dessa forma, é estabelecido um panorama geral das justificativas dos requisitos mínimos de plataforma, infraestrutura, segurança, e performance para contratação de sistema de gestão pública municipal. A definição de requisitos aqui exposta tem como objetivo promover a eficiência da gestão ao passo em que visa garantir alta disponibilidade, resiliência, segurança da informação, recuperação em caso de sinistro, estabilidade e economicidade no sistema de gestão. Não há interesse da Administração Pública na contratação de soluções obsoletas, inseguras, ou que não atendam às suas necessidades básicas.</w:t>
      </w:r>
      <w:r w:rsidRPr="00E6193A">
        <w:rPr>
          <w:rFonts w:ascii="Times New Roman" w:eastAsia="SimSun" w:hAnsi="Times New Roman" w:cs="Times New Roman"/>
          <w:color w:val="000000"/>
          <w:shd w:val="clear" w:color="auto" w:fill="FFFFFF"/>
          <w:lang w:eastAsia="zh-CN" w:bidi="hi-IN"/>
        </w:rPr>
        <w:t xml:space="preserve"> </w:t>
      </w:r>
    </w:p>
    <w:p w14:paraId="35A3D89C"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shd w:val="clear" w:color="auto" w:fill="FFFFFF"/>
          <w:lang w:eastAsia="zh-CN" w:bidi="hi-IN"/>
        </w:rPr>
        <w:t xml:space="preserve">3.20.54 </w:t>
      </w:r>
      <w:r w:rsidRPr="00E6193A">
        <w:rPr>
          <w:rFonts w:ascii="Times New Roman" w:eastAsia="SimSun" w:hAnsi="Times New Roman" w:cs="Times New Roman"/>
          <w:color w:val="000000"/>
          <w:shd w:val="clear" w:color="auto" w:fill="FFFFFF"/>
          <w:lang w:eastAsia="zh-CN" w:bidi="hi-IN"/>
        </w:rPr>
        <w:t xml:space="preserve">Não seria equivocado, em resumo, definir o ERP como a </w:t>
      </w:r>
      <w:r w:rsidRPr="00E6193A">
        <w:rPr>
          <w:rFonts w:ascii="Times New Roman" w:eastAsia="SimSun" w:hAnsi="Times New Roman" w:cs="Times New Roman"/>
          <w:lang w:eastAsia="zh-CN" w:bidi="hi-IN"/>
        </w:rPr>
        <w:t>espinha dorsal de toda atividade administrativa, em todas as esferas, seja do poder executivo, seja do legislativo, com uma arquitetura de transações que liga todas as funções/atividades do órgão público.</w:t>
      </w:r>
    </w:p>
    <w:p w14:paraId="69B9B847"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3.20.55 </w:t>
      </w:r>
      <w:r w:rsidRPr="00E6193A">
        <w:rPr>
          <w:rFonts w:ascii="Times New Roman" w:eastAsia="SimSun" w:hAnsi="Times New Roman" w:cs="Times New Roman"/>
          <w:lang w:eastAsia="zh-CN" w:bidi="hi-IN"/>
        </w:rPr>
        <w:t>Encerrando, por conclusão óbvia, carece de racionalidade, de oportunidade e conveniência, o Município seguir na contramão daquilo que é público e notório e buscar soluções obsoletas, que encareçam as operações (maquinas mais robustas, mais banda de internet, etc.) que não se destinem a finalidade pretendida e impliquem a precarização da eficácia e eficiência do serviço público, estas, estampadas na Constituição Federal. O Poder Judiciário, inclusive, já decidiu a respeito:</w:t>
      </w:r>
    </w:p>
    <w:p w14:paraId="14DF734E"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p>
    <w:p w14:paraId="5B57464F" w14:textId="77777777" w:rsidR="00B307DB" w:rsidRPr="00E6193A" w:rsidRDefault="00B307DB" w:rsidP="00B307DB">
      <w:pPr>
        <w:suppressAutoHyphens/>
        <w:spacing w:after="0" w:line="240" w:lineRule="auto"/>
        <w:ind w:left="2268" w:right="-568"/>
        <w:jc w:val="both"/>
        <w:rPr>
          <w:rFonts w:ascii="Times New Roman" w:eastAsia="Times New Roman" w:hAnsi="Times New Roman" w:cs="Times New Roman"/>
          <w:color w:val="000000"/>
        </w:rPr>
      </w:pPr>
      <w:r w:rsidRPr="00E6193A">
        <w:rPr>
          <w:rFonts w:ascii="Times New Roman" w:eastAsia="Times New Roman" w:hAnsi="Times New Roman" w:cs="Times New Roman"/>
          <w:b/>
          <w:bCs/>
          <w:color w:val="000000"/>
        </w:rPr>
        <w:t xml:space="preserve">Ementa: </w:t>
      </w:r>
      <w:r w:rsidRPr="00E6193A">
        <w:rPr>
          <w:rFonts w:ascii="Times New Roman" w:eastAsia="Times New Roman" w:hAnsi="Times New Roman" w:cs="Times New Roman"/>
          <w:color w:val="000000"/>
        </w:rPr>
        <w:t xml:space="preserve">AGRAVO DE INSTRUMENTO. LICITAÇÃO. CONTRATAÇÃO DE SERVIÇOS DE INFORMÁTICA. EXIGÊNCIA DE SOFTWARE EM PLATAFORMA TOTALMENTE WEB. [...] 2. Hipótese em que, embora em um primeiro momento, a exigência da plataforma totalmente web pareça restringir o objeto do certame, </w:t>
      </w:r>
      <w:r w:rsidRPr="00E6193A">
        <w:rPr>
          <w:rFonts w:ascii="Times New Roman" w:eastAsia="Times New Roman" w:hAnsi="Times New Roman" w:cs="Times New Roman"/>
          <w:bCs/>
          <w:color w:val="000000"/>
        </w:rPr>
        <w:t>observa-se que, além de se tratar de exigência que se mostra dentro do poder discricionário do Município, visa a</w:t>
      </w:r>
      <w:r w:rsidRPr="00E6193A">
        <w:rPr>
          <w:rFonts w:ascii="Times New Roman" w:eastAsia="Times New Roman" w:hAnsi="Times New Roman" w:cs="Times New Roman"/>
          <w:b/>
          <w:color w:val="000000"/>
          <w:u w:val="single"/>
        </w:rPr>
        <w:t xml:space="preserve"> acompanhar as tendências de modernização tecnológica não só do serviço público, mas de irreversível evolução na informática</w:t>
      </w:r>
      <w:r w:rsidRPr="00E6193A">
        <w:rPr>
          <w:rFonts w:ascii="Times New Roman" w:eastAsia="Times New Roman" w:hAnsi="Times New Roman" w:cs="Times New Roman"/>
          <w:color w:val="000000"/>
        </w:rPr>
        <w:t>. AGRAVO DE INSTRUMENTO DESPROVIDO. (Agravo de Instrumento Nº 70075899351, Segunda Câmara Cível, Tribunal de Justiça do RS, Relator: João Barcelos de Souza Junior, Julgado em 25/04/2018);</w:t>
      </w:r>
    </w:p>
    <w:p w14:paraId="3E312FC6" w14:textId="77777777" w:rsidR="00B307DB" w:rsidRPr="00E6193A" w:rsidRDefault="00B307DB" w:rsidP="00B307DB">
      <w:pPr>
        <w:suppressAutoHyphens/>
        <w:spacing w:after="0" w:line="240" w:lineRule="auto"/>
        <w:ind w:left="2268" w:right="-568"/>
        <w:jc w:val="both"/>
        <w:rPr>
          <w:rFonts w:ascii="Times New Roman" w:eastAsia="Times New Roman" w:hAnsi="Times New Roman" w:cs="Times New Roman"/>
          <w:color w:val="000000"/>
        </w:rPr>
      </w:pPr>
    </w:p>
    <w:p w14:paraId="00028810"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lastRenderedPageBreak/>
        <w:t xml:space="preserve">3.20.56 </w:t>
      </w:r>
      <w:r w:rsidRPr="00E6193A">
        <w:rPr>
          <w:rFonts w:ascii="Times New Roman" w:eastAsia="SimSun" w:hAnsi="Times New Roman" w:cs="Times New Roman"/>
          <w:lang w:eastAsia="zh-CN" w:bidi="hi-IN"/>
        </w:rPr>
        <w:t>Quanto competitividade estabelecida como uma das diretrizes da contratação pública, tem-se que existem muitos fornecedores de soluções de sistemas em nuvem, conforme levantamentos feitos, a citar, por exemplo: Legis Soluções em Automação Ltda, Feltraco e Pertusatti Assessoria em Sistemas Ltda, IDS Desenvolvimento de Softwares e Assessoria Ltda, CELK Sistemas Ltda, Governança Brasil Tecnologia Ltda, BETHA Sistemas Ltda, IPM Sistemas Ltda, SINNC Soluções Ltda, Ábaco Tecnologia Ltda, MV Sistemas, Inovador Sistemas de Gestão Ltda, Senior Sistemas Ltda, Pública Sistemas Ltda, SYSTEM Desenvolvimento de Software Ltda, CSM Central de Software Municipal Ltda, RKM Provedor de Soluções Ltda, SW Sistema de Gestão Web Ltda, entre outras.</w:t>
      </w:r>
    </w:p>
    <w:p w14:paraId="7C2A8C13"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3.20.57 </w:t>
      </w:r>
      <w:r w:rsidRPr="00E6193A">
        <w:rPr>
          <w:rFonts w:ascii="Times New Roman" w:eastAsia="SimSun" w:hAnsi="Times New Roman" w:cs="Times New Roman"/>
          <w:lang w:eastAsia="zh-CN" w:bidi="hi-IN"/>
        </w:rPr>
        <w:t xml:space="preserve">Diante do exposto, existe convergência quanto a oportunidade e conveniência, a necessidade de contratação de uma solução de ERP web, e em nuvem, como ferramenta imprescindível de desenvolvimento de políticas públicas, apoio a gestão e ações de âmbito administrativo, bem como da transparência pública nos termos legais. </w:t>
      </w:r>
    </w:p>
    <w:p w14:paraId="074CB2F0"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3.21 Necessidades de Adequação Local</w:t>
      </w:r>
    </w:p>
    <w:p w14:paraId="2479502B"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3.21.1 </w:t>
      </w:r>
      <w:r w:rsidRPr="00E6193A">
        <w:rPr>
          <w:rFonts w:ascii="Times New Roman" w:eastAsia="SimSun" w:hAnsi="Times New Roman" w:cs="Times New Roman"/>
          <w:lang w:eastAsia="zh-CN" w:bidi="hi-IN"/>
        </w:rPr>
        <w:t>Geralmente a implantação de sistemas informatizados, envolvem a necessidade de realização de mudanças internas para receber a solução da contratação (exemplo: mobiliário, instalação elétrica, espaço adequado para prestação do serviço, capacitação dos servidores, indicação de gestores do contrato etc).</w:t>
      </w:r>
    </w:p>
    <w:p w14:paraId="5D055730"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3.21.2 </w:t>
      </w:r>
      <w:r w:rsidRPr="00E6193A">
        <w:rPr>
          <w:rFonts w:ascii="Times New Roman" w:eastAsia="SimSun" w:hAnsi="Times New Roman" w:cs="Times New Roman"/>
          <w:lang w:eastAsia="zh-CN" w:bidi="hi-IN"/>
        </w:rPr>
        <w:t>A solução que se analisa, de sistema web, em nuvem, dispensa a realização de adequações no ambiente físico, a aquisição de equipamentos novos e a custos com a implantação e manutenção de salas especiais para manutenção do CPD (salas do tipo cofre, infraestrutura de climatização, contra incêndios e sinistros, máquinas de grande poder de processamento e sua atualização constante, cabeamento estruturado específico para rede interna, etc.).</w:t>
      </w:r>
    </w:p>
    <w:p w14:paraId="30EEB6E9"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3.21.3 </w:t>
      </w:r>
      <w:r w:rsidRPr="00E6193A">
        <w:rPr>
          <w:rFonts w:ascii="Times New Roman" w:eastAsia="SimSun" w:hAnsi="Times New Roman" w:cs="Times New Roman"/>
          <w:lang w:eastAsia="zh-CN" w:bidi="hi-IN"/>
        </w:rPr>
        <w:t>Os custos com implantação, manutenção e atendimento serão executados pela contratada, o que possibilita a economia de escala e a absorção de conhecimentos e boas práticas já adotadas em outras administrações que sejam clientes desse tipo de solução.</w:t>
      </w:r>
    </w:p>
    <w:p w14:paraId="50EBE6C1"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3.21.4 </w:t>
      </w:r>
      <w:r w:rsidRPr="00E6193A">
        <w:rPr>
          <w:rFonts w:ascii="Times New Roman" w:eastAsia="SimSun" w:hAnsi="Times New Roman" w:cs="Times New Roman"/>
          <w:lang w:eastAsia="zh-CN" w:bidi="hi-IN"/>
        </w:rPr>
        <w:t>Apesar de ser preferencial a adoção de sistemas com layout e operação intuitiva, é importante que sejam realizados, durante a fase de implantação, treinamento de um número significativo de usuários em cada área de atuação/módulo, inclusive treinamento de nível técnico para o pessoal de TI interno, possibilitando operar ferramentas de configuração e parametrizações básicas.</w:t>
      </w:r>
    </w:p>
    <w:p w14:paraId="0500595A"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3.21.5 </w:t>
      </w:r>
      <w:r w:rsidRPr="00E6193A">
        <w:rPr>
          <w:rFonts w:ascii="Times New Roman" w:eastAsia="SimSun" w:hAnsi="Times New Roman" w:cs="Times New Roman"/>
          <w:lang w:eastAsia="zh-CN" w:bidi="hi-IN"/>
        </w:rPr>
        <w:t xml:space="preserve">Fica evidente a partir da análise das características das soluções apresentadas que as soluções ditas como Solução 2: Software em Desktop; e Solução 3: Software com solução mista (parte da solução em Desktop e parte com acesso em ambiente Web); não estão aptas e preparadas tecnologicamente para atender as necessidades de automação e gerenciamento de processos com agilidade e transformação digital para esta administração. Que apesar de ser soluções semelhantes no que tange à gestão municipal, suas características são diversas dos objetivos traçados a longo prazo por esta administração. </w:t>
      </w:r>
    </w:p>
    <w:p w14:paraId="79707FFF"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3.21.6 </w:t>
      </w:r>
      <w:r w:rsidRPr="00E6193A">
        <w:rPr>
          <w:rFonts w:ascii="Times New Roman" w:eastAsia="SimSun" w:hAnsi="Times New Roman" w:cs="Times New Roman"/>
          <w:lang w:eastAsia="zh-CN" w:bidi="hi-IN"/>
        </w:rPr>
        <w:t>O mercado de Tecnologia da Informação (T.I.) demonstra um consenso no entendimento de que aplicações em formato DESKTOP sejam gradualmente substituídas por aplicações WEB. Principalmente em relação aos altos custos de instalação e manutenção, comparado aos Softwares ditos como plataformas WEB, também é importante frisar a popularização dos dispositivos móveis como tablets e smartphones, que obriga que o acesso à informação não esteja restrito somente a uma máquina física, mas em qualquer lugar, trazendo o entendimento de que um Software em formato DESKTOP trata-se de uma tecnologia ultrapassada.</w:t>
      </w:r>
    </w:p>
    <w:p w14:paraId="6BEB6394" w14:textId="77777777" w:rsidR="00B307DB" w:rsidRPr="00E6193A" w:rsidRDefault="00B307DB" w:rsidP="00B307DB">
      <w:pPr>
        <w:widowControl w:val="0"/>
        <w:tabs>
          <w:tab w:val="left" w:pos="555"/>
          <w:tab w:val="left" w:pos="840"/>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3.21.7 </w:t>
      </w:r>
      <w:r w:rsidRPr="00E6193A">
        <w:rPr>
          <w:rFonts w:ascii="Times New Roman" w:eastAsia="SimSun" w:hAnsi="Times New Roman" w:cs="Times New Roman"/>
          <w:lang w:eastAsia="zh-CN" w:bidi="hi-IN"/>
        </w:rPr>
        <w:t xml:space="preserve">Fica demonstrado através dos estudos aqui delineados que a solução adequada para atendimento das necessidades desta administração é o </w:t>
      </w:r>
      <w:r w:rsidRPr="00E6193A">
        <w:rPr>
          <w:rFonts w:ascii="Times New Roman" w:eastAsia="SimSun" w:hAnsi="Times New Roman" w:cs="Times New Roman"/>
          <w:u w:val="single"/>
          <w:lang w:eastAsia="zh-CN" w:bidi="hi-IN"/>
        </w:rPr>
        <w:t>Software de Gestão Pública em ambiente Web</w:t>
      </w:r>
      <w:r w:rsidRPr="00E6193A">
        <w:rPr>
          <w:rFonts w:ascii="Times New Roman" w:eastAsia="SimSun" w:hAnsi="Times New Roman" w:cs="Times New Roman"/>
          <w:lang w:eastAsia="zh-CN" w:bidi="hi-IN"/>
        </w:rPr>
        <w:t>, em detrimento as demais soluções disponíveis no mercado.</w:t>
      </w:r>
    </w:p>
    <w:p w14:paraId="40580E0A" w14:textId="77777777" w:rsidR="00B307DB" w:rsidRPr="00E6193A" w:rsidRDefault="00B307DB" w:rsidP="00B307DB">
      <w:pPr>
        <w:widowControl w:val="0"/>
        <w:tabs>
          <w:tab w:val="left" w:pos="555"/>
          <w:tab w:val="left" w:pos="840"/>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3.21.8 </w:t>
      </w:r>
      <w:r w:rsidRPr="00E6193A">
        <w:rPr>
          <w:rFonts w:ascii="Times New Roman" w:eastAsia="SimSun" w:hAnsi="Times New Roman" w:cs="Times New Roman"/>
          <w:lang w:eastAsia="zh-CN" w:bidi="hi-IN"/>
        </w:rPr>
        <w:t xml:space="preserve">O </w:t>
      </w:r>
      <w:r w:rsidRPr="00E6193A">
        <w:rPr>
          <w:rFonts w:ascii="Times New Roman" w:eastAsia="SimSun" w:hAnsi="Times New Roman" w:cs="Times New Roman"/>
          <w:u w:val="single"/>
          <w:lang w:eastAsia="zh-CN" w:bidi="hi-IN"/>
        </w:rPr>
        <w:t>Software em ambiente web</w:t>
      </w:r>
      <w:r w:rsidRPr="00E6193A">
        <w:rPr>
          <w:rFonts w:ascii="Times New Roman" w:eastAsia="SimSun" w:hAnsi="Times New Roman" w:cs="Times New Roman"/>
          <w:lang w:eastAsia="zh-CN" w:bidi="hi-IN"/>
        </w:rPr>
        <w:t xml:space="preserve"> atende as expectativas deste município e cumpre as necessidades de automatização da gestão pública municipal em plataforma única com recursos tecnológicos de última geração, permitindo o cumprimento das normas legais, acesso em tempo real as informações, possibilidade de acesso por diversos navegadores e dispositivos móveis, com facilidade em manutenção e uso, além de promover redução de custos administrativos e humanos. A solução demonstra-se adequada para promover facilidades para a gestão municipal reduzindo percas e aumentando a arrecadação.</w:t>
      </w:r>
    </w:p>
    <w:p w14:paraId="0D1F776B"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color w:val="000000"/>
          <w:lang w:eastAsia="zh-CN" w:bidi="hi-IN"/>
        </w:rPr>
      </w:pPr>
      <w:r w:rsidRPr="00E6193A">
        <w:rPr>
          <w:rFonts w:ascii="Times New Roman" w:eastAsia="SimSun" w:hAnsi="Times New Roman" w:cs="Times New Roman"/>
          <w:b/>
          <w:shd w:val="clear" w:color="auto" w:fill="FFFFFF"/>
          <w:lang w:eastAsia="zh-CN" w:bidi="hi-IN"/>
        </w:rPr>
        <w:t xml:space="preserve">3.21.9 </w:t>
      </w:r>
      <w:r w:rsidRPr="00E6193A">
        <w:rPr>
          <w:rFonts w:ascii="Times New Roman" w:eastAsia="SimSun" w:hAnsi="Times New Roman" w:cs="Times New Roman"/>
          <w:shd w:val="clear" w:color="auto" w:fill="FFFFFF"/>
          <w:lang w:eastAsia="zh-CN" w:bidi="hi-IN"/>
        </w:rPr>
        <w:t xml:space="preserve">A partir da solução delineada, fica caracterizado a necessidade de a estrutura de dados ser hospedada e armazenada em ambiente em nuvem com a utilização de Datacenter (próprio ou terceirizado) sob administração da contratada que deverá conter requisitos e padrões que garantem de segurança da informação, de modo a possibilitar a continuidade dos serviços públicos prestados por esta </w:t>
      </w:r>
      <w:r w:rsidRPr="00E6193A">
        <w:rPr>
          <w:rFonts w:ascii="Times New Roman" w:eastAsia="SimSun" w:hAnsi="Times New Roman" w:cs="Times New Roman"/>
          <w:shd w:val="clear" w:color="auto" w:fill="FFFFFF"/>
          <w:lang w:eastAsia="zh-CN" w:bidi="hi-IN"/>
        </w:rPr>
        <w:lastRenderedPageBreak/>
        <w:t>administração. O uso de tecnologia em nuvem erradica os riscos relacionados a perda de dados oriundos de intempéries climáticas e ataques na segurança que geram roubo/ furto/ manipulação nos dados de propriedade pública.</w:t>
      </w:r>
    </w:p>
    <w:p w14:paraId="0B34F8ED"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3.21.10 </w:t>
      </w:r>
      <w:r w:rsidRPr="00E6193A">
        <w:rPr>
          <w:rFonts w:ascii="Times New Roman" w:eastAsia="SimSun" w:hAnsi="Times New Roman" w:cs="Times New Roman"/>
          <w:color w:val="000000"/>
          <w:lang w:eastAsia="zh-CN" w:bidi="hi-IN"/>
        </w:rPr>
        <w:t>O levantamento de mercado, consiste na análise das alternativas possíveis, e justificativa técnica e econômica da escolha do tipo de solução a contratar.</w:t>
      </w:r>
    </w:p>
    <w:p w14:paraId="0A3E404B" w14:textId="77777777" w:rsidR="00B307DB" w:rsidRDefault="00B307DB" w:rsidP="00B307DB">
      <w:pPr>
        <w:widowControl w:val="0"/>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b/>
          <w:iCs/>
          <w:lang w:eastAsia="hi-IN" w:bidi="hi-IN"/>
        </w:rPr>
        <w:t xml:space="preserve">3.21.11 </w:t>
      </w:r>
      <w:r w:rsidRPr="00E6193A">
        <w:rPr>
          <w:rFonts w:ascii="Times New Roman" w:eastAsia="SimSun" w:hAnsi="Times New Roman" w:cs="Times New Roman"/>
          <w:iCs/>
          <w:lang w:eastAsia="hi-IN" w:bidi="hi-IN"/>
        </w:rPr>
        <w:t xml:space="preserve">Diante da filosofia de boas práticas na administração pública, e da adoção de padronização de objetos, como modelo a ser seguido pelas esferas de governos, foram pesquisadas algumas iniciativas de contratação de serviços de sistema de gestão pública em nuvem, cujos requisitos são similares (alguns idênticos) ao objeto pretendido, o que indica a existência de competitividade nesse tipo de contratação, o que já indicado pelo Tribunal de Contas da União do </w:t>
      </w:r>
      <w:r w:rsidRPr="00E6193A">
        <w:rPr>
          <w:rFonts w:ascii="Times New Roman" w:eastAsia="SimSun" w:hAnsi="Times New Roman" w:cs="Times New Roman"/>
          <w:spacing w:val="2"/>
          <w:shd w:val="clear" w:color="auto" w:fill="FFFFFF"/>
          <w:lang w:eastAsia="hi-IN" w:bidi="hi-IN"/>
        </w:rPr>
        <w:t>Acórdão nº 1739/2015-TCU-Plenário do Tribunal de Contas da União, o qual orientou a publicação da Instrução Normativa SGD/ME nº 1/2019 pelo Ministério da Economia para “</w:t>
      </w:r>
      <w:r w:rsidRPr="00E6193A">
        <w:rPr>
          <w:rFonts w:ascii="Times New Roman" w:eastAsia="SimSun" w:hAnsi="Times New Roman" w:cs="Times New Roman"/>
          <w:i/>
          <w:iCs/>
          <w:spacing w:val="2"/>
          <w:shd w:val="clear" w:color="auto" w:fill="FFFFFF"/>
          <w:lang w:eastAsia="hi-IN" w:bidi="hi-IN"/>
        </w:rPr>
        <w:t>boas práticas, orientações e vedações na contratação de Serviços de Computação em Nuvem</w:t>
      </w:r>
      <w:r w:rsidRPr="00E6193A">
        <w:rPr>
          <w:rFonts w:ascii="Times New Roman" w:eastAsia="SimSun" w:hAnsi="Times New Roman" w:cs="Times New Roman"/>
          <w:spacing w:val="2"/>
          <w:shd w:val="clear" w:color="auto" w:fill="FFFFFF"/>
          <w:lang w:eastAsia="hi-IN" w:bidi="hi-IN"/>
        </w:rPr>
        <w:t>”, a citar em âmbito Estadual:</w:t>
      </w:r>
    </w:p>
    <w:p w14:paraId="11352676"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p>
    <w:p w14:paraId="3F112C99" w14:textId="77777777" w:rsidR="00B307DB" w:rsidRPr="00E6193A" w:rsidRDefault="00B307DB" w:rsidP="00582952">
      <w:pPr>
        <w:widowControl w:val="0"/>
        <w:numPr>
          <w:ilvl w:val="0"/>
          <w:numId w:val="266"/>
        </w:numPr>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spacing w:val="2"/>
          <w:shd w:val="clear" w:color="auto" w:fill="FFFFFF"/>
          <w:lang w:eastAsia="hi-IN" w:bidi="hi-IN"/>
        </w:rPr>
        <w:t>Município de Guabiruba/SC, Pregão Eletrônico nº 61/2024 – Vencedora: IPM Sistemas Ltda;</w:t>
      </w:r>
    </w:p>
    <w:p w14:paraId="10E8B81C" w14:textId="77777777" w:rsidR="00B307DB" w:rsidRPr="00E6193A" w:rsidRDefault="00B307DB" w:rsidP="00582952">
      <w:pPr>
        <w:widowControl w:val="0"/>
        <w:numPr>
          <w:ilvl w:val="0"/>
          <w:numId w:val="266"/>
        </w:numPr>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spacing w:val="2"/>
          <w:shd w:val="clear" w:color="auto" w:fill="FFFFFF"/>
          <w:lang w:eastAsia="hi-IN" w:bidi="hi-IN"/>
        </w:rPr>
        <w:t>Município de Lacerdópolis/SC, Pregão Presencial nº 15/2024 – Vencedora: IPM Sistemas Ltda;</w:t>
      </w:r>
    </w:p>
    <w:p w14:paraId="4AEBCB6F" w14:textId="77777777" w:rsidR="00B307DB" w:rsidRPr="00E6193A" w:rsidRDefault="00B307DB" w:rsidP="00582952">
      <w:pPr>
        <w:widowControl w:val="0"/>
        <w:numPr>
          <w:ilvl w:val="0"/>
          <w:numId w:val="266"/>
        </w:numPr>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spacing w:val="2"/>
          <w:shd w:val="clear" w:color="auto" w:fill="FFFFFF"/>
          <w:lang w:eastAsia="hi-IN" w:bidi="hi-IN"/>
        </w:rPr>
        <w:t>Município de Faxinal dos Guedes/SC, Dispensa Eletrônica nº 161/224 – Vencedora Betha Sistemas Ltda;</w:t>
      </w:r>
    </w:p>
    <w:p w14:paraId="52E8432E" w14:textId="77777777" w:rsidR="00B307DB" w:rsidRPr="00E6193A" w:rsidRDefault="00B307DB" w:rsidP="00582952">
      <w:pPr>
        <w:widowControl w:val="0"/>
        <w:numPr>
          <w:ilvl w:val="0"/>
          <w:numId w:val="266"/>
        </w:numPr>
        <w:spacing w:after="0" w:line="240" w:lineRule="auto"/>
        <w:ind w:right="-568"/>
        <w:jc w:val="both"/>
        <w:rPr>
          <w:rFonts w:ascii="Times New Roman" w:eastAsia="SimSun" w:hAnsi="Times New Roman" w:cs="Times New Roman"/>
          <w:spacing w:val="2"/>
          <w:shd w:val="clear" w:color="auto" w:fill="FFFFFF"/>
          <w:lang w:eastAsia="hi-IN" w:bidi="hi-IN"/>
        </w:rPr>
      </w:pPr>
      <w:r w:rsidRPr="00E6193A">
        <w:rPr>
          <w:rFonts w:ascii="Times New Roman" w:eastAsia="SimSun" w:hAnsi="Times New Roman" w:cs="Times New Roman"/>
          <w:spacing w:val="2"/>
          <w:shd w:val="clear" w:color="auto" w:fill="FFFFFF"/>
          <w:lang w:eastAsia="hi-IN" w:bidi="hi-IN"/>
        </w:rPr>
        <w:t>Município de Águas Frias/SC, Pegão Eletrônico nº 39/2023 – Vencedora Governança Brasil S/A Tecnologia e Gestão em Serviços.</w:t>
      </w:r>
    </w:p>
    <w:p w14:paraId="33661E18" w14:textId="77777777" w:rsidR="00B307DB" w:rsidRPr="00E6193A" w:rsidRDefault="00B307DB" w:rsidP="00B307DB">
      <w:pPr>
        <w:widowControl w:val="0"/>
        <w:spacing w:after="0" w:line="240" w:lineRule="auto"/>
        <w:ind w:left="1134" w:right="-568"/>
        <w:jc w:val="both"/>
        <w:rPr>
          <w:rFonts w:ascii="Times New Roman" w:eastAsia="SimSun" w:hAnsi="Times New Roman" w:cs="Times New Roman"/>
          <w:spacing w:val="2"/>
          <w:shd w:val="clear" w:color="auto" w:fill="FFFFFF"/>
          <w:lang w:eastAsia="hi-IN" w:bidi="hi-IN"/>
        </w:rPr>
      </w:pPr>
    </w:p>
    <w:p w14:paraId="6F9D4526"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iCs/>
          <w:lang w:eastAsia="zh-CN" w:bidi="hi-IN"/>
        </w:rPr>
        <w:t xml:space="preserve">3.21.12 </w:t>
      </w:r>
      <w:r w:rsidRPr="00E6193A">
        <w:rPr>
          <w:rFonts w:ascii="Times New Roman" w:eastAsia="SimSun" w:hAnsi="Times New Roman" w:cs="Times New Roman"/>
          <w:iCs/>
          <w:lang w:eastAsia="zh-CN" w:bidi="hi-IN"/>
        </w:rPr>
        <w:t>Como se vê, são várias as entidades públicas adotando provimento de sistema de gestão pública web, bem como, mostra-se que o mercado de fornecedores vem se ampliando as demandas, existindo diversas empresas aptas a fornecerem o objeto, de maneira a se privilegiar a competitividade e enaltecer o princípio da contratação da proposta mais vantajosa, principalmente em termos técnicos e de segurança.</w:t>
      </w:r>
    </w:p>
    <w:p w14:paraId="7F72B91D"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shd w:val="clear" w:color="auto" w:fill="FFFFFF"/>
          <w:lang w:eastAsia="zh-CN" w:bidi="hi-IN"/>
        </w:rPr>
        <w:t xml:space="preserve">3.21.13 </w:t>
      </w:r>
      <w:r w:rsidRPr="00E6193A">
        <w:rPr>
          <w:rFonts w:ascii="Times New Roman" w:eastAsia="SimSun" w:hAnsi="Times New Roman" w:cs="Times New Roman"/>
          <w:color w:val="000000"/>
          <w:shd w:val="clear" w:color="auto" w:fill="FFFFFF"/>
          <w:lang w:eastAsia="zh-CN" w:bidi="hi-IN"/>
        </w:rPr>
        <w:t>Considerando a necessidade desta administração em um ERP web, ou seja, c</w:t>
      </w:r>
      <w:r w:rsidRPr="00E6193A">
        <w:rPr>
          <w:rFonts w:ascii="Times New Roman" w:eastAsia="SimSun" w:hAnsi="Times New Roman" w:cs="Times New Roman"/>
          <w:i/>
          <w:iCs/>
          <w:color w:val="000000"/>
          <w:shd w:val="clear" w:color="auto" w:fill="FFFFFF"/>
          <w:lang w:eastAsia="zh-CN" w:bidi="hi-IN"/>
        </w:rPr>
        <w:t>ontratar empresa especializada para prestação de serviços de fornecimento de sistemas de informática (software) para Gestão Pública da Administração Direta e Indireta deste Município, através de Licença de Uso, Conversão, Implantação, Migração de Dados, Treinamento, Suporte Técnico, Parametrizações e Configurações, Manutenção Corretiva, Legal e Evolutiva, sem limite de usuários, bem como segurança da informação,</w:t>
      </w:r>
      <w:r w:rsidRPr="00E6193A">
        <w:rPr>
          <w:rFonts w:ascii="Times New Roman" w:eastAsia="SimSun" w:hAnsi="Times New Roman" w:cs="Times New Roman"/>
          <w:color w:val="000000"/>
          <w:shd w:val="clear" w:color="auto" w:fill="FFFFFF"/>
          <w:lang w:eastAsia="zh-CN" w:bidi="hi-IN"/>
        </w:rPr>
        <w:t xml:space="preserve"> entende essa equipe de administração que a única forma de adoção de padrões de desempenho e qualidade objetivamente a serem definidos em edital é por meio de especificações usuais no mercado mediante observação e aproveitamento de experiências anteriores e de outros municípios. A criação absoluta de requisitos técnicos sem levar em consideração as especificações usuais de mercado já estudadas anteriormente por outros órgãos (extraídas de editais anteriormente publicados) desnaturaria a modalidade licitatória, bem como prejudicaria a aplicação dos princípios basilares da licitação (eficiência, interesse público, planejamento, eficácia, padronização) estipulados pela Lei n° 14.133/2021, inclusive com a criação de catálogos de padronização (art. 19 da Lei n° 14.133/2021), descabendo a esta municipalidade da “criação” abstrata das especificações usuais do mercado, que devem ser buscadas justamente na prática do mercado, </w:t>
      </w:r>
      <w:r w:rsidRPr="00E6193A">
        <w:rPr>
          <w:rFonts w:ascii="Times New Roman" w:eastAsia="SimSun" w:hAnsi="Times New Roman" w:cs="Times New Roman"/>
          <w:i/>
          <w:iCs/>
          <w:color w:val="000000"/>
          <w:shd w:val="clear" w:color="auto" w:fill="FFFFFF"/>
          <w:lang w:eastAsia="zh-CN" w:bidi="hi-IN"/>
        </w:rPr>
        <w:t>in casu</w:t>
      </w:r>
      <w:r w:rsidRPr="00E6193A">
        <w:rPr>
          <w:rFonts w:ascii="Times New Roman" w:eastAsia="SimSun" w:hAnsi="Times New Roman" w:cs="Times New Roman"/>
          <w:color w:val="000000"/>
          <w:shd w:val="clear" w:color="auto" w:fill="FFFFFF"/>
          <w:lang w:eastAsia="zh-CN" w:bidi="hi-IN"/>
        </w:rPr>
        <w:t xml:space="preserve"> representado pelos termos de referência padronizados ao longo dos anos por diversas experiências licitatórias lícitas que foram baseadas em estudo de caso e estudo de profissionais da área de tecnologia, muitas delas apreciadas pelo próprio Poder Judiciário ou Tribunal de Contas. </w:t>
      </w:r>
    </w:p>
    <w:p w14:paraId="6F34868B"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lang w:eastAsia="hi-IN" w:bidi="hi-IN"/>
        </w:rPr>
        <w:t xml:space="preserve">3.21.14 </w:t>
      </w:r>
      <w:r w:rsidRPr="00E6193A">
        <w:rPr>
          <w:rFonts w:ascii="Times New Roman" w:eastAsia="SimSun" w:hAnsi="Times New Roman" w:cs="Times New Roman"/>
          <w:color w:val="000000"/>
          <w:lang w:eastAsia="hi-IN" w:bidi="hi-IN"/>
        </w:rPr>
        <w:t xml:space="preserve">A partir do estudo de contratações similares realizadas por outros órgãos e entidades públicas, mídias e sítios eletrônicos especializados, ficou demonstrado para este município a necessidade e a viabilidade técnica e econômica de aderir a uma solução tecnológica integrada que deverá permitir a centralização de todo o processamento e armazenamento de dados relacionados aos processos, otimizando a obtenção e o processamento de informações, bem como o fornecimento de subsídios gerenciais, que são imprescindíveis para o planejamento e para a tomada de decisões por parte dos gestores públicos. </w:t>
      </w:r>
    </w:p>
    <w:p w14:paraId="4D1A69D2"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3.21.15 </w:t>
      </w:r>
      <w:r w:rsidRPr="00E6193A">
        <w:rPr>
          <w:rFonts w:ascii="Times New Roman" w:eastAsia="SimSun" w:hAnsi="Times New Roman" w:cs="Times New Roman"/>
          <w:color w:val="000000"/>
          <w:shd w:val="clear" w:color="auto" w:fill="FFFFFF"/>
          <w:lang w:eastAsia="hi-IN" w:bidi="hi-IN"/>
        </w:rPr>
        <w:t xml:space="preserve">As integrações evitam desconformidades e erros sistemáticos e dificuldade da gestão, pois a partir do momento que empresas potencialmente concorrentes alimentam e retroalimentam seus bancos a partir de banco de dados distintos, haveria exponencial aumento do risco de problemas, com </w:t>
      </w:r>
      <w:r w:rsidRPr="00E6193A">
        <w:rPr>
          <w:rFonts w:ascii="Times New Roman" w:eastAsia="SimSun" w:hAnsi="Times New Roman" w:cs="Times New Roman"/>
          <w:color w:val="000000"/>
          <w:shd w:val="clear" w:color="auto" w:fill="FFFFFF"/>
          <w:lang w:eastAsia="hi-IN" w:bidi="hi-IN"/>
        </w:rPr>
        <w:lastRenderedPageBreak/>
        <w:t xml:space="preserve">incansáveis trocas de acusações técnicas. Obviamente, a integração de ferramentas baseadas em tecnologias e plataformas distintas sempre causam perda de confiabilidade e integridade dos dados, implicando grave retrocesso da infraestrutura de tecnologia, já que atualmente há no mercado um sem-número de ERP’s. </w:t>
      </w:r>
    </w:p>
    <w:p w14:paraId="095A89B7"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3.21.16 </w:t>
      </w:r>
      <w:r w:rsidRPr="00E6193A">
        <w:rPr>
          <w:rFonts w:ascii="Times New Roman" w:eastAsia="SimSun" w:hAnsi="Times New Roman" w:cs="Times New Roman"/>
          <w:color w:val="000000"/>
          <w:shd w:val="clear" w:color="auto" w:fill="FFFFFF"/>
          <w:lang w:eastAsia="hi-IN" w:bidi="hi-IN"/>
        </w:rPr>
        <w:t xml:space="preserve">Dessa forma, deverá ser utilizada a ferramenta de gestão benchmarking no contexto da Administração Pública, conceituada pela Fundação Nacional de Qualidade (FNQ), em seu e-book, o termo </w:t>
      </w:r>
      <w:r w:rsidRPr="00E6193A">
        <w:rPr>
          <w:rFonts w:ascii="Times New Roman" w:eastAsia="SimSun" w:hAnsi="Times New Roman" w:cs="Times New Roman"/>
          <w:i/>
          <w:iCs/>
          <w:color w:val="000000"/>
          <w:shd w:val="clear" w:color="auto" w:fill="FFFFFF"/>
          <w:lang w:eastAsia="hi-IN" w:bidi="hi-IN"/>
        </w:rPr>
        <w:t>Benchmarking</w:t>
      </w:r>
      <w:r w:rsidRPr="00E6193A">
        <w:rPr>
          <w:rFonts w:ascii="Times New Roman" w:eastAsia="SimSun" w:hAnsi="Times New Roman" w:cs="Times New Roman"/>
          <w:color w:val="000000"/>
          <w:shd w:val="clear" w:color="auto" w:fill="FFFFFF"/>
          <w:lang w:eastAsia="hi-IN" w:bidi="hi-IN"/>
        </w:rPr>
        <w:t xml:space="preserve"> como sendo: “</w:t>
      </w:r>
      <w:r w:rsidRPr="00E6193A">
        <w:rPr>
          <w:rFonts w:ascii="Times New Roman" w:eastAsia="SimSun" w:hAnsi="Times New Roman" w:cs="Times New Roman"/>
          <w:i/>
          <w:iCs/>
          <w:color w:val="000000"/>
          <w:shd w:val="clear" w:color="auto" w:fill="FFFFFF"/>
          <w:lang w:eastAsia="hi-IN" w:bidi="hi-IN"/>
        </w:rPr>
        <w:t>Um método para comparar o desempenho de algum processo, prática de gestão ou produto da organização com o de um processo, prática ou produto similar que esteja sendo executado de forma mais eficiente, na própria ou em outra organização, visando a entender as razões do desempenho superior, adaptar à realidade da organização e implementar melhorias significativas</w:t>
      </w:r>
      <w:r w:rsidRPr="00E6193A">
        <w:rPr>
          <w:rFonts w:ascii="Times New Roman" w:eastAsia="SimSun" w:hAnsi="Times New Roman" w:cs="Times New Roman"/>
          <w:color w:val="000000"/>
          <w:shd w:val="clear" w:color="auto" w:fill="FFFFFF"/>
          <w:lang w:eastAsia="hi-IN" w:bidi="hi-IN"/>
        </w:rPr>
        <w:t>.”</w:t>
      </w:r>
    </w:p>
    <w:p w14:paraId="7161DE96"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color w:val="000000"/>
          <w:shd w:val="clear" w:color="auto" w:fill="FFFFFF"/>
          <w:lang w:eastAsia="hi-IN" w:bidi="hi-IN"/>
        </w:rPr>
        <w:t xml:space="preserve">3.21.17 </w:t>
      </w:r>
      <w:r w:rsidRPr="00E6193A">
        <w:rPr>
          <w:rFonts w:ascii="Times New Roman" w:eastAsia="SimSun" w:hAnsi="Times New Roman" w:cs="Times New Roman"/>
          <w:color w:val="000000"/>
          <w:shd w:val="clear" w:color="auto" w:fill="FFFFFF"/>
          <w:lang w:eastAsia="hi-IN" w:bidi="hi-IN"/>
        </w:rPr>
        <w:t>Certamente a adoção de um modelo de referência bem elaborado ou seu uso como ponto de partida para a adaptação para modelos específicos resulta em diminuição de custos de tecnologia da informação, automatização de tarefas e maior facilidade no treinamento de pessoas, dentre outros benefícios. Como descrito anteriormente de maneira mais detalhada.</w:t>
      </w:r>
    </w:p>
    <w:p w14:paraId="52A507AB"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firstLine="1134"/>
        <w:jc w:val="both"/>
        <w:rPr>
          <w:rFonts w:ascii="Times New Roman" w:eastAsia="SimSun" w:hAnsi="Times New Roman" w:cs="Times New Roman"/>
          <w:lang w:eastAsia="zh-CN" w:bidi="hi-IN"/>
        </w:rPr>
      </w:pPr>
    </w:p>
    <w:p w14:paraId="2024099C"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4 Descrição da solução como um todo, inclusive das exigências relacionadas à manutenção e à assistência técnica, quando for o caso.</w:t>
      </w:r>
    </w:p>
    <w:p w14:paraId="21915B06"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rPr>
        <w:t xml:space="preserve">4.1 </w:t>
      </w:r>
      <w:r w:rsidRPr="00E6193A">
        <w:rPr>
          <w:rFonts w:ascii="Times New Roman" w:eastAsia="Times New Roman" w:hAnsi="Times New Roman" w:cs="Times New Roman"/>
        </w:rPr>
        <w:t>A solução como um todo é a locação de sistema web integrado de gestão pública municipal, em nuvem, incluindo Serviços complementares de implantação, manutenção (corretiva, adaptativa e evolutiva), suporte técnico e treinamento de servidores públicos municipais, armazenamento e segurança da informação</w:t>
      </w:r>
      <w:r w:rsidRPr="00E6193A">
        <w:rPr>
          <w:rFonts w:ascii="Times New Roman" w:eastAsia="Times New Roman" w:hAnsi="Times New Roman" w:cs="Times New Roman"/>
          <w:lang w:eastAsia="pt-BR"/>
        </w:rPr>
        <w:t>.</w:t>
      </w:r>
    </w:p>
    <w:p w14:paraId="605DB53E"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p>
    <w:p w14:paraId="05FEF0FB"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206F7E6A"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5.1 </w:t>
      </w:r>
      <w:r w:rsidRPr="00E6193A">
        <w:rPr>
          <w:rFonts w:ascii="Times New Roman" w:eastAsia="Times New Roman" w:hAnsi="Times New Roman" w:cs="Times New Roman"/>
          <w:lang w:eastAsia="pt-BR"/>
        </w:rPr>
        <w:t>Estimativas das quantidades para a contratação, de modo a possibilitar a economia de escala, com base nas necessidades da Administração Pública, atendendo de forma sistêmica um ERP:</w:t>
      </w:r>
    </w:p>
    <w:tbl>
      <w:tblPr>
        <w:tblW w:w="8964" w:type="dxa"/>
        <w:tblInd w:w="25" w:type="dxa"/>
        <w:tblLayout w:type="fixed"/>
        <w:tblCellMar>
          <w:top w:w="55" w:type="dxa"/>
          <w:left w:w="55" w:type="dxa"/>
          <w:bottom w:w="55" w:type="dxa"/>
          <w:right w:w="55" w:type="dxa"/>
        </w:tblCellMar>
        <w:tblLook w:val="0000" w:firstRow="0" w:lastRow="0" w:firstColumn="0" w:lastColumn="0" w:noHBand="0" w:noVBand="0"/>
      </w:tblPr>
      <w:tblGrid>
        <w:gridCol w:w="804"/>
        <w:gridCol w:w="5522"/>
        <w:gridCol w:w="1108"/>
        <w:gridCol w:w="1530"/>
      </w:tblGrid>
      <w:tr w:rsidR="00B307DB" w:rsidRPr="00E6193A" w14:paraId="7E33EDD8" w14:textId="77777777" w:rsidTr="00B307DB">
        <w:trPr>
          <w:trHeight w:val="276"/>
        </w:trPr>
        <w:tc>
          <w:tcPr>
            <w:tcW w:w="8964" w:type="dxa"/>
            <w:gridSpan w:val="4"/>
            <w:tcBorders>
              <w:top w:val="single" w:sz="4" w:space="0" w:color="000000"/>
              <w:left w:val="single" w:sz="4" w:space="0" w:color="000000"/>
              <w:bottom w:val="single" w:sz="4" w:space="0" w:color="000000"/>
              <w:right w:val="single" w:sz="4" w:space="0" w:color="000000"/>
            </w:tcBorders>
            <w:vAlign w:val="bottom"/>
          </w:tcPr>
          <w:p w14:paraId="705168F2" w14:textId="77777777" w:rsidR="00B307DB" w:rsidRPr="00E6193A" w:rsidRDefault="00B307DB" w:rsidP="00B307DB">
            <w:pPr>
              <w:widowControl w:val="0"/>
              <w:spacing w:after="0" w:line="240" w:lineRule="auto"/>
              <w:ind w:right="-568"/>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LOTE ÚNICO</w:t>
            </w:r>
          </w:p>
        </w:tc>
      </w:tr>
      <w:tr w:rsidR="00B307DB" w:rsidRPr="00E6193A" w14:paraId="0F6685E4" w14:textId="77777777" w:rsidTr="00B307DB">
        <w:trPr>
          <w:trHeight w:val="276"/>
        </w:trPr>
        <w:tc>
          <w:tcPr>
            <w:tcW w:w="804" w:type="dxa"/>
            <w:tcBorders>
              <w:left w:val="single" w:sz="4" w:space="0" w:color="000000"/>
              <w:bottom w:val="single" w:sz="4" w:space="0" w:color="000000"/>
            </w:tcBorders>
            <w:vAlign w:val="center"/>
          </w:tcPr>
          <w:p w14:paraId="293860E5"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Item</w:t>
            </w:r>
          </w:p>
        </w:tc>
        <w:tc>
          <w:tcPr>
            <w:tcW w:w="5522" w:type="dxa"/>
            <w:tcBorders>
              <w:left w:val="single" w:sz="4" w:space="0" w:color="000000"/>
              <w:bottom w:val="single" w:sz="4" w:space="0" w:color="000000"/>
            </w:tcBorders>
            <w:vAlign w:val="center"/>
          </w:tcPr>
          <w:p w14:paraId="72E9FA8B" w14:textId="77777777" w:rsidR="00B307DB" w:rsidRPr="00E6193A" w:rsidRDefault="00B307DB" w:rsidP="00B307DB">
            <w:pPr>
              <w:widowControl w:val="0"/>
              <w:spacing w:after="0" w:line="240" w:lineRule="auto"/>
              <w:ind w:right="-568"/>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Descrição / Especificações mínimas</w:t>
            </w:r>
          </w:p>
        </w:tc>
        <w:tc>
          <w:tcPr>
            <w:tcW w:w="1108" w:type="dxa"/>
            <w:tcBorders>
              <w:left w:val="single" w:sz="4" w:space="0" w:color="000000"/>
              <w:bottom w:val="single" w:sz="4" w:space="0" w:color="000000"/>
            </w:tcBorders>
            <w:vAlign w:val="center"/>
          </w:tcPr>
          <w:p w14:paraId="153DA008" w14:textId="77777777" w:rsidR="00B307DB" w:rsidRPr="00E6193A" w:rsidRDefault="00B307DB" w:rsidP="00B307D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Qtd</w:t>
            </w:r>
          </w:p>
        </w:tc>
        <w:tc>
          <w:tcPr>
            <w:tcW w:w="1530" w:type="dxa"/>
            <w:tcBorders>
              <w:left w:val="single" w:sz="4" w:space="0" w:color="000000"/>
              <w:bottom w:val="single" w:sz="4" w:space="0" w:color="000000"/>
              <w:right w:val="single" w:sz="4" w:space="0" w:color="000000"/>
            </w:tcBorders>
            <w:vAlign w:val="center"/>
          </w:tcPr>
          <w:p w14:paraId="78311E5B" w14:textId="77777777" w:rsidR="00B307DB" w:rsidRPr="00E6193A" w:rsidRDefault="00B307DB" w:rsidP="00B307D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Un.</w:t>
            </w:r>
          </w:p>
        </w:tc>
      </w:tr>
      <w:tr w:rsidR="00B307DB" w:rsidRPr="00E6193A" w14:paraId="4CC5FCB7" w14:textId="77777777" w:rsidTr="00B307DB">
        <w:trPr>
          <w:trHeight w:val="292"/>
        </w:trPr>
        <w:tc>
          <w:tcPr>
            <w:tcW w:w="804" w:type="dxa"/>
            <w:tcBorders>
              <w:left w:val="single" w:sz="4" w:space="0" w:color="000000"/>
              <w:bottom w:val="single" w:sz="4" w:space="0" w:color="000000"/>
            </w:tcBorders>
            <w:vAlign w:val="center"/>
          </w:tcPr>
          <w:p w14:paraId="6B2B46FB"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w:t>
            </w:r>
          </w:p>
        </w:tc>
        <w:tc>
          <w:tcPr>
            <w:tcW w:w="8160" w:type="dxa"/>
            <w:gridSpan w:val="3"/>
            <w:tcBorders>
              <w:left w:val="single" w:sz="4" w:space="0" w:color="000000"/>
              <w:bottom w:val="single" w:sz="4" w:space="0" w:color="000000"/>
              <w:right w:val="single" w:sz="4" w:space="0" w:color="000000"/>
            </w:tcBorders>
            <w:vAlign w:val="center"/>
          </w:tcPr>
          <w:p w14:paraId="764EEC23"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LICENÇA DE USO DE SISTEMA WEB</w:t>
            </w:r>
          </w:p>
        </w:tc>
      </w:tr>
      <w:tr w:rsidR="00B307DB" w:rsidRPr="00E6193A" w14:paraId="1331A8F3" w14:textId="77777777" w:rsidTr="00B307DB">
        <w:trPr>
          <w:trHeight w:val="480"/>
        </w:trPr>
        <w:tc>
          <w:tcPr>
            <w:tcW w:w="804" w:type="dxa"/>
            <w:tcBorders>
              <w:left w:val="single" w:sz="4" w:space="0" w:color="000000"/>
              <w:bottom w:val="single" w:sz="4" w:space="0" w:color="000000"/>
            </w:tcBorders>
            <w:vAlign w:val="center"/>
          </w:tcPr>
          <w:p w14:paraId="627CD803"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1.1</w:t>
            </w:r>
          </w:p>
        </w:tc>
        <w:tc>
          <w:tcPr>
            <w:tcW w:w="8160" w:type="dxa"/>
            <w:gridSpan w:val="3"/>
            <w:tcBorders>
              <w:left w:val="single" w:sz="4" w:space="0" w:color="000000"/>
              <w:bottom w:val="single" w:sz="4" w:space="0" w:color="000000"/>
              <w:right w:val="single" w:sz="4" w:space="0" w:color="000000"/>
            </w:tcBorders>
            <w:vAlign w:val="center"/>
          </w:tcPr>
          <w:p w14:paraId="6A77DBA1"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 MÓDULOS PARA USO DO MUNICÍPIO DE RIQUEZA</w:t>
            </w:r>
          </w:p>
        </w:tc>
      </w:tr>
      <w:tr w:rsidR="00B307DB" w:rsidRPr="00E6193A" w14:paraId="75027C53" w14:textId="77777777" w:rsidTr="00B307DB">
        <w:trPr>
          <w:trHeight w:val="276"/>
        </w:trPr>
        <w:tc>
          <w:tcPr>
            <w:tcW w:w="804" w:type="dxa"/>
            <w:tcBorders>
              <w:left w:val="single" w:sz="4" w:space="0" w:color="000000"/>
              <w:bottom w:val="single" w:sz="4" w:space="0" w:color="000000"/>
            </w:tcBorders>
            <w:vAlign w:val="center"/>
          </w:tcPr>
          <w:p w14:paraId="732B369C"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w:t>
            </w:r>
          </w:p>
        </w:tc>
        <w:tc>
          <w:tcPr>
            <w:tcW w:w="5522" w:type="dxa"/>
            <w:tcBorders>
              <w:left w:val="single" w:sz="4" w:space="0" w:color="000000"/>
              <w:bottom w:val="single" w:sz="4" w:space="0" w:color="000000"/>
            </w:tcBorders>
            <w:vAlign w:val="center"/>
          </w:tcPr>
          <w:p w14:paraId="5BDAF1AF"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Planejamento e Orçamento</w:t>
            </w:r>
          </w:p>
        </w:tc>
        <w:tc>
          <w:tcPr>
            <w:tcW w:w="1108" w:type="dxa"/>
            <w:tcBorders>
              <w:left w:val="single" w:sz="4" w:space="0" w:color="000000"/>
              <w:bottom w:val="single" w:sz="4" w:space="0" w:color="000000"/>
            </w:tcBorders>
            <w:vAlign w:val="center"/>
          </w:tcPr>
          <w:p w14:paraId="7976BFE1"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BAC1DDD"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46922FC9" w14:textId="77777777" w:rsidTr="00B307DB">
        <w:trPr>
          <w:trHeight w:val="276"/>
        </w:trPr>
        <w:tc>
          <w:tcPr>
            <w:tcW w:w="804" w:type="dxa"/>
            <w:tcBorders>
              <w:left w:val="single" w:sz="4" w:space="0" w:color="000000"/>
              <w:bottom w:val="single" w:sz="4" w:space="0" w:color="000000"/>
            </w:tcBorders>
            <w:vAlign w:val="center"/>
          </w:tcPr>
          <w:p w14:paraId="7B688292"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w:t>
            </w:r>
          </w:p>
        </w:tc>
        <w:tc>
          <w:tcPr>
            <w:tcW w:w="5522" w:type="dxa"/>
            <w:tcBorders>
              <w:left w:val="single" w:sz="4" w:space="0" w:color="000000"/>
              <w:bottom w:val="single" w:sz="4" w:space="0" w:color="000000"/>
            </w:tcBorders>
            <w:vAlign w:val="center"/>
          </w:tcPr>
          <w:p w14:paraId="73661625"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Gestão Contábil e Financeira</w:t>
            </w:r>
          </w:p>
        </w:tc>
        <w:tc>
          <w:tcPr>
            <w:tcW w:w="1108" w:type="dxa"/>
            <w:tcBorders>
              <w:left w:val="single" w:sz="4" w:space="0" w:color="000000"/>
              <w:bottom w:val="single" w:sz="4" w:space="0" w:color="000000"/>
            </w:tcBorders>
            <w:vAlign w:val="center"/>
          </w:tcPr>
          <w:p w14:paraId="2E6C7411"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1AD75F0"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7043993D" w14:textId="77777777" w:rsidTr="00B307DB">
        <w:trPr>
          <w:trHeight w:val="276"/>
        </w:trPr>
        <w:tc>
          <w:tcPr>
            <w:tcW w:w="804" w:type="dxa"/>
            <w:tcBorders>
              <w:left w:val="single" w:sz="4" w:space="0" w:color="000000"/>
              <w:bottom w:val="single" w:sz="4" w:space="0" w:color="000000"/>
            </w:tcBorders>
            <w:vAlign w:val="center"/>
          </w:tcPr>
          <w:p w14:paraId="71400350"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1.1.3</w:t>
            </w:r>
          </w:p>
        </w:tc>
        <w:tc>
          <w:tcPr>
            <w:tcW w:w="5522" w:type="dxa"/>
            <w:tcBorders>
              <w:left w:val="single" w:sz="4" w:space="0" w:color="000000"/>
              <w:bottom w:val="single" w:sz="4" w:space="0" w:color="000000"/>
            </w:tcBorders>
            <w:vAlign w:val="center"/>
          </w:tcPr>
          <w:p w14:paraId="3FCC1756"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Controle interno</w:t>
            </w:r>
          </w:p>
        </w:tc>
        <w:tc>
          <w:tcPr>
            <w:tcW w:w="1108" w:type="dxa"/>
            <w:tcBorders>
              <w:left w:val="single" w:sz="4" w:space="0" w:color="000000"/>
              <w:bottom w:val="single" w:sz="4" w:space="0" w:color="000000"/>
            </w:tcBorders>
            <w:vAlign w:val="center"/>
          </w:tcPr>
          <w:p w14:paraId="13A82113"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4099FC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5B4AFAA9" w14:textId="77777777" w:rsidTr="00B307DB">
        <w:trPr>
          <w:trHeight w:val="276"/>
        </w:trPr>
        <w:tc>
          <w:tcPr>
            <w:tcW w:w="804" w:type="dxa"/>
            <w:tcBorders>
              <w:left w:val="single" w:sz="4" w:space="0" w:color="000000"/>
              <w:bottom w:val="single" w:sz="4" w:space="0" w:color="000000"/>
            </w:tcBorders>
            <w:vAlign w:val="center"/>
          </w:tcPr>
          <w:p w14:paraId="6C5AB457"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1.1.4</w:t>
            </w:r>
          </w:p>
        </w:tc>
        <w:tc>
          <w:tcPr>
            <w:tcW w:w="5522" w:type="dxa"/>
            <w:tcBorders>
              <w:left w:val="single" w:sz="4" w:space="0" w:color="000000"/>
              <w:bottom w:val="single" w:sz="4" w:space="0" w:color="000000"/>
            </w:tcBorders>
            <w:vAlign w:val="center"/>
          </w:tcPr>
          <w:p w14:paraId="6EC55F1F"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Compras e licitações</w:t>
            </w:r>
          </w:p>
        </w:tc>
        <w:tc>
          <w:tcPr>
            <w:tcW w:w="1108" w:type="dxa"/>
            <w:tcBorders>
              <w:left w:val="single" w:sz="4" w:space="0" w:color="000000"/>
              <w:bottom w:val="single" w:sz="4" w:space="0" w:color="000000"/>
            </w:tcBorders>
            <w:vAlign w:val="center"/>
          </w:tcPr>
          <w:p w14:paraId="24DF094C"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B7464C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09D6F877" w14:textId="77777777" w:rsidTr="00B307DB">
        <w:trPr>
          <w:trHeight w:val="276"/>
        </w:trPr>
        <w:tc>
          <w:tcPr>
            <w:tcW w:w="804" w:type="dxa"/>
            <w:tcBorders>
              <w:left w:val="single" w:sz="4" w:space="0" w:color="000000"/>
              <w:bottom w:val="single" w:sz="4" w:space="0" w:color="000000"/>
            </w:tcBorders>
            <w:vAlign w:val="center"/>
          </w:tcPr>
          <w:p w14:paraId="667F1376"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1.1.5</w:t>
            </w:r>
          </w:p>
        </w:tc>
        <w:tc>
          <w:tcPr>
            <w:tcW w:w="5522" w:type="dxa"/>
            <w:tcBorders>
              <w:left w:val="single" w:sz="4" w:space="0" w:color="000000"/>
              <w:bottom w:val="single" w:sz="4" w:space="0" w:color="000000"/>
            </w:tcBorders>
            <w:vAlign w:val="center"/>
          </w:tcPr>
          <w:p w14:paraId="341A8F8D"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Almoxarifado</w:t>
            </w:r>
          </w:p>
        </w:tc>
        <w:tc>
          <w:tcPr>
            <w:tcW w:w="1108" w:type="dxa"/>
            <w:tcBorders>
              <w:left w:val="single" w:sz="4" w:space="0" w:color="000000"/>
              <w:bottom w:val="single" w:sz="4" w:space="0" w:color="000000"/>
            </w:tcBorders>
            <w:vAlign w:val="center"/>
          </w:tcPr>
          <w:p w14:paraId="7A01ED76"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6FFAE85"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44DEC325" w14:textId="77777777" w:rsidTr="00B307DB">
        <w:trPr>
          <w:trHeight w:val="276"/>
        </w:trPr>
        <w:tc>
          <w:tcPr>
            <w:tcW w:w="804" w:type="dxa"/>
            <w:tcBorders>
              <w:left w:val="single" w:sz="4" w:space="0" w:color="000000"/>
              <w:bottom w:val="single" w:sz="4" w:space="0" w:color="000000"/>
            </w:tcBorders>
            <w:vAlign w:val="center"/>
          </w:tcPr>
          <w:p w14:paraId="1706A009"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1.1.6</w:t>
            </w:r>
          </w:p>
        </w:tc>
        <w:tc>
          <w:tcPr>
            <w:tcW w:w="5522" w:type="dxa"/>
            <w:tcBorders>
              <w:left w:val="single" w:sz="4" w:space="0" w:color="000000"/>
              <w:bottom w:val="single" w:sz="4" w:space="0" w:color="000000"/>
            </w:tcBorders>
            <w:vAlign w:val="center"/>
          </w:tcPr>
          <w:p w14:paraId="74363296"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Patrimônio</w:t>
            </w:r>
          </w:p>
        </w:tc>
        <w:tc>
          <w:tcPr>
            <w:tcW w:w="1108" w:type="dxa"/>
            <w:tcBorders>
              <w:left w:val="single" w:sz="4" w:space="0" w:color="000000"/>
              <w:bottom w:val="single" w:sz="4" w:space="0" w:color="000000"/>
            </w:tcBorders>
            <w:vAlign w:val="center"/>
          </w:tcPr>
          <w:p w14:paraId="5E3FA2F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A5BF54F"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559314ED" w14:textId="77777777" w:rsidTr="00B307DB">
        <w:trPr>
          <w:trHeight w:val="276"/>
        </w:trPr>
        <w:tc>
          <w:tcPr>
            <w:tcW w:w="804" w:type="dxa"/>
            <w:tcBorders>
              <w:left w:val="single" w:sz="4" w:space="0" w:color="000000"/>
              <w:bottom w:val="single" w:sz="4" w:space="0" w:color="000000"/>
            </w:tcBorders>
            <w:vAlign w:val="center"/>
          </w:tcPr>
          <w:p w14:paraId="30F14E6A"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1.1.7</w:t>
            </w:r>
          </w:p>
        </w:tc>
        <w:tc>
          <w:tcPr>
            <w:tcW w:w="5522" w:type="dxa"/>
            <w:tcBorders>
              <w:left w:val="single" w:sz="4" w:space="0" w:color="000000"/>
              <w:bottom w:val="single" w:sz="4" w:space="0" w:color="000000"/>
            </w:tcBorders>
            <w:vAlign w:val="center"/>
          </w:tcPr>
          <w:p w14:paraId="345A0888"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Frota</w:t>
            </w:r>
          </w:p>
        </w:tc>
        <w:tc>
          <w:tcPr>
            <w:tcW w:w="1108" w:type="dxa"/>
            <w:tcBorders>
              <w:left w:val="single" w:sz="4" w:space="0" w:color="000000"/>
              <w:bottom w:val="single" w:sz="4" w:space="0" w:color="000000"/>
            </w:tcBorders>
            <w:vAlign w:val="center"/>
          </w:tcPr>
          <w:p w14:paraId="7D0622F1"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F777A13"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22002C11" w14:textId="77777777" w:rsidTr="00B307DB">
        <w:trPr>
          <w:trHeight w:val="276"/>
        </w:trPr>
        <w:tc>
          <w:tcPr>
            <w:tcW w:w="804" w:type="dxa"/>
            <w:tcBorders>
              <w:left w:val="single" w:sz="4" w:space="0" w:color="000000"/>
              <w:bottom w:val="single" w:sz="4" w:space="0" w:color="000000"/>
            </w:tcBorders>
            <w:vAlign w:val="center"/>
          </w:tcPr>
          <w:p w14:paraId="0696A2D7"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1.1.8</w:t>
            </w:r>
          </w:p>
        </w:tc>
        <w:tc>
          <w:tcPr>
            <w:tcW w:w="5522" w:type="dxa"/>
            <w:tcBorders>
              <w:left w:val="single" w:sz="4" w:space="0" w:color="000000"/>
              <w:bottom w:val="single" w:sz="4" w:space="0" w:color="000000"/>
            </w:tcBorders>
            <w:vAlign w:val="center"/>
          </w:tcPr>
          <w:p w14:paraId="5BF1C44E"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Folha de Pagamento</w:t>
            </w:r>
          </w:p>
        </w:tc>
        <w:tc>
          <w:tcPr>
            <w:tcW w:w="1108" w:type="dxa"/>
            <w:tcBorders>
              <w:left w:val="single" w:sz="4" w:space="0" w:color="000000"/>
              <w:bottom w:val="single" w:sz="4" w:space="0" w:color="000000"/>
            </w:tcBorders>
            <w:vAlign w:val="center"/>
          </w:tcPr>
          <w:p w14:paraId="6504D8FF"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605A7BA"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4BB5E675" w14:textId="77777777" w:rsidTr="00B307DB">
        <w:trPr>
          <w:trHeight w:val="276"/>
        </w:trPr>
        <w:tc>
          <w:tcPr>
            <w:tcW w:w="804" w:type="dxa"/>
            <w:tcBorders>
              <w:left w:val="single" w:sz="4" w:space="0" w:color="000000"/>
              <w:bottom w:val="single" w:sz="4" w:space="0" w:color="000000"/>
            </w:tcBorders>
            <w:vAlign w:val="center"/>
          </w:tcPr>
          <w:p w14:paraId="7BA74311"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1.1.9</w:t>
            </w:r>
          </w:p>
        </w:tc>
        <w:tc>
          <w:tcPr>
            <w:tcW w:w="5522" w:type="dxa"/>
            <w:tcBorders>
              <w:left w:val="single" w:sz="4" w:space="0" w:color="000000"/>
              <w:bottom w:val="single" w:sz="4" w:space="0" w:color="000000"/>
            </w:tcBorders>
            <w:vAlign w:val="center"/>
          </w:tcPr>
          <w:p w14:paraId="5AC4DA89"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Avaliação de Desempenho</w:t>
            </w:r>
          </w:p>
        </w:tc>
        <w:tc>
          <w:tcPr>
            <w:tcW w:w="1108" w:type="dxa"/>
            <w:tcBorders>
              <w:left w:val="single" w:sz="4" w:space="0" w:color="000000"/>
              <w:bottom w:val="single" w:sz="4" w:space="0" w:color="000000"/>
            </w:tcBorders>
            <w:vAlign w:val="center"/>
          </w:tcPr>
          <w:p w14:paraId="4D00A13F"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C36C1CF"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7FAE5D47" w14:textId="77777777" w:rsidTr="00B307DB">
        <w:trPr>
          <w:trHeight w:val="276"/>
        </w:trPr>
        <w:tc>
          <w:tcPr>
            <w:tcW w:w="804" w:type="dxa"/>
            <w:tcBorders>
              <w:left w:val="single" w:sz="4" w:space="0" w:color="000000"/>
              <w:bottom w:val="single" w:sz="4" w:space="0" w:color="000000"/>
            </w:tcBorders>
            <w:vAlign w:val="center"/>
          </w:tcPr>
          <w:p w14:paraId="1C57028E"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1.1.10</w:t>
            </w:r>
          </w:p>
        </w:tc>
        <w:tc>
          <w:tcPr>
            <w:tcW w:w="5522" w:type="dxa"/>
            <w:tcBorders>
              <w:left w:val="single" w:sz="4" w:space="0" w:color="000000"/>
              <w:bottom w:val="single" w:sz="4" w:space="0" w:color="000000"/>
            </w:tcBorders>
            <w:vAlign w:val="center"/>
          </w:tcPr>
          <w:p w14:paraId="5109B237"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Segurança e Medicina do Trabalho</w:t>
            </w:r>
          </w:p>
        </w:tc>
        <w:tc>
          <w:tcPr>
            <w:tcW w:w="1108" w:type="dxa"/>
            <w:tcBorders>
              <w:left w:val="single" w:sz="4" w:space="0" w:color="000000"/>
              <w:bottom w:val="single" w:sz="4" w:space="0" w:color="000000"/>
            </w:tcBorders>
            <w:vAlign w:val="center"/>
          </w:tcPr>
          <w:p w14:paraId="7C06BD65"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99CCE9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29AFEA7C" w14:textId="77777777" w:rsidTr="00B307DB">
        <w:trPr>
          <w:trHeight w:val="276"/>
        </w:trPr>
        <w:tc>
          <w:tcPr>
            <w:tcW w:w="804" w:type="dxa"/>
            <w:tcBorders>
              <w:left w:val="single" w:sz="4" w:space="0" w:color="000000"/>
              <w:bottom w:val="single" w:sz="4" w:space="0" w:color="000000"/>
            </w:tcBorders>
            <w:vAlign w:val="center"/>
          </w:tcPr>
          <w:p w14:paraId="5F3D789C"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1.1.11</w:t>
            </w:r>
          </w:p>
        </w:tc>
        <w:tc>
          <w:tcPr>
            <w:tcW w:w="5522" w:type="dxa"/>
            <w:tcBorders>
              <w:left w:val="single" w:sz="4" w:space="0" w:color="000000"/>
              <w:bottom w:val="single" w:sz="4" w:space="0" w:color="000000"/>
            </w:tcBorders>
            <w:vAlign w:val="center"/>
          </w:tcPr>
          <w:p w14:paraId="5448D069"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Ponto Eletrônico</w:t>
            </w:r>
          </w:p>
        </w:tc>
        <w:tc>
          <w:tcPr>
            <w:tcW w:w="1108" w:type="dxa"/>
            <w:tcBorders>
              <w:left w:val="single" w:sz="4" w:space="0" w:color="000000"/>
              <w:bottom w:val="single" w:sz="4" w:space="0" w:color="000000"/>
            </w:tcBorders>
            <w:vAlign w:val="center"/>
          </w:tcPr>
          <w:p w14:paraId="087040E3"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575F7CA"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43D78E79" w14:textId="77777777" w:rsidTr="00B307DB">
        <w:trPr>
          <w:trHeight w:val="276"/>
        </w:trPr>
        <w:tc>
          <w:tcPr>
            <w:tcW w:w="804" w:type="dxa"/>
            <w:tcBorders>
              <w:left w:val="single" w:sz="4" w:space="0" w:color="000000"/>
              <w:bottom w:val="single" w:sz="4" w:space="0" w:color="000000"/>
            </w:tcBorders>
            <w:vAlign w:val="center"/>
          </w:tcPr>
          <w:p w14:paraId="5CC35250"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1.1.12</w:t>
            </w:r>
          </w:p>
        </w:tc>
        <w:tc>
          <w:tcPr>
            <w:tcW w:w="5522" w:type="dxa"/>
            <w:tcBorders>
              <w:left w:val="single" w:sz="4" w:space="0" w:color="000000"/>
              <w:bottom w:val="single" w:sz="4" w:space="0" w:color="000000"/>
            </w:tcBorders>
            <w:vAlign w:val="center"/>
          </w:tcPr>
          <w:p w14:paraId="4C39BAE7"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IPTU e Taxas</w:t>
            </w:r>
          </w:p>
        </w:tc>
        <w:tc>
          <w:tcPr>
            <w:tcW w:w="1108" w:type="dxa"/>
            <w:tcBorders>
              <w:left w:val="single" w:sz="4" w:space="0" w:color="000000"/>
              <w:bottom w:val="single" w:sz="4" w:space="0" w:color="000000"/>
            </w:tcBorders>
            <w:vAlign w:val="center"/>
          </w:tcPr>
          <w:p w14:paraId="5DC402B6"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3A8F54E"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6D46599F" w14:textId="77777777" w:rsidTr="00B307DB">
        <w:trPr>
          <w:trHeight w:val="276"/>
        </w:trPr>
        <w:tc>
          <w:tcPr>
            <w:tcW w:w="804" w:type="dxa"/>
            <w:tcBorders>
              <w:left w:val="single" w:sz="4" w:space="0" w:color="000000"/>
              <w:bottom w:val="single" w:sz="4" w:space="0" w:color="000000"/>
            </w:tcBorders>
            <w:vAlign w:val="center"/>
          </w:tcPr>
          <w:p w14:paraId="3F818954"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1.1.13</w:t>
            </w:r>
          </w:p>
        </w:tc>
        <w:tc>
          <w:tcPr>
            <w:tcW w:w="5522" w:type="dxa"/>
            <w:tcBorders>
              <w:left w:val="single" w:sz="4" w:space="0" w:color="000000"/>
              <w:bottom w:val="single" w:sz="4" w:space="0" w:color="000000"/>
            </w:tcBorders>
            <w:vAlign w:val="center"/>
          </w:tcPr>
          <w:p w14:paraId="677E3F65"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ISSQN e Taxas</w:t>
            </w:r>
          </w:p>
        </w:tc>
        <w:tc>
          <w:tcPr>
            <w:tcW w:w="1108" w:type="dxa"/>
            <w:tcBorders>
              <w:left w:val="single" w:sz="4" w:space="0" w:color="000000"/>
              <w:bottom w:val="single" w:sz="4" w:space="0" w:color="000000"/>
            </w:tcBorders>
            <w:vAlign w:val="center"/>
          </w:tcPr>
          <w:p w14:paraId="7152E466"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4110DAD"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22B146F4" w14:textId="77777777" w:rsidTr="00B307DB">
        <w:trPr>
          <w:trHeight w:val="276"/>
        </w:trPr>
        <w:tc>
          <w:tcPr>
            <w:tcW w:w="804" w:type="dxa"/>
            <w:tcBorders>
              <w:left w:val="single" w:sz="4" w:space="0" w:color="000000"/>
              <w:bottom w:val="single" w:sz="4" w:space="0" w:color="000000"/>
            </w:tcBorders>
            <w:vAlign w:val="center"/>
          </w:tcPr>
          <w:p w14:paraId="3EE9164F"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lastRenderedPageBreak/>
              <w:t>1.1.14</w:t>
            </w:r>
          </w:p>
        </w:tc>
        <w:tc>
          <w:tcPr>
            <w:tcW w:w="5522" w:type="dxa"/>
            <w:tcBorders>
              <w:left w:val="single" w:sz="4" w:space="0" w:color="000000"/>
              <w:bottom w:val="single" w:sz="4" w:space="0" w:color="000000"/>
            </w:tcBorders>
            <w:vAlign w:val="center"/>
          </w:tcPr>
          <w:p w14:paraId="0F099DC2"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ITBI e Taxas</w:t>
            </w:r>
          </w:p>
        </w:tc>
        <w:tc>
          <w:tcPr>
            <w:tcW w:w="1108" w:type="dxa"/>
            <w:tcBorders>
              <w:left w:val="single" w:sz="4" w:space="0" w:color="000000"/>
              <w:bottom w:val="single" w:sz="4" w:space="0" w:color="000000"/>
            </w:tcBorders>
            <w:vAlign w:val="center"/>
          </w:tcPr>
          <w:p w14:paraId="7EF5D2C5"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7A3D1B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697D297B" w14:textId="77777777" w:rsidTr="00B307DB">
        <w:trPr>
          <w:trHeight w:val="276"/>
        </w:trPr>
        <w:tc>
          <w:tcPr>
            <w:tcW w:w="804" w:type="dxa"/>
            <w:tcBorders>
              <w:left w:val="single" w:sz="4" w:space="0" w:color="000000"/>
              <w:bottom w:val="single" w:sz="4" w:space="0" w:color="000000"/>
            </w:tcBorders>
            <w:vAlign w:val="center"/>
          </w:tcPr>
          <w:p w14:paraId="05FBC095"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1.1.15</w:t>
            </w:r>
          </w:p>
        </w:tc>
        <w:tc>
          <w:tcPr>
            <w:tcW w:w="5522" w:type="dxa"/>
            <w:tcBorders>
              <w:left w:val="single" w:sz="4" w:space="0" w:color="000000"/>
              <w:bottom w:val="single" w:sz="4" w:space="0" w:color="000000"/>
            </w:tcBorders>
            <w:vAlign w:val="center"/>
          </w:tcPr>
          <w:p w14:paraId="2617C19D"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Receitas Diversas</w:t>
            </w:r>
          </w:p>
        </w:tc>
        <w:tc>
          <w:tcPr>
            <w:tcW w:w="1108" w:type="dxa"/>
            <w:tcBorders>
              <w:left w:val="single" w:sz="4" w:space="0" w:color="000000"/>
              <w:bottom w:val="single" w:sz="4" w:space="0" w:color="000000"/>
            </w:tcBorders>
            <w:vAlign w:val="center"/>
          </w:tcPr>
          <w:p w14:paraId="786B6153"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A819D52"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4C20E03A" w14:textId="77777777" w:rsidTr="00B307DB">
        <w:trPr>
          <w:trHeight w:val="276"/>
        </w:trPr>
        <w:tc>
          <w:tcPr>
            <w:tcW w:w="804" w:type="dxa"/>
            <w:tcBorders>
              <w:left w:val="single" w:sz="4" w:space="0" w:color="000000"/>
              <w:bottom w:val="single" w:sz="4" w:space="0" w:color="000000"/>
            </w:tcBorders>
            <w:vAlign w:val="center"/>
          </w:tcPr>
          <w:p w14:paraId="01AD3399"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1.1.16</w:t>
            </w:r>
          </w:p>
        </w:tc>
        <w:tc>
          <w:tcPr>
            <w:tcW w:w="5522" w:type="dxa"/>
            <w:tcBorders>
              <w:left w:val="single" w:sz="4" w:space="0" w:color="000000"/>
              <w:bottom w:val="single" w:sz="4" w:space="0" w:color="000000"/>
            </w:tcBorders>
            <w:vAlign w:val="center"/>
          </w:tcPr>
          <w:p w14:paraId="6CA114E0"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Divida Ativa</w:t>
            </w:r>
          </w:p>
        </w:tc>
        <w:tc>
          <w:tcPr>
            <w:tcW w:w="1108" w:type="dxa"/>
            <w:tcBorders>
              <w:left w:val="single" w:sz="4" w:space="0" w:color="000000"/>
              <w:bottom w:val="single" w:sz="4" w:space="0" w:color="000000"/>
            </w:tcBorders>
            <w:vAlign w:val="center"/>
          </w:tcPr>
          <w:p w14:paraId="7AAABA3A"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2B746B9"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6C647257" w14:textId="77777777" w:rsidTr="00B307DB">
        <w:trPr>
          <w:trHeight w:val="276"/>
        </w:trPr>
        <w:tc>
          <w:tcPr>
            <w:tcW w:w="804" w:type="dxa"/>
            <w:tcBorders>
              <w:left w:val="single" w:sz="4" w:space="0" w:color="000000"/>
              <w:bottom w:val="single" w:sz="4" w:space="0" w:color="000000"/>
            </w:tcBorders>
            <w:vAlign w:val="center"/>
          </w:tcPr>
          <w:p w14:paraId="2446F3AE"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1.1.17</w:t>
            </w:r>
          </w:p>
        </w:tc>
        <w:tc>
          <w:tcPr>
            <w:tcW w:w="5522" w:type="dxa"/>
            <w:tcBorders>
              <w:left w:val="single" w:sz="4" w:space="0" w:color="000000"/>
              <w:bottom w:val="single" w:sz="4" w:space="0" w:color="000000"/>
            </w:tcBorders>
            <w:vAlign w:val="center"/>
          </w:tcPr>
          <w:p w14:paraId="50FF2630"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Starter</w:t>
            </w:r>
          </w:p>
        </w:tc>
        <w:tc>
          <w:tcPr>
            <w:tcW w:w="1108" w:type="dxa"/>
            <w:tcBorders>
              <w:left w:val="single" w:sz="4" w:space="0" w:color="000000"/>
              <w:bottom w:val="single" w:sz="4" w:space="0" w:color="000000"/>
            </w:tcBorders>
            <w:vAlign w:val="center"/>
          </w:tcPr>
          <w:p w14:paraId="6768E051"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D727E4F"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49710868" w14:textId="77777777" w:rsidTr="00B307DB">
        <w:trPr>
          <w:trHeight w:val="276"/>
        </w:trPr>
        <w:tc>
          <w:tcPr>
            <w:tcW w:w="804" w:type="dxa"/>
            <w:tcBorders>
              <w:left w:val="single" w:sz="4" w:space="0" w:color="000000"/>
              <w:bottom w:val="single" w:sz="4" w:space="0" w:color="000000"/>
            </w:tcBorders>
            <w:vAlign w:val="center"/>
          </w:tcPr>
          <w:p w14:paraId="6483650C"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1.1.18</w:t>
            </w:r>
          </w:p>
        </w:tc>
        <w:tc>
          <w:tcPr>
            <w:tcW w:w="5522" w:type="dxa"/>
            <w:tcBorders>
              <w:left w:val="single" w:sz="4" w:space="0" w:color="000000"/>
              <w:bottom w:val="single" w:sz="4" w:space="0" w:color="000000"/>
            </w:tcBorders>
            <w:vAlign w:val="center"/>
          </w:tcPr>
          <w:p w14:paraId="1FC85780"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Procuradoria</w:t>
            </w:r>
          </w:p>
        </w:tc>
        <w:tc>
          <w:tcPr>
            <w:tcW w:w="1108" w:type="dxa"/>
            <w:tcBorders>
              <w:left w:val="single" w:sz="4" w:space="0" w:color="000000"/>
              <w:bottom w:val="single" w:sz="4" w:space="0" w:color="000000"/>
            </w:tcBorders>
            <w:vAlign w:val="center"/>
          </w:tcPr>
          <w:p w14:paraId="63D190AE"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9A8527A"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53CB3AB0" w14:textId="77777777" w:rsidTr="00B307DB">
        <w:trPr>
          <w:trHeight w:val="276"/>
        </w:trPr>
        <w:tc>
          <w:tcPr>
            <w:tcW w:w="804" w:type="dxa"/>
            <w:tcBorders>
              <w:left w:val="single" w:sz="4" w:space="0" w:color="000000"/>
              <w:bottom w:val="single" w:sz="4" w:space="0" w:color="000000"/>
            </w:tcBorders>
            <w:vAlign w:val="center"/>
          </w:tcPr>
          <w:p w14:paraId="105C61D0"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1.1.19</w:t>
            </w:r>
          </w:p>
        </w:tc>
        <w:tc>
          <w:tcPr>
            <w:tcW w:w="5522" w:type="dxa"/>
            <w:tcBorders>
              <w:left w:val="single" w:sz="4" w:space="0" w:color="000000"/>
              <w:bottom w:val="single" w:sz="4" w:space="0" w:color="000000"/>
            </w:tcBorders>
            <w:vAlign w:val="center"/>
          </w:tcPr>
          <w:p w14:paraId="43212ED8"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Obras e Posturas</w:t>
            </w:r>
          </w:p>
        </w:tc>
        <w:tc>
          <w:tcPr>
            <w:tcW w:w="1108" w:type="dxa"/>
            <w:tcBorders>
              <w:left w:val="single" w:sz="4" w:space="0" w:color="000000"/>
              <w:bottom w:val="single" w:sz="4" w:space="0" w:color="000000"/>
            </w:tcBorders>
            <w:vAlign w:val="center"/>
          </w:tcPr>
          <w:p w14:paraId="6B0EFCD7"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906C54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6E1525F7" w14:textId="77777777" w:rsidTr="00B307DB">
        <w:trPr>
          <w:trHeight w:val="276"/>
        </w:trPr>
        <w:tc>
          <w:tcPr>
            <w:tcW w:w="804" w:type="dxa"/>
            <w:tcBorders>
              <w:left w:val="single" w:sz="4" w:space="0" w:color="000000"/>
              <w:bottom w:val="single" w:sz="4" w:space="0" w:color="000000"/>
            </w:tcBorders>
            <w:vAlign w:val="center"/>
          </w:tcPr>
          <w:p w14:paraId="3697627B"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1.1.20</w:t>
            </w:r>
          </w:p>
        </w:tc>
        <w:tc>
          <w:tcPr>
            <w:tcW w:w="5522" w:type="dxa"/>
            <w:tcBorders>
              <w:left w:val="single" w:sz="4" w:space="0" w:color="000000"/>
              <w:bottom w:val="single" w:sz="4" w:space="0" w:color="000000"/>
            </w:tcBorders>
            <w:vAlign w:val="center"/>
          </w:tcPr>
          <w:p w14:paraId="68A9DBC7"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Protocolo e Processo Digital</w:t>
            </w:r>
          </w:p>
        </w:tc>
        <w:tc>
          <w:tcPr>
            <w:tcW w:w="1108" w:type="dxa"/>
            <w:tcBorders>
              <w:left w:val="single" w:sz="4" w:space="0" w:color="000000"/>
              <w:bottom w:val="single" w:sz="4" w:space="0" w:color="000000"/>
            </w:tcBorders>
            <w:vAlign w:val="center"/>
          </w:tcPr>
          <w:p w14:paraId="57614BFD"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AAD1BED"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053CD11A" w14:textId="77777777" w:rsidTr="00B307DB">
        <w:trPr>
          <w:trHeight w:val="276"/>
        </w:trPr>
        <w:tc>
          <w:tcPr>
            <w:tcW w:w="804" w:type="dxa"/>
            <w:tcBorders>
              <w:left w:val="single" w:sz="4" w:space="0" w:color="000000"/>
              <w:bottom w:val="single" w:sz="4" w:space="0" w:color="000000"/>
            </w:tcBorders>
            <w:vAlign w:val="center"/>
          </w:tcPr>
          <w:p w14:paraId="3C5E70E3"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1.1.21</w:t>
            </w:r>
          </w:p>
        </w:tc>
        <w:tc>
          <w:tcPr>
            <w:tcW w:w="5522" w:type="dxa"/>
            <w:tcBorders>
              <w:left w:val="single" w:sz="4" w:space="0" w:color="000000"/>
              <w:bottom w:val="single" w:sz="4" w:space="0" w:color="000000"/>
            </w:tcBorders>
            <w:vAlign w:val="center"/>
          </w:tcPr>
          <w:p w14:paraId="0E1D8D8F"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App</w:t>
            </w:r>
          </w:p>
        </w:tc>
        <w:tc>
          <w:tcPr>
            <w:tcW w:w="1108" w:type="dxa"/>
            <w:tcBorders>
              <w:left w:val="single" w:sz="4" w:space="0" w:color="000000"/>
              <w:bottom w:val="single" w:sz="4" w:space="0" w:color="000000"/>
            </w:tcBorders>
            <w:vAlign w:val="center"/>
          </w:tcPr>
          <w:p w14:paraId="1ECC594E"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08ABB36"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36301980" w14:textId="77777777" w:rsidTr="00B307DB">
        <w:trPr>
          <w:trHeight w:val="276"/>
        </w:trPr>
        <w:tc>
          <w:tcPr>
            <w:tcW w:w="804" w:type="dxa"/>
            <w:tcBorders>
              <w:left w:val="single" w:sz="4" w:space="0" w:color="000000"/>
              <w:bottom w:val="single" w:sz="4" w:space="0" w:color="000000"/>
            </w:tcBorders>
            <w:vAlign w:val="center"/>
          </w:tcPr>
          <w:p w14:paraId="092E74B1"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1.1.22</w:t>
            </w:r>
          </w:p>
        </w:tc>
        <w:tc>
          <w:tcPr>
            <w:tcW w:w="5522" w:type="dxa"/>
            <w:tcBorders>
              <w:left w:val="single" w:sz="4" w:space="0" w:color="000000"/>
              <w:bottom w:val="single" w:sz="4" w:space="0" w:color="000000"/>
            </w:tcBorders>
            <w:vAlign w:val="center"/>
          </w:tcPr>
          <w:p w14:paraId="563F5E26"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e-Comunica</w:t>
            </w:r>
          </w:p>
        </w:tc>
        <w:tc>
          <w:tcPr>
            <w:tcW w:w="1108" w:type="dxa"/>
            <w:tcBorders>
              <w:left w:val="single" w:sz="4" w:space="0" w:color="000000"/>
              <w:bottom w:val="single" w:sz="4" w:space="0" w:color="000000"/>
            </w:tcBorders>
            <w:vAlign w:val="center"/>
          </w:tcPr>
          <w:p w14:paraId="580BCC51"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7AA2A92"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3E4D6D54" w14:textId="77777777" w:rsidTr="00B307DB">
        <w:trPr>
          <w:trHeight w:val="276"/>
        </w:trPr>
        <w:tc>
          <w:tcPr>
            <w:tcW w:w="804" w:type="dxa"/>
            <w:tcBorders>
              <w:left w:val="single" w:sz="4" w:space="0" w:color="000000"/>
              <w:bottom w:val="single" w:sz="4" w:space="0" w:color="000000"/>
            </w:tcBorders>
            <w:vAlign w:val="center"/>
          </w:tcPr>
          <w:p w14:paraId="6E4F2401"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1.1.23</w:t>
            </w:r>
          </w:p>
        </w:tc>
        <w:tc>
          <w:tcPr>
            <w:tcW w:w="5522" w:type="dxa"/>
            <w:tcBorders>
              <w:left w:val="single" w:sz="4" w:space="0" w:color="000000"/>
              <w:bottom w:val="single" w:sz="4" w:space="0" w:color="000000"/>
            </w:tcBorders>
            <w:vAlign w:val="center"/>
          </w:tcPr>
          <w:p w14:paraId="6D2538C4"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Portal de Autoatendimento</w:t>
            </w:r>
          </w:p>
        </w:tc>
        <w:tc>
          <w:tcPr>
            <w:tcW w:w="1108" w:type="dxa"/>
            <w:tcBorders>
              <w:left w:val="single" w:sz="4" w:space="0" w:color="000000"/>
              <w:bottom w:val="single" w:sz="4" w:space="0" w:color="000000"/>
            </w:tcBorders>
            <w:vAlign w:val="center"/>
          </w:tcPr>
          <w:p w14:paraId="47FFA187"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4E4884B"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64B6D38B" w14:textId="77777777" w:rsidTr="00B307DB">
        <w:trPr>
          <w:trHeight w:val="276"/>
        </w:trPr>
        <w:tc>
          <w:tcPr>
            <w:tcW w:w="804" w:type="dxa"/>
            <w:tcBorders>
              <w:left w:val="single" w:sz="4" w:space="0" w:color="000000"/>
              <w:bottom w:val="single" w:sz="4" w:space="0" w:color="000000"/>
            </w:tcBorders>
            <w:vAlign w:val="center"/>
          </w:tcPr>
          <w:p w14:paraId="3B67FF51"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1.1.24</w:t>
            </w:r>
          </w:p>
        </w:tc>
        <w:tc>
          <w:tcPr>
            <w:tcW w:w="5522" w:type="dxa"/>
            <w:tcBorders>
              <w:left w:val="single" w:sz="4" w:space="0" w:color="000000"/>
              <w:bottom w:val="single" w:sz="4" w:space="0" w:color="000000"/>
            </w:tcBorders>
            <w:vAlign w:val="center"/>
          </w:tcPr>
          <w:p w14:paraId="1FBA8B10"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Portal da Transparência</w:t>
            </w:r>
          </w:p>
        </w:tc>
        <w:tc>
          <w:tcPr>
            <w:tcW w:w="1108" w:type="dxa"/>
            <w:tcBorders>
              <w:left w:val="single" w:sz="4" w:space="0" w:color="000000"/>
              <w:bottom w:val="single" w:sz="4" w:space="0" w:color="000000"/>
            </w:tcBorders>
            <w:vAlign w:val="center"/>
          </w:tcPr>
          <w:p w14:paraId="5275A6F9"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06938736"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5E9AA625" w14:textId="77777777" w:rsidTr="00B307DB">
        <w:trPr>
          <w:trHeight w:val="276"/>
        </w:trPr>
        <w:tc>
          <w:tcPr>
            <w:tcW w:w="804" w:type="dxa"/>
            <w:tcBorders>
              <w:left w:val="single" w:sz="4" w:space="0" w:color="000000"/>
              <w:bottom w:val="single" w:sz="4" w:space="0" w:color="000000"/>
            </w:tcBorders>
            <w:vAlign w:val="center"/>
          </w:tcPr>
          <w:p w14:paraId="54DE6CC9"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1.1.25</w:t>
            </w:r>
          </w:p>
        </w:tc>
        <w:tc>
          <w:tcPr>
            <w:tcW w:w="5522" w:type="dxa"/>
            <w:tcBorders>
              <w:left w:val="single" w:sz="4" w:space="0" w:color="000000"/>
              <w:bottom w:val="single" w:sz="4" w:space="0" w:color="000000"/>
            </w:tcBorders>
            <w:vAlign w:val="center"/>
          </w:tcPr>
          <w:p w14:paraId="74004D6F"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Portal institucional</w:t>
            </w:r>
          </w:p>
        </w:tc>
        <w:tc>
          <w:tcPr>
            <w:tcW w:w="1108" w:type="dxa"/>
            <w:tcBorders>
              <w:left w:val="single" w:sz="4" w:space="0" w:color="000000"/>
              <w:bottom w:val="single" w:sz="4" w:space="0" w:color="000000"/>
            </w:tcBorders>
            <w:vAlign w:val="center"/>
          </w:tcPr>
          <w:p w14:paraId="4AA7832D"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76025E6"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407470A7" w14:textId="77777777" w:rsidTr="00B307DB">
        <w:trPr>
          <w:trHeight w:val="276"/>
        </w:trPr>
        <w:tc>
          <w:tcPr>
            <w:tcW w:w="804" w:type="dxa"/>
            <w:tcBorders>
              <w:left w:val="single" w:sz="4" w:space="0" w:color="000000"/>
              <w:bottom w:val="single" w:sz="4" w:space="0" w:color="000000"/>
            </w:tcBorders>
            <w:vAlign w:val="center"/>
          </w:tcPr>
          <w:p w14:paraId="6DE4BF1E"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1.1.26</w:t>
            </w:r>
          </w:p>
        </w:tc>
        <w:tc>
          <w:tcPr>
            <w:tcW w:w="5522" w:type="dxa"/>
            <w:tcBorders>
              <w:left w:val="single" w:sz="4" w:space="0" w:color="000000"/>
              <w:bottom w:val="single" w:sz="4" w:space="0" w:color="000000"/>
            </w:tcBorders>
            <w:vAlign w:val="center"/>
          </w:tcPr>
          <w:p w14:paraId="7B84CE64"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Nota Fiscal Eletrônica</w:t>
            </w:r>
          </w:p>
        </w:tc>
        <w:tc>
          <w:tcPr>
            <w:tcW w:w="1108" w:type="dxa"/>
            <w:tcBorders>
              <w:left w:val="single" w:sz="4" w:space="0" w:color="000000"/>
              <w:bottom w:val="single" w:sz="4" w:space="0" w:color="000000"/>
            </w:tcBorders>
            <w:vAlign w:val="center"/>
          </w:tcPr>
          <w:p w14:paraId="30EED322"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5267C1E"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70119240" w14:textId="77777777" w:rsidTr="00B307DB">
        <w:trPr>
          <w:trHeight w:val="276"/>
        </w:trPr>
        <w:tc>
          <w:tcPr>
            <w:tcW w:w="804" w:type="dxa"/>
            <w:tcBorders>
              <w:left w:val="single" w:sz="4" w:space="0" w:color="000000"/>
              <w:bottom w:val="single" w:sz="4" w:space="0" w:color="000000"/>
            </w:tcBorders>
            <w:vAlign w:val="center"/>
          </w:tcPr>
          <w:p w14:paraId="4E1283C5"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1.1.27</w:t>
            </w:r>
          </w:p>
        </w:tc>
        <w:tc>
          <w:tcPr>
            <w:tcW w:w="5522" w:type="dxa"/>
            <w:tcBorders>
              <w:left w:val="single" w:sz="4" w:space="0" w:color="000000"/>
              <w:bottom w:val="single" w:sz="4" w:space="0" w:color="000000"/>
            </w:tcBorders>
            <w:vAlign w:val="center"/>
          </w:tcPr>
          <w:p w14:paraId="3755F2E2"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Escrita Fiscal</w:t>
            </w:r>
          </w:p>
        </w:tc>
        <w:tc>
          <w:tcPr>
            <w:tcW w:w="1108" w:type="dxa"/>
            <w:tcBorders>
              <w:left w:val="single" w:sz="4" w:space="0" w:color="000000"/>
              <w:bottom w:val="single" w:sz="4" w:space="0" w:color="000000"/>
            </w:tcBorders>
            <w:vAlign w:val="center"/>
          </w:tcPr>
          <w:p w14:paraId="7753AB87"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FE85BAB"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11C7DB72" w14:textId="77777777" w:rsidTr="00B307DB">
        <w:trPr>
          <w:trHeight w:val="276"/>
        </w:trPr>
        <w:tc>
          <w:tcPr>
            <w:tcW w:w="804" w:type="dxa"/>
            <w:tcBorders>
              <w:left w:val="single" w:sz="4" w:space="0" w:color="000000"/>
              <w:bottom w:val="single" w:sz="4" w:space="0" w:color="000000"/>
            </w:tcBorders>
            <w:vAlign w:val="center"/>
          </w:tcPr>
          <w:p w14:paraId="6D248700"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1.1.28</w:t>
            </w:r>
          </w:p>
        </w:tc>
        <w:tc>
          <w:tcPr>
            <w:tcW w:w="5522" w:type="dxa"/>
            <w:tcBorders>
              <w:left w:val="single" w:sz="4" w:space="0" w:color="000000"/>
              <w:bottom w:val="single" w:sz="4" w:space="0" w:color="000000"/>
            </w:tcBorders>
            <w:vAlign w:val="center"/>
          </w:tcPr>
          <w:p w14:paraId="2D5BFE9E"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Simples Nacional</w:t>
            </w:r>
          </w:p>
        </w:tc>
        <w:tc>
          <w:tcPr>
            <w:tcW w:w="1108" w:type="dxa"/>
            <w:tcBorders>
              <w:left w:val="single" w:sz="4" w:space="0" w:color="000000"/>
              <w:bottom w:val="single" w:sz="4" w:space="0" w:color="000000"/>
            </w:tcBorders>
            <w:vAlign w:val="center"/>
          </w:tcPr>
          <w:p w14:paraId="3D43B15D"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8F81EF0"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1D8E8F05" w14:textId="77777777" w:rsidTr="00B307DB">
        <w:trPr>
          <w:trHeight w:val="276"/>
        </w:trPr>
        <w:tc>
          <w:tcPr>
            <w:tcW w:w="804" w:type="dxa"/>
            <w:tcBorders>
              <w:left w:val="single" w:sz="4" w:space="0" w:color="000000"/>
              <w:bottom w:val="single" w:sz="4" w:space="0" w:color="000000"/>
            </w:tcBorders>
            <w:vAlign w:val="center"/>
          </w:tcPr>
          <w:p w14:paraId="3B3A5A5D"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1.1.29</w:t>
            </w:r>
          </w:p>
        </w:tc>
        <w:tc>
          <w:tcPr>
            <w:tcW w:w="5522" w:type="dxa"/>
            <w:tcBorders>
              <w:left w:val="single" w:sz="4" w:space="0" w:color="000000"/>
              <w:bottom w:val="single" w:sz="4" w:space="0" w:color="000000"/>
            </w:tcBorders>
            <w:vAlign w:val="center"/>
          </w:tcPr>
          <w:p w14:paraId="48A9733B"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Fiscalização fazendária</w:t>
            </w:r>
          </w:p>
        </w:tc>
        <w:tc>
          <w:tcPr>
            <w:tcW w:w="1108" w:type="dxa"/>
            <w:tcBorders>
              <w:left w:val="single" w:sz="4" w:space="0" w:color="000000"/>
              <w:bottom w:val="single" w:sz="4" w:space="0" w:color="000000"/>
            </w:tcBorders>
            <w:vAlign w:val="center"/>
          </w:tcPr>
          <w:p w14:paraId="27B6894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0BD69BF"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54A536CD" w14:textId="77777777" w:rsidTr="00B307DB">
        <w:trPr>
          <w:trHeight w:val="276"/>
        </w:trPr>
        <w:tc>
          <w:tcPr>
            <w:tcW w:w="804" w:type="dxa"/>
            <w:tcBorders>
              <w:left w:val="single" w:sz="4" w:space="0" w:color="000000"/>
              <w:bottom w:val="single" w:sz="4" w:space="0" w:color="000000"/>
            </w:tcBorders>
            <w:vAlign w:val="center"/>
          </w:tcPr>
          <w:p w14:paraId="01116300"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1.1.30</w:t>
            </w:r>
          </w:p>
        </w:tc>
        <w:tc>
          <w:tcPr>
            <w:tcW w:w="5522" w:type="dxa"/>
            <w:tcBorders>
              <w:left w:val="single" w:sz="4" w:space="0" w:color="000000"/>
              <w:bottom w:val="single" w:sz="4" w:space="0" w:color="000000"/>
            </w:tcBorders>
            <w:vAlign w:val="center"/>
          </w:tcPr>
          <w:p w14:paraId="130FA29D"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Agricultura</w:t>
            </w:r>
          </w:p>
        </w:tc>
        <w:tc>
          <w:tcPr>
            <w:tcW w:w="1108" w:type="dxa"/>
            <w:tcBorders>
              <w:left w:val="single" w:sz="4" w:space="0" w:color="000000"/>
              <w:bottom w:val="single" w:sz="4" w:space="0" w:color="000000"/>
            </w:tcBorders>
            <w:vAlign w:val="center"/>
          </w:tcPr>
          <w:p w14:paraId="59DE0992"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62215A5"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4887F8FB" w14:textId="77777777" w:rsidTr="00B307DB">
        <w:trPr>
          <w:trHeight w:val="468"/>
        </w:trPr>
        <w:tc>
          <w:tcPr>
            <w:tcW w:w="804" w:type="dxa"/>
            <w:tcBorders>
              <w:left w:val="single" w:sz="4" w:space="0" w:color="000000"/>
              <w:bottom w:val="single" w:sz="4" w:space="0" w:color="000000"/>
            </w:tcBorders>
            <w:vAlign w:val="center"/>
          </w:tcPr>
          <w:p w14:paraId="61344AD6"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1.2</w:t>
            </w:r>
          </w:p>
        </w:tc>
        <w:tc>
          <w:tcPr>
            <w:tcW w:w="8160" w:type="dxa"/>
            <w:gridSpan w:val="3"/>
            <w:tcBorders>
              <w:left w:val="single" w:sz="4" w:space="0" w:color="000000"/>
              <w:bottom w:val="single" w:sz="4" w:space="0" w:color="000000"/>
              <w:right w:val="single" w:sz="4" w:space="0" w:color="000000"/>
            </w:tcBorders>
            <w:vAlign w:val="center"/>
          </w:tcPr>
          <w:p w14:paraId="2E27D0F4"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MÓDULOS PARA USO DO FUNDO MUNICIPAL DE SAÚDE DE RIQUEZA</w:t>
            </w:r>
          </w:p>
        </w:tc>
      </w:tr>
      <w:tr w:rsidR="00B307DB" w:rsidRPr="00E6193A" w14:paraId="31CDF2D3" w14:textId="77777777" w:rsidTr="00B307DB">
        <w:trPr>
          <w:trHeight w:val="276"/>
        </w:trPr>
        <w:tc>
          <w:tcPr>
            <w:tcW w:w="804" w:type="dxa"/>
            <w:tcBorders>
              <w:left w:val="single" w:sz="4" w:space="0" w:color="000000"/>
              <w:bottom w:val="single" w:sz="4" w:space="0" w:color="000000"/>
            </w:tcBorders>
            <w:vAlign w:val="center"/>
          </w:tcPr>
          <w:p w14:paraId="236794F2"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1.2.1</w:t>
            </w:r>
          </w:p>
        </w:tc>
        <w:tc>
          <w:tcPr>
            <w:tcW w:w="5522" w:type="dxa"/>
            <w:tcBorders>
              <w:left w:val="single" w:sz="4" w:space="0" w:color="000000"/>
              <w:bottom w:val="single" w:sz="4" w:space="0" w:color="000000"/>
            </w:tcBorders>
            <w:vAlign w:val="center"/>
          </w:tcPr>
          <w:p w14:paraId="57C9C0A2"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Planejamento e orçamento</w:t>
            </w:r>
          </w:p>
        </w:tc>
        <w:tc>
          <w:tcPr>
            <w:tcW w:w="1108" w:type="dxa"/>
            <w:tcBorders>
              <w:left w:val="single" w:sz="4" w:space="0" w:color="000000"/>
              <w:bottom w:val="single" w:sz="4" w:space="0" w:color="000000"/>
            </w:tcBorders>
            <w:vAlign w:val="center"/>
          </w:tcPr>
          <w:p w14:paraId="71EFF3F2"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D6E76BD"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0D971713" w14:textId="77777777" w:rsidTr="00B307DB">
        <w:trPr>
          <w:trHeight w:val="276"/>
        </w:trPr>
        <w:tc>
          <w:tcPr>
            <w:tcW w:w="804" w:type="dxa"/>
            <w:tcBorders>
              <w:left w:val="single" w:sz="4" w:space="0" w:color="000000"/>
              <w:bottom w:val="single" w:sz="4" w:space="0" w:color="000000"/>
            </w:tcBorders>
            <w:vAlign w:val="center"/>
          </w:tcPr>
          <w:p w14:paraId="44E94B0A"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1.2.2</w:t>
            </w:r>
          </w:p>
        </w:tc>
        <w:tc>
          <w:tcPr>
            <w:tcW w:w="5522" w:type="dxa"/>
            <w:tcBorders>
              <w:left w:val="single" w:sz="4" w:space="0" w:color="000000"/>
              <w:bottom w:val="single" w:sz="4" w:space="0" w:color="000000"/>
            </w:tcBorders>
            <w:vAlign w:val="center"/>
          </w:tcPr>
          <w:p w14:paraId="44F095ED"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Gestão contábil e financeira</w:t>
            </w:r>
          </w:p>
        </w:tc>
        <w:tc>
          <w:tcPr>
            <w:tcW w:w="1108" w:type="dxa"/>
            <w:tcBorders>
              <w:left w:val="single" w:sz="4" w:space="0" w:color="000000"/>
              <w:bottom w:val="single" w:sz="4" w:space="0" w:color="000000"/>
            </w:tcBorders>
            <w:vAlign w:val="center"/>
          </w:tcPr>
          <w:p w14:paraId="5CB47006"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13A8899"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36BB3B66" w14:textId="77777777" w:rsidTr="00B307DB">
        <w:trPr>
          <w:trHeight w:val="276"/>
        </w:trPr>
        <w:tc>
          <w:tcPr>
            <w:tcW w:w="804" w:type="dxa"/>
            <w:tcBorders>
              <w:left w:val="single" w:sz="4" w:space="0" w:color="000000"/>
              <w:bottom w:val="single" w:sz="4" w:space="0" w:color="000000"/>
            </w:tcBorders>
            <w:vAlign w:val="center"/>
          </w:tcPr>
          <w:p w14:paraId="785CDDEF"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1.2.3</w:t>
            </w:r>
          </w:p>
        </w:tc>
        <w:tc>
          <w:tcPr>
            <w:tcW w:w="5522" w:type="dxa"/>
            <w:tcBorders>
              <w:left w:val="single" w:sz="4" w:space="0" w:color="000000"/>
              <w:bottom w:val="single" w:sz="4" w:space="0" w:color="000000"/>
            </w:tcBorders>
            <w:vAlign w:val="center"/>
          </w:tcPr>
          <w:p w14:paraId="1DBB1635"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Gestão de compras, licitações e contratos</w:t>
            </w:r>
          </w:p>
        </w:tc>
        <w:tc>
          <w:tcPr>
            <w:tcW w:w="1108" w:type="dxa"/>
            <w:tcBorders>
              <w:left w:val="single" w:sz="4" w:space="0" w:color="000000"/>
              <w:bottom w:val="single" w:sz="4" w:space="0" w:color="000000"/>
            </w:tcBorders>
            <w:vAlign w:val="center"/>
          </w:tcPr>
          <w:p w14:paraId="2D4FB6D0"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6250EF2"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09994324" w14:textId="77777777" w:rsidTr="00B307DB">
        <w:trPr>
          <w:trHeight w:val="276"/>
        </w:trPr>
        <w:tc>
          <w:tcPr>
            <w:tcW w:w="804" w:type="dxa"/>
            <w:tcBorders>
              <w:left w:val="single" w:sz="4" w:space="0" w:color="000000"/>
              <w:bottom w:val="single" w:sz="4" w:space="0" w:color="000000"/>
            </w:tcBorders>
            <w:vAlign w:val="center"/>
          </w:tcPr>
          <w:p w14:paraId="47E27798"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1.2.4</w:t>
            </w:r>
          </w:p>
        </w:tc>
        <w:tc>
          <w:tcPr>
            <w:tcW w:w="5522" w:type="dxa"/>
            <w:tcBorders>
              <w:left w:val="single" w:sz="4" w:space="0" w:color="000000"/>
              <w:bottom w:val="single" w:sz="4" w:space="0" w:color="000000"/>
            </w:tcBorders>
            <w:vAlign w:val="center"/>
          </w:tcPr>
          <w:p w14:paraId="5612DD41"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Folha de pagamento</w:t>
            </w:r>
          </w:p>
        </w:tc>
        <w:tc>
          <w:tcPr>
            <w:tcW w:w="1108" w:type="dxa"/>
            <w:tcBorders>
              <w:left w:val="single" w:sz="4" w:space="0" w:color="000000"/>
              <w:bottom w:val="single" w:sz="4" w:space="0" w:color="000000"/>
            </w:tcBorders>
            <w:vAlign w:val="center"/>
          </w:tcPr>
          <w:p w14:paraId="2CBEFB0E"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5B205E7"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51992E9F" w14:textId="77777777" w:rsidTr="00B307DB">
        <w:trPr>
          <w:trHeight w:val="276"/>
        </w:trPr>
        <w:tc>
          <w:tcPr>
            <w:tcW w:w="804" w:type="dxa"/>
            <w:tcBorders>
              <w:left w:val="single" w:sz="4" w:space="0" w:color="000000"/>
              <w:bottom w:val="single" w:sz="4" w:space="0" w:color="000000"/>
            </w:tcBorders>
            <w:vAlign w:val="center"/>
          </w:tcPr>
          <w:p w14:paraId="57B175D9"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1.2.5</w:t>
            </w:r>
          </w:p>
        </w:tc>
        <w:tc>
          <w:tcPr>
            <w:tcW w:w="5522" w:type="dxa"/>
            <w:tcBorders>
              <w:left w:val="single" w:sz="4" w:space="0" w:color="000000"/>
              <w:bottom w:val="single" w:sz="4" w:space="0" w:color="000000"/>
            </w:tcBorders>
            <w:vAlign w:val="center"/>
          </w:tcPr>
          <w:p w14:paraId="4E02E165"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Segurança e medicina do trabalho</w:t>
            </w:r>
          </w:p>
        </w:tc>
        <w:tc>
          <w:tcPr>
            <w:tcW w:w="1108" w:type="dxa"/>
            <w:tcBorders>
              <w:left w:val="single" w:sz="4" w:space="0" w:color="000000"/>
              <w:bottom w:val="single" w:sz="4" w:space="0" w:color="000000"/>
            </w:tcBorders>
            <w:vAlign w:val="center"/>
          </w:tcPr>
          <w:p w14:paraId="5F8DB82E"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ADFAA6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1FFD9ED7" w14:textId="77777777" w:rsidTr="00B307DB">
        <w:trPr>
          <w:trHeight w:val="276"/>
        </w:trPr>
        <w:tc>
          <w:tcPr>
            <w:tcW w:w="804" w:type="dxa"/>
            <w:tcBorders>
              <w:left w:val="single" w:sz="4" w:space="0" w:color="000000"/>
              <w:bottom w:val="single" w:sz="4" w:space="0" w:color="000000"/>
            </w:tcBorders>
            <w:vAlign w:val="center"/>
          </w:tcPr>
          <w:p w14:paraId="7C9E779A"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1.2.6</w:t>
            </w:r>
          </w:p>
        </w:tc>
        <w:tc>
          <w:tcPr>
            <w:tcW w:w="5522" w:type="dxa"/>
            <w:tcBorders>
              <w:left w:val="single" w:sz="4" w:space="0" w:color="000000"/>
              <w:bottom w:val="single" w:sz="4" w:space="0" w:color="000000"/>
            </w:tcBorders>
            <w:vAlign w:val="center"/>
          </w:tcPr>
          <w:p w14:paraId="665F5A16"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Ponto Eletrônico</w:t>
            </w:r>
          </w:p>
        </w:tc>
        <w:tc>
          <w:tcPr>
            <w:tcW w:w="1108" w:type="dxa"/>
            <w:tcBorders>
              <w:left w:val="single" w:sz="4" w:space="0" w:color="000000"/>
              <w:bottom w:val="single" w:sz="4" w:space="0" w:color="000000"/>
            </w:tcBorders>
            <w:vAlign w:val="center"/>
          </w:tcPr>
          <w:p w14:paraId="730FE3AB"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39E039E"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7C6A7C69" w14:textId="77777777" w:rsidTr="00B307DB">
        <w:trPr>
          <w:trHeight w:val="600"/>
        </w:trPr>
        <w:tc>
          <w:tcPr>
            <w:tcW w:w="804" w:type="dxa"/>
            <w:tcBorders>
              <w:left w:val="single" w:sz="4" w:space="0" w:color="000000"/>
              <w:bottom w:val="single" w:sz="4" w:space="0" w:color="000000"/>
            </w:tcBorders>
            <w:vAlign w:val="center"/>
          </w:tcPr>
          <w:p w14:paraId="5FC35ACC"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1.3</w:t>
            </w:r>
          </w:p>
        </w:tc>
        <w:tc>
          <w:tcPr>
            <w:tcW w:w="8160" w:type="dxa"/>
            <w:gridSpan w:val="3"/>
            <w:tcBorders>
              <w:left w:val="single" w:sz="4" w:space="0" w:color="000000"/>
              <w:bottom w:val="single" w:sz="4" w:space="0" w:color="000000"/>
              <w:right w:val="single" w:sz="4" w:space="0" w:color="000000"/>
            </w:tcBorders>
            <w:vAlign w:val="center"/>
          </w:tcPr>
          <w:p w14:paraId="647F22E4"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MÓDULOS PARA USO DA CÂMARA MUNICIPAL DE RIQUEZA</w:t>
            </w:r>
          </w:p>
        </w:tc>
      </w:tr>
      <w:tr w:rsidR="00B307DB" w:rsidRPr="00E6193A" w14:paraId="36773F60" w14:textId="77777777" w:rsidTr="00B307DB">
        <w:trPr>
          <w:trHeight w:val="276"/>
        </w:trPr>
        <w:tc>
          <w:tcPr>
            <w:tcW w:w="804" w:type="dxa"/>
            <w:tcBorders>
              <w:left w:val="single" w:sz="4" w:space="0" w:color="000000"/>
              <w:bottom w:val="single" w:sz="4" w:space="0" w:color="000000"/>
            </w:tcBorders>
            <w:vAlign w:val="center"/>
          </w:tcPr>
          <w:p w14:paraId="1C33C474"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1.3.1</w:t>
            </w:r>
          </w:p>
        </w:tc>
        <w:tc>
          <w:tcPr>
            <w:tcW w:w="5522" w:type="dxa"/>
            <w:tcBorders>
              <w:left w:val="single" w:sz="4" w:space="0" w:color="000000"/>
              <w:bottom w:val="single" w:sz="4" w:space="0" w:color="000000"/>
            </w:tcBorders>
            <w:vAlign w:val="center"/>
          </w:tcPr>
          <w:p w14:paraId="090456CF"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Planejamento e orçamento</w:t>
            </w:r>
          </w:p>
        </w:tc>
        <w:tc>
          <w:tcPr>
            <w:tcW w:w="1108" w:type="dxa"/>
            <w:tcBorders>
              <w:left w:val="single" w:sz="4" w:space="0" w:color="000000"/>
              <w:bottom w:val="single" w:sz="4" w:space="0" w:color="000000"/>
            </w:tcBorders>
            <w:vAlign w:val="center"/>
          </w:tcPr>
          <w:p w14:paraId="0682ED50"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7D6CCAF"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31A65D36" w14:textId="77777777" w:rsidTr="00B307DB">
        <w:trPr>
          <w:trHeight w:val="276"/>
        </w:trPr>
        <w:tc>
          <w:tcPr>
            <w:tcW w:w="804" w:type="dxa"/>
            <w:tcBorders>
              <w:left w:val="single" w:sz="4" w:space="0" w:color="000000"/>
              <w:bottom w:val="single" w:sz="4" w:space="0" w:color="000000"/>
            </w:tcBorders>
            <w:vAlign w:val="center"/>
          </w:tcPr>
          <w:p w14:paraId="17C70BA3"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1.3.2</w:t>
            </w:r>
          </w:p>
        </w:tc>
        <w:tc>
          <w:tcPr>
            <w:tcW w:w="5522" w:type="dxa"/>
            <w:tcBorders>
              <w:left w:val="single" w:sz="4" w:space="0" w:color="000000"/>
              <w:bottom w:val="single" w:sz="4" w:space="0" w:color="000000"/>
            </w:tcBorders>
            <w:vAlign w:val="center"/>
          </w:tcPr>
          <w:p w14:paraId="4A1623D0"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Gestão contábil e financeira</w:t>
            </w:r>
          </w:p>
        </w:tc>
        <w:tc>
          <w:tcPr>
            <w:tcW w:w="1108" w:type="dxa"/>
            <w:tcBorders>
              <w:left w:val="single" w:sz="4" w:space="0" w:color="000000"/>
              <w:bottom w:val="single" w:sz="4" w:space="0" w:color="000000"/>
            </w:tcBorders>
            <w:vAlign w:val="center"/>
          </w:tcPr>
          <w:p w14:paraId="4E68B3DC"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1C8DBD6"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6030699F" w14:textId="77777777" w:rsidTr="00B307DB">
        <w:trPr>
          <w:trHeight w:val="292"/>
        </w:trPr>
        <w:tc>
          <w:tcPr>
            <w:tcW w:w="804" w:type="dxa"/>
            <w:tcBorders>
              <w:left w:val="single" w:sz="4" w:space="0" w:color="000000"/>
              <w:bottom w:val="single" w:sz="4" w:space="0" w:color="000000"/>
            </w:tcBorders>
            <w:vAlign w:val="center"/>
          </w:tcPr>
          <w:p w14:paraId="5652AA7F"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1.3.3</w:t>
            </w:r>
          </w:p>
        </w:tc>
        <w:tc>
          <w:tcPr>
            <w:tcW w:w="5522" w:type="dxa"/>
            <w:tcBorders>
              <w:left w:val="single" w:sz="4" w:space="0" w:color="000000"/>
              <w:bottom w:val="single" w:sz="4" w:space="0" w:color="000000"/>
            </w:tcBorders>
            <w:vAlign w:val="center"/>
          </w:tcPr>
          <w:p w14:paraId="3C63A7B9"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Controle interno</w:t>
            </w:r>
          </w:p>
        </w:tc>
        <w:tc>
          <w:tcPr>
            <w:tcW w:w="1108" w:type="dxa"/>
            <w:tcBorders>
              <w:left w:val="single" w:sz="4" w:space="0" w:color="000000"/>
              <w:bottom w:val="single" w:sz="4" w:space="0" w:color="000000"/>
            </w:tcBorders>
            <w:vAlign w:val="center"/>
          </w:tcPr>
          <w:p w14:paraId="56263906"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3668CB3"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051EB6B2" w14:textId="77777777" w:rsidTr="00B307DB">
        <w:trPr>
          <w:trHeight w:val="292"/>
        </w:trPr>
        <w:tc>
          <w:tcPr>
            <w:tcW w:w="804" w:type="dxa"/>
            <w:tcBorders>
              <w:left w:val="single" w:sz="4" w:space="0" w:color="000000"/>
              <w:bottom w:val="single" w:sz="4" w:space="0" w:color="000000"/>
            </w:tcBorders>
            <w:vAlign w:val="center"/>
          </w:tcPr>
          <w:p w14:paraId="3C50D440"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1.3.4</w:t>
            </w:r>
          </w:p>
        </w:tc>
        <w:tc>
          <w:tcPr>
            <w:tcW w:w="5522" w:type="dxa"/>
            <w:tcBorders>
              <w:left w:val="single" w:sz="4" w:space="0" w:color="000000"/>
              <w:bottom w:val="single" w:sz="4" w:space="0" w:color="000000"/>
            </w:tcBorders>
            <w:vAlign w:val="center"/>
          </w:tcPr>
          <w:p w14:paraId="03EB6CC7"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Compras e licitações</w:t>
            </w:r>
          </w:p>
        </w:tc>
        <w:tc>
          <w:tcPr>
            <w:tcW w:w="1108" w:type="dxa"/>
            <w:tcBorders>
              <w:left w:val="single" w:sz="4" w:space="0" w:color="000000"/>
              <w:bottom w:val="single" w:sz="4" w:space="0" w:color="000000"/>
            </w:tcBorders>
            <w:vAlign w:val="center"/>
          </w:tcPr>
          <w:p w14:paraId="79B8B361"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DC68D12"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0E6EB225" w14:textId="77777777" w:rsidTr="00B307DB">
        <w:trPr>
          <w:trHeight w:val="292"/>
        </w:trPr>
        <w:tc>
          <w:tcPr>
            <w:tcW w:w="804" w:type="dxa"/>
            <w:tcBorders>
              <w:left w:val="single" w:sz="4" w:space="0" w:color="000000"/>
              <w:bottom w:val="single" w:sz="4" w:space="0" w:color="000000"/>
            </w:tcBorders>
            <w:vAlign w:val="center"/>
          </w:tcPr>
          <w:p w14:paraId="06538543"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1.3.5</w:t>
            </w:r>
          </w:p>
        </w:tc>
        <w:tc>
          <w:tcPr>
            <w:tcW w:w="5522" w:type="dxa"/>
            <w:tcBorders>
              <w:left w:val="single" w:sz="4" w:space="0" w:color="000000"/>
              <w:bottom w:val="single" w:sz="4" w:space="0" w:color="000000"/>
            </w:tcBorders>
            <w:vAlign w:val="center"/>
          </w:tcPr>
          <w:p w14:paraId="4D2C1077"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Almoxarifado</w:t>
            </w:r>
          </w:p>
        </w:tc>
        <w:tc>
          <w:tcPr>
            <w:tcW w:w="1108" w:type="dxa"/>
            <w:tcBorders>
              <w:left w:val="single" w:sz="4" w:space="0" w:color="000000"/>
              <w:bottom w:val="single" w:sz="4" w:space="0" w:color="000000"/>
            </w:tcBorders>
            <w:vAlign w:val="center"/>
          </w:tcPr>
          <w:p w14:paraId="2E8076C1"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1589592"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30E52D6B" w14:textId="77777777" w:rsidTr="00B307DB">
        <w:trPr>
          <w:trHeight w:val="292"/>
        </w:trPr>
        <w:tc>
          <w:tcPr>
            <w:tcW w:w="804" w:type="dxa"/>
            <w:tcBorders>
              <w:left w:val="single" w:sz="4" w:space="0" w:color="000000"/>
              <w:bottom w:val="single" w:sz="4" w:space="0" w:color="000000"/>
            </w:tcBorders>
            <w:vAlign w:val="center"/>
          </w:tcPr>
          <w:p w14:paraId="47B50072"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1.3.6</w:t>
            </w:r>
          </w:p>
        </w:tc>
        <w:tc>
          <w:tcPr>
            <w:tcW w:w="5522" w:type="dxa"/>
            <w:tcBorders>
              <w:left w:val="single" w:sz="4" w:space="0" w:color="000000"/>
              <w:bottom w:val="single" w:sz="4" w:space="0" w:color="000000"/>
            </w:tcBorders>
            <w:vAlign w:val="center"/>
          </w:tcPr>
          <w:p w14:paraId="05DEE870"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Patrimônio</w:t>
            </w:r>
          </w:p>
        </w:tc>
        <w:tc>
          <w:tcPr>
            <w:tcW w:w="1108" w:type="dxa"/>
            <w:tcBorders>
              <w:left w:val="single" w:sz="4" w:space="0" w:color="000000"/>
              <w:bottom w:val="single" w:sz="4" w:space="0" w:color="000000"/>
            </w:tcBorders>
            <w:vAlign w:val="center"/>
          </w:tcPr>
          <w:p w14:paraId="5387CE0E"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BF8BFDC"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1CB164B4" w14:textId="77777777" w:rsidTr="00B307DB">
        <w:trPr>
          <w:trHeight w:val="292"/>
        </w:trPr>
        <w:tc>
          <w:tcPr>
            <w:tcW w:w="804" w:type="dxa"/>
            <w:tcBorders>
              <w:left w:val="single" w:sz="4" w:space="0" w:color="000000"/>
              <w:bottom w:val="single" w:sz="4" w:space="0" w:color="000000"/>
            </w:tcBorders>
            <w:vAlign w:val="center"/>
          </w:tcPr>
          <w:p w14:paraId="630C3B2F"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1.3.7</w:t>
            </w:r>
          </w:p>
        </w:tc>
        <w:tc>
          <w:tcPr>
            <w:tcW w:w="5522" w:type="dxa"/>
            <w:tcBorders>
              <w:left w:val="single" w:sz="4" w:space="0" w:color="000000"/>
              <w:bottom w:val="single" w:sz="4" w:space="0" w:color="000000"/>
            </w:tcBorders>
            <w:vAlign w:val="center"/>
          </w:tcPr>
          <w:p w14:paraId="674767B1"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Folha de Pagamento</w:t>
            </w:r>
          </w:p>
        </w:tc>
        <w:tc>
          <w:tcPr>
            <w:tcW w:w="1108" w:type="dxa"/>
            <w:tcBorders>
              <w:left w:val="single" w:sz="4" w:space="0" w:color="000000"/>
              <w:bottom w:val="single" w:sz="4" w:space="0" w:color="000000"/>
            </w:tcBorders>
            <w:vAlign w:val="center"/>
          </w:tcPr>
          <w:p w14:paraId="3961E78A"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BFC64BB"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32DDD516" w14:textId="77777777" w:rsidTr="00B307DB">
        <w:trPr>
          <w:trHeight w:val="292"/>
        </w:trPr>
        <w:tc>
          <w:tcPr>
            <w:tcW w:w="804" w:type="dxa"/>
            <w:tcBorders>
              <w:left w:val="single" w:sz="4" w:space="0" w:color="000000"/>
              <w:bottom w:val="single" w:sz="4" w:space="0" w:color="000000"/>
            </w:tcBorders>
            <w:vAlign w:val="center"/>
          </w:tcPr>
          <w:p w14:paraId="5C711026"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1.3.8</w:t>
            </w:r>
          </w:p>
        </w:tc>
        <w:tc>
          <w:tcPr>
            <w:tcW w:w="5522" w:type="dxa"/>
            <w:tcBorders>
              <w:left w:val="single" w:sz="4" w:space="0" w:color="000000"/>
              <w:bottom w:val="single" w:sz="4" w:space="0" w:color="000000"/>
            </w:tcBorders>
            <w:vAlign w:val="center"/>
          </w:tcPr>
          <w:p w14:paraId="78857BEF"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Segurança e Medicina do Trabalho</w:t>
            </w:r>
          </w:p>
        </w:tc>
        <w:tc>
          <w:tcPr>
            <w:tcW w:w="1108" w:type="dxa"/>
            <w:tcBorders>
              <w:left w:val="single" w:sz="4" w:space="0" w:color="000000"/>
              <w:bottom w:val="single" w:sz="4" w:space="0" w:color="000000"/>
            </w:tcBorders>
            <w:vAlign w:val="center"/>
          </w:tcPr>
          <w:p w14:paraId="33F082E0"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2CD99960"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1987BA83" w14:textId="77777777" w:rsidTr="00B307DB">
        <w:trPr>
          <w:trHeight w:val="276"/>
        </w:trPr>
        <w:tc>
          <w:tcPr>
            <w:tcW w:w="804" w:type="dxa"/>
            <w:tcBorders>
              <w:left w:val="single" w:sz="4" w:space="0" w:color="000000"/>
              <w:bottom w:val="single" w:sz="4" w:space="0" w:color="000000"/>
            </w:tcBorders>
            <w:vAlign w:val="center"/>
          </w:tcPr>
          <w:p w14:paraId="03448556"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1.3.9</w:t>
            </w:r>
          </w:p>
        </w:tc>
        <w:tc>
          <w:tcPr>
            <w:tcW w:w="5522" w:type="dxa"/>
            <w:tcBorders>
              <w:left w:val="single" w:sz="4" w:space="0" w:color="000000"/>
              <w:bottom w:val="single" w:sz="4" w:space="0" w:color="000000"/>
            </w:tcBorders>
            <w:vAlign w:val="center"/>
          </w:tcPr>
          <w:p w14:paraId="76BBEDA2"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Ponto Eletrônico</w:t>
            </w:r>
          </w:p>
        </w:tc>
        <w:tc>
          <w:tcPr>
            <w:tcW w:w="1108" w:type="dxa"/>
            <w:tcBorders>
              <w:left w:val="single" w:sz="4" w:space="0" w:color="000000"/>
              <w:bottom w:val="single" w:sz="4" w:space="0" w:color="000000"/>
            </w:tcBorders>
            <w:vAlign w:val="center"/>
          </w:tcPr>
          <w:p w14:paraId="2298654E"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B7318B5"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1B401898" w14:textId="77777777" w:rsidTr="00B307DB">
        <w:trPr>
          <w:trHeight w:val="276"/>
        </w:trPr>
        <w:tc>
          <w:tcPr>
            <w:tcW w:w="804" w:type="dxa"/>
            <w:tcBorders>
              <w:left w:val="single" w:sz="4" w:space="0" w:color="000000"/>
              <w:bottom w:val="single" w:sz="4" w:space="0" w:color="000000"/>
            </w:tcBorders>
            <w:vAlign w:val="center"/>
          </w:tcPr>
          <w:p w14:paraId="070AF681"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1.3.10</w:t>
            </w:r>
          </w:p>
        </w:tc>
        <w:tc>
          <w:tcPr>
            <w:tcW w:w="5522" w:type="dxa"/>
            <w:tcBorders>
              <w:left w:val="single" w:sz="4" w:space="0" w:color="000000"/>
              <w:bottom w:val="single" w:sz="4" w:space="0" w:color="000000"/>
            </w:tcBorders>
            <w:vAlign w:val="center"/>
          </w:tcPr>
          <w:p w14:paraId="4A9F6E35"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Times New Roman" w:hAnsi="Times New Roman" w:cs="Times New Roman"/>
                <w:color w:val="000000"/>
                <w:lang w:eastAsia="pt-BR"/>
              </w:rPr>
              <w:t>Portal da Transparência</w:t>
            </w:r>
          </w:p>
        </w:tc>
        <w:tc>
          <w:tcPr>
            <w:tcW w:w="1108" w:type="dxa"/>
            <w:tcBorders>
              <w:left w:val="single" w:sz="4" w:space="0" w:color="000000"/>
              <w:bottom w:val="single" w:sz="4" w:space="0" w:color="000000"/>
            </w:tcBorders>
            <w:vAlign w:val="center"/>
          </w:tcPr>
          <w:p w14:paraId="6153BBB2"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45490B3"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734086F5" w14:textId="77777777" w:rsidTr="00B307DB">
        <w:trPr>
          <w:trHeight w:val="430"/>
        </w:trPr>
        <w:tc>
          <w:tcPr>
            <w:tcW w:w="804" w:type="dxa"/>
            <w:tcBorders>
              <w:left w:val="single" w:sz="4" w:space="0" w:color="000000"/>
              <w:bottom w:val="single" w:sz="4" w:space="0" w:color="000000"/>
            </w:tcBorders>
            <w:vAlign w:val="center"/>
          </w:tcPr>
          <w:p w14:paraId="04FC3279"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lastRenderedPageBreak/>
              <w:t>1.4</w:t>
            </w:r>
          </w:p>
        </w:tc>
        <w:tc>
          <w:tcPr>
            <w:tcW w:w="8160" w:type="dxa"/>
            <w:gridSpan w:val="3"/>
            <w:tcBorders>
              <w:left w:val="single" w:sz="4" w:space="0" w:color="000000"/>
              <w:bottom w:val="single" w:sz="4" w:space="0" w:color="000000"/>
              <w:right w:val="single" w:sz="4" w:space="0" w:color="000000"/>
            </w:tcBorders>
            <w:vAlign w:val="center"/>
          </w:tcPr>
          <w:p w14:paraId="5A2908B9"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MÓDULOS PARA USO SECRETARIA DE SAÚDE</w:t>
            </w:r>
          </w:p>
        </w:tc>
      </w:tr>
      <w:tr w:rsidR="00B307DB" w:rsidRPr="00E6193A" w14:paraId="13628D85" w14:textId="77777777" w:rsidTr="00B307DB">
        <w:trPr>
          <w:trHeight w:val="301"/>
        </w:trPr>
        <w:tc>
          <w:tcPr>
            <w:tcW w:w="804" w:type="dxa"/>
            <w:tcBorders>
              <w:left w:val="single" w:sz="4" w:space="0" w:color="000000"/>
              <w:bottom w:val="single" w:sz="4" w:space="0" w:color="000000"/>
            </w:tcBorders>
            <w:vAlign w:val="center"/>
          </w:tcPr>
          <w:p w14:paraId="0D865879" w14:textId="77777777" w:rsidR="00B307DB" w:rsidRPr="00E6193A" w:rsidRDefault="00B307DB" w:rsidP="00B307D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1.4.1</w:t>
            </w:r>
          </w:p>
        </w:tc>
        <w:tc>
          <w:tcPr>
            <w:tcW w:w="5522" w:type="dxa"/>
            <w:tcBorders>
              <w:left w:val="single" w:sz="4" w:space="0" w:color="000000"/>
              <w:bottom w:val="single" w:sz="4" w:space="0" w:color="000000"/>
            </w:tcBorders>
            <w:vAlign w:val="center"/>
          </w:tcPr>
          <w:p w14:paraId="75FCC9FC" w14:textId="77777777" w:rsidR="00B307DB" w:rsidRPr="00E6193A" w:rsidRDefault="00B307DB" w:rsidP="00B307D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Gestão da Saúde (Cadastros nacionais)</w:t>
            </w:r>
          </w:p>
        </w:tc>
        <w:tc>
          <w:tcPr>
            <w:tcW w:w="1108" w:type="dxa"/>
            <w:tcBorders>
              <w:left w:val="single" w:sz="4" w:space="0" w:color="000000"/>
              <w:bottom w:val="single" w:sz="4" w:space="0" w:color="000000"/>
            </w:tcBorders>
            <w:vAlign w:val="center"/>
          </w:tcPr>
          <w:p w14:paraId="7DDDB2F1"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D26C50E"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B307DB" w:rsidRPr="00E6193A" w14:paraId="33A99771" w14:textId="77777777" w:rsidTr="00B307DB">
        <w:trPr>
          <w:trHeight w:val="301"/>
        </w:trPr>
        <w:tc>
          <w:tcPr>
            <w:tcW w:w="804" w:type="dxa"/>
            <w:tcBorders>
              <w:left w:val="single" w:sz="4" w:space="0" w:color="000000"/>
              <w:bottom w:val="single" w:sz="4" w:space="0" w:color="000000"/>
            </w:tcBorders>
            <w:vAlign w:val="center"/>
          </w:tcPr>
          <w:p w14:paraId="46DBDC37" w14:textId="77777777" w:rsidR="00B307DB" w:rsidRPr="00E6193A" w:rsidRDefault="00B307DB" w:rsidP="00B307D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1.4.2</w:t>
            </w:r>
          </w:p>
        </w:tc>
        <w:tc>
          <w:tcPr>
            <w:tcW w:w="5522" w:type="dxa"/>
            <w:tcBorders>
              <w:left w:val="single" w:sz="4" w:space="0" w:color="000000"/>
              <w:bottom w:val="single" w:sz="4" w:space="0" w:color="000000"/>
            </w:tcBorders>
            <w:vAlign w:val="center"/>
          </w:tcPr>
          <w:p w14:paraId="7B9C0CF5" w14:textId="77777777" w:rsidR="00B307DB" w:rsidRPr="00E6193A" w:rsidRDefault="00B307DB" w:rsidP="00B307D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Faturamento (Faturamento, TFT, AIH, APAC)</w:t>
            </w:r>
          </w:p>
        </w:tc>
        <w:tc>
          <w:tcPr>
            <w:tcW w:w="1108" w:type="dxa"/>
            <w:tcBorders>
              <w:left w:val="single" w:sz="4" w:space="0" w:color="000000"/>
              <w:bottom w:val="single" w:sz="4" w:space="0" w:color="000000"/>
            </w:tcBorders>
            <w:vAlign w:val="center"/>
          </w:tcPr>
          <w:p w14:paraId="2CAA112F"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13620D6C"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B307DB" w:rsidRPr="00E6193A" w14:paraId="2CA9DEFB" w14:textId="77777777" w:rsidTr="00B307DB">
        <w:trPr>
          <w:trHeight w:val="301"/>
        </w:trPr>
        <w:tc>
          <w:tcPr>
            <w:tcW w:w="804" w:type="dxa"/>
            <w:tcBorders>
              <w:left w:val="single" w:sz="4" w:space="0" w:color="000000"/>
              <w:bottom w:val="single" w:sz="4" w:space="0" w:color="000000"/>
            </w:tcBorders>
            <w:vAlign w:val="center"/>
          </w:tcPr>
          <w:p w14:paraId="0C238E2A" w14:textId="77777777" w:rsidR="00B307DB" w:rsidRPr="00E6193A" w:rsidRDefault="00B307DB" w:rsidP="00B307D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1.4.3</w:t>
            </w:r>
          </w:p>
        </w:tc>
        <w:tc>
          <w:tcPr>
            <w:tcW w:w="5522" w:type="dxa"/>
            <w:tcBorders>
              <w:left w:val="single" w:sz="4" w:space="0" w:color="000000"/>
              <w:bottom w:val="single" w:sz="4" w:space="0" w:color="000000"/>
            </w:tcBorders>
            <w:vAlign w:val="center"/>
          </w:tcPr>
          <w:p w14:paraId="4B119901" w14:textId="77777777" w:rsidR="00B307DB" w:rsidRPr="00E6193A" w:rsidRDefault="00B307DB" w:rsidP="00B307D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Atenção Primaria (E-SUS AB, Imunizações, ACS Mobile Ofline)</w:t>
            </w:r>
          </w:p>
        </w:tc>
        <w:tc>
          <w:tcPr>
            <w:tcW w:w="1108" w:type="dxa"/>
            <w:tcBorders>
              <w:left w:val="single" w:sz="4" w:space="0" w:color="000000"/>
              <w:bottom w:val="single" w:sz="4" w:space="0" w:color="000000"/>
            </w:tcBorders>
            <w:vAlign w:val="center"/>
          </w:tcPr>
          <w:p w14:paraId="7D279A98"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362B440"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B307DB" w:rsidRPr="00E6193A" w14:paraId="77107650" w14:textId="77777777" w:rsidTr="00B307DB">
        <w:trPr>
          <w:trHeight w:val="301"/>
        </w:trPr>
        <w:tc>
          <w:tcPr>
            <w:tcW w:w="804" w:type="dxa"/>
            <w:tcBorders>
              <w:left w:val="single" w:sz="4" w:space="0" w:color="000000"/>
              <w:bottom w:val="single" w:sz="4" w:space="0" w:color="000000"/>
            </w:tcBorders>
            <w:vAlign w:val="center"/>
          </w:tcPr>
          <w:p w14:paraId="0BDC1409" w14:textId="77777777" w:rsidR="00B307DB" w:rsidRPr="00E6193A" w:rsidRDefault="00B307DB" w:rsidP="00B307D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1.4.4</w:t>
            </w:r>
          </w:p>
        </w:tc>
        <w:tc>
          <w:tcPr>
            <w:tcW w:w="5522" w:type="dxa"/>
            <w:tcBorders>
              <w:left w:val="single" w:sz="4" w:space="0" w:color="000000"/>
              <w:bottom w:val="single" w:sz="4" w:space="0" w:color="000000"/>
            </w:tcBorders>
            <w:vAlign w:val="center"/>
          </w:tcPr>
          <w:p w14:paraId="14F95060" w14:textId="77777777" w:rsidR="00B307DB" w:rsidRPr="00E6193A" w:rsidRDefault="00B307DB" w:rsidP="00B307D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Assistência à Saúde (Ambulatório, prontuário médico, Prontuário Odontológico)</w:t>
            </w:r>
          </w:p>
        </w:tc>
        <w:tc>
          <w:tcPr>
            <w:tcW w:w="1108" w:type="dxa"/>
            <w:tcBorders>
              <w:left w:val="single" w:sz="4" w:space="0" w:color="000000"/>
              <w:bottom w:val="single" w:sz="4" w:space="0" w:color="000000"/>
            </w:tcBorders>
            <w:vAlign w:val="center"/>
          </w:tcPr>
          <w:p w14:paraId="3B8D21B5"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3052E463"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B307DB" w:rsidRPr="00E6193A" w14:paraId="3B26D7F6" w14:textId="77777777" w:rsidTr="00B307DB">
        <w:trPr>
          <w:trHeight w:val="301"/>
        </w:trPr>
        <w:tc>
          <w:tcPr>
            <w:tcW w:w="804" w:type="dxa"/>
            <w:tcBorders>
              <w:left w:val="single" w:sz="4" w:space="0" w:color="000000"/>
              <w:bottom w:val="single" w:sz="4" w:space="0" w:color="000000"/>
            </w:tcBorders>
            <w:vAlign w:val="center"/>
          </w:tcPr>
          <w:p w14:paraId="4D97DEC9" w14:textId="77777777" w:rsidR="00B307DB" w:rsidRPr="00E6193A" w:rsidRDefault="00B307DB" w:rsidP="00B307D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1.4.5</w:t>
            </w:r>
          </w:p>
        </w:tc>
        <w:tc>
          <w:tcPr>
            <w:tcW w:w="5522" w:type="dxa"/>
            <w:tcBorders>
              <w:left w:val="single" w:sz="4" w:space="0" w:color="000000"/>
              <w:bottom w:val="single" w:sz="4" w:space="0" w:color="000000"/>
            </w:tcBorders>
            <w:vAlign w:val="center"/>
          </w:tcPr>
          <w:p w14:paraId="564AAB72" w14:textId="77777777" w:rsidR="00B307DB" w:rsidRPr="00E6193A" w:rsidRDefault="00B307DB" w:rsidP="00B307D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Assistência Farmacêutica (Farmácia)</w:t>
            </w:r>
          </w:p>
        </w:tc>
        <w:tc>
          <w:tcPr>
            <w:tcW w:w="1108" w:type="dxa"/>
            <w:tcBorders>
              <w:left w:val="single" w:sz="4" w:space="0" w:color="000000"/>
              <w:bottom w:val="single" w:sz="4" w:space="0" w:color="000000"/>
            </w:tcBorders>
            <w:vAlign w:val="center"/>
          </w:tcPr>
          <w:p w14:paraId="09A019DF"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E0D313D"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B307DB" w:rsidRPr="00E6193A" w14:paraId="04751AD3" w14:textId="77777777" w:rsidTr="00B307DB">
        <w:trPr>
          <w:trHeight w:val="301"/>
        </w:trPr>
        <w:tc>
          <w:tcPr>
            <w:tcW w:w="804" w:type="dxa"/>
            <w:tcBorders>
              <w:left w:val="single" w:sz="4" w:space="0" w:color="000000"/>
              <w:bottom w:val="single" w:sz="4" w:space="0" w:color="000000"/>
            </w:tcBorders>
            <w:vAlign w:val="center"/>
          </w:tcPr>
          <w:p w14:paraId="5C37DA4C" w14:textId="77777777" w:rsidR="00B307DB" w:rsidRPr="00E6193A" w:rsidRDefault="00B307DB" w:rsidP="00B307D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1.4.6</w:t>
            </w:r>
          </w:p>
        </w:tc>
        <w:tc>
          <w:tcPr>
            <w:tcW w:w="5522" w:type="dxa"/>
            <w:tcBorders>
              <w:left w:val="single" w:sz="4" w:space="0" w:color="000000"/>
              <w:bottom w:val="single" w:sz="4" w:space="0" w:color="000000"/>
            </w:tcBorders>
            <w:vAlign w:val="center"/>
          </w:tcPr>
          <w:p w14:paraId="65BE7EF5" w14:textId="77777777" w:rsidR="00B307DB" w:rsidRPr="00E6193A" w:rsidRDefault="00B307DB" w:rsidP="00B307DB">
            <w:pPr>
              <w:widowControl w:val="0"/>
              <w:spacing w:after="0" w:line="240" w:lineRule="auto"/>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Diagnóstico (Radiodiagnóstico, Laboratório, Ecografia, Interfaceamento com laboratórios)</w:t>
            </w:r>
          </w:p>
        </w:tc>
        <w:tc>
          <w:tcPr>
            <w:tcW w:w="1108" w:type="dxa"/>
            <w:tcBorders>
              <w:left w:val="single" w:sz="4" w:space="0" w:color="000000"/>
              <w:bottom w:val="single" w:sz="4" w:space="0" w:color="000000"/>
            </w:tcBorders>
            <w:vAlign w:val="center"/>
          </w:tcPr>
          <w:p w14:paraId="581965AD"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15E9488" w14:textId="77777777" w:rsidR="00B307DB" w:rsidRPr="00E6193A" w:rsidRDefault="00B307DB" w:rsidP="00B307DB">
            <w:pPr>
              <w:widowControl w:val="0"/>
              <w:spacing w:after="0" w:line="240" w:lineRule="auto"/>
              <w:jc w:val="center"/>
              <w:rPr>
                <w:rFonts w:ascii="Times New Roman" w:eastAsia="SimSun" w:hAnsi="Times New Roman" w:cs="Times New Roman"/>
                <w:highlight w:val="yellow"/>
                <w:lang w:eastAsia="hi-IN" w:bidi="hi-IN"/>
              </w:rPr>
            </w:pPr>
            <w:r w:rsidRPr="00E6193A">
              <w:rPr>
                <w:rFonts w:ascii="Times New Roman" w:eastAsia="SimSun" w:hAnsi="Times New Roman" w:cs="Times New Roman"/>
                <w:lang w:eastAsia="hi-IN" w:bidi="hi-IN"/>
              </w:rPr>
              <w:t>Meses</w:t>
            </w:r>
          </w:p>
        </w:tc>
      </w:tr>
      <w:tr w:rsidR="00B307DB" w:rsidRPr="00E6193A" w14:paraId="667FBA72" w14:textId="77777777" w:rsidTr="00B307DB">
        <w:trPr>
          <w:trHeight w:val="301"/>
        </w:trPr>
        <w:tc>
          <w:tcPr>
            <w:tcW w:w="804" w:type="dxa"/>
            <w:tcBorders>
              <w:left w:val="single" w:sz="4" w:space="0" w:color="000000"/>
              <w:bottom w:val="single" w:sz="4" w:space="0" w:color="000000"/>
            </w:tcBorders>
            <w:vAlign w:val="center"/>
          </w:tcPr>
          <w:p w14:paraId="1B92B5F8"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1.5</w:t>
            </w:r>
          </w:p>
        </w:tc>
        <w:tc>
          <w:tcPr>
            <w:tcW w:w="8160" w:type="dxa"/>
            <w:gridSpan w:val="3"/>
            <w:tcBorders>
              <w:left w:val="single" w:sz="4" w:space="0" w:color="000000"/>
              <w:bottom w:val="single" w:sz="4" w:space="0" w:color="000000"/>
              <w:right w:val="single" w:sz="4" w:space="0" w:color="000000"/>
            </w:tcBorders>
            <w:vAlign w:val="center"/>
          </w:tcPr>
          <w:p w14:paraId="665BB01A" w14:textId="77777777" w:rsidR="00B307DB" w:rsidRPr="00E6193A" w:rsidRDefault="00B307DB" w:rsidP="00B307DB">
            <w:pPr>
              <w:widowControl w:val="0"/>
              <w:spacing w:after="0" w:line="240" w:lineRule="auto"/>
              <w:ind w:right="-568"/>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MÓDULOS PARA USO SECRETARIA DE EDUCAÇÃO</w:t>
            </w:r>
          </w:p>
        </w:tc>
      </w:tr>
      <w:tr w:rsidR="00B307DB" w:rsidRPr="00E6193A" w14:paraId="5670A884" w14:textId="77777777" w:rsidTr="00B307DB">
        <w:trPr>
          <w:trHeight w:val="301"/>
        </w:trPr>
        <w:tc>
          <w:tcPr>
            <w:tcW w:w="804" w:type="dxa"/>
            <w:tcBorders>
              <w:left w:val="single" w:sz="4" w:space="0" w:color="000000"/>
              <w:bottom w:val="single" w:sz="4" w:space="0" w:color="000000"/>
            </w:tcBorders>
            <w:vAlign w:val="center"/>
          </w:tcPr>
          <w:p w14:paraId="4D20A1EC"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1.5.1</w:t>
            </w:r>
          </w:p>
        </w:tc>
        <w:tc>
          <w:tcPr>
            <w:tcW w:w="5522" w:type="dxa"/>
            <w:tcBorders>
              <w:left w:val="single" w:sz="4" w:space="0" w:color="000000"/>
              <w:bottom w:val="single" w:sz="4" w:space="0" w:color="000000"/>
            </w:tcBorders>
            <w:vAlign w:val="center"/>
          </w:tcPr>
          <w:p w14:paraId="77F0B3E5" w14:textId="77777777" w:rsidR="00B307DB" w:rsidRPr="00E6193A" w:rsidRDefault="00B307DB" w:rsidP="00B307DB">
            <w:pPr>
              <w:widowControl w:val="0"/>
              <w:spacing w:after="0" w:line="240" w:lineRule="auto"/>
              <w:ind w:right="66"/>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Gestão da Educação (Gestão Administrativa Escolar, Gestão Calendário Escolar, Gestão Pedagógica, Secretaria escolar, Gestão do Professor)</w:t>
            </w:r>
          </w:p>
        </w:tc>
        <w:tc>
          <w:tcPr>
            <w:tcW w:w="1108" w:type="dxa"/>
            <w:tcBorders>
              <w:left w:val="single" w:sz="4" w:space="0" w:color="000000"/>
              <w:bottom w:val="single" w:sz="4" w:space="0" w:color="000000"/>
            </w:tcBorders>
            <w:vAlign w:val="center"/>
          </w:tcPr>
          <w:p w14:paraId="68325E3C" w14:textId="77777777" w:rsidR="00B307DB" w:rsidRPr="00E6193A" w:rsidRDefault="00B307DB" w:rsidP="00B307D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F562259" w14:textId="77777777" w:rsidR="00B307DB" w:rsidRPr="00E6193A" w:rsidRDefault="00B307DB" w:rsidP="00B307D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Meses</w:t>
            </w:r>
          </w:p>
        </w:tc>
      </w:tr>
      <w:tr w:rsidR="00B307DB" w:rsidRPr="00E6193A" w14:paraId="28B408D9" w14:textId="77777777" w:rsidTr="00B307DB">
        <w:trPr>
          <w:trHeight w:val="301"/>
        </w:trPr>
        <w:tc>
          <w:tcPr>
            <w:tcW w:w="804" w:type="dxa"/>
            <w:tcBorders>
              <w:left w:val="single" w:sz="4" w:space="0" w:color="000000"/>
              <w:bottom w:val="single" w:sz="4" w:space="0" w:color="000000"/>
            </w:tcBorders>
            <w:vAlign w:val="center"/>
          </w:tcPr>
          <w:p w14:paraId="3AFDB748" w14:textId="77777777" w:rsidR="00B307DB" w:rsidRPr="00E6193A" w:rsidRDefault="00B307DB" w:rsidP="00B307D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1.5.2</w:t>
            </w:r>
          </w:p>
        </w:tc>
        <w:tc>
          <w:tcPr>
            <w:tcW w:w="5522" w:type="dxa"/>
            <w:tcBorders>
              <w:left w:val="single" w:sz="4" w:space="0" w:color="000000"/>
              <w:bottom w:val="single" w:sz="4" w:space="0" w:color="000000"/>
            </w:tcBorders>
            <w:vAlign w:val="center"/>
          </w:tcPr>
          <w:p w14:paraId="326D0B24" w14:textId="77777777" w:rsidR="00B307DB" w:rsidRPr="00E6193A" w:rsidRDefault="00B307DB" w:rsidP="00B307DB">
            <w:pPr>
              <w:widowControl w:val="0"/>
              <w:spacing w:after="0" w:line="240" w:lineRule="auto"/>
              <w:ind w:right="66"/>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 xml:space="preserve">Censo Escolar </w:t>
            </w:r>
          </w:p>
        </w:tc>
        <w:tc>
          <w:tcPr>
            <w:tcW w:w="1108" w:type="dxa"/>
            <w:tcBorders>
              <w:left w:val="single" w:sz="4" w:space="0" w:color="000000"/>
              <w:bottom w:val="single" w:sz="4" w:space="0" w:color="000000"/>
            </w:tcBorders>
            <w:vAlign w:val="center"/>
          </w:tcPr>
          <w:p w14:paraId="1C513095" w14:textId="77777777" w:rsidR="00B307DB" w:rsidRPr="00E6193A" w:rsidRDefault="00B307DB" w:rsidP="00B307D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71C1890F" w14:textId="77777777" w:rsidR="00B307DB" w:rsidRPr="00E6193A" w:rsidRDefault="00B307DB" w:rsidP="00B307D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Meses</w:t>
            </w:r>
          </w:p>
        </w:tc>
      </w:tr>
      <w:tr w:rsidR="00B307DB" w:rsidRPr="00E6193A" w14:paraId="2CF061BE" w14:textId="77777777" w:rsidTr="00B307DB">
        <w:trPr>
          <w:trHeight w:val="301"/>
        </w:trPr>
        <w:tc>
          <w:tcPr>
            <w:tcW w:w="804" w:type="dxa"/>
            <w:tcBorders>
              <w:left w:val="single" w:sz="4" w:space="0" w:color="000000"/>
              <w:bottom w:val="single" w:sz="4" w:space="0" w:color="000000"/>
            </w:tcBorders>
            <w:vAlign w:val="center"/>
          </w:tcPr>
          <w:p w14:paraId="1DC4452D" w14:textId="77777777" w:rsidR="00B307DB" w:rsidRPr="00E6193A" w:rsidRDefault="00B307DB" w:rsidP="00B307D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1.5.3</w:t>
            </w:r>
          </w:p>
        </w:tc>
        <w:tc>
          <w:tcPr>
            <w:tcW w:w="5522" w:type="dxa"/>
            <w:tcBorders>
              <w:left w:val="single" w:sz="4" w:space="0" w:color="000000"/>
              <w:bottom w:val="single" w:sz="4" w:space="0" w:color="000000"/>
            </w:tcBorders>
            <w:vAlign w:val="center"/>
          </w:tcPr>
          <w:p w14:paraId="0D9E88BF" w14:textId="77777777" w:rsidR="00B307DB" w:rsidRPr="00E6193A" w:rsidRDefault="00B307DB" w:rsidP="00B307DB">
            <w:pPr>
              <w:widowControl w:val="0"/>
              <w:spacing w:after="0" w:line="240" w:lineRule="auto"/>
              <w:ind w:right="66"/>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Transporte Escolar</w:t>
            </w:r>
          </w:p>
        </w:tc>
        <w:tc>
          <w:tcPr>
            <w:tcW w:w="1108" w:type="dxa"/>
            <w:tcBorders>
              <w:left w:val="single" w:sz="4" w:space="0" w:color="000000"/>
              <w:bottom w:val="single" w:sz="4" w:space="0" w:color="000000"/>
            </w:tcBorders>
            <w:vAlign w:val="center"/>
          </w:tcPr>
          <w:p w14:paraId="15F0C01C" w14:textId="77777777" w:rsidR="00B307DB" w:rsidRPr="00E6193A" w:rsidRDefault="00B307DB" w:rsidP="00B307D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5006B8E7" w14:textId="77777777" w:rsidR="00B307DB" w:rsidRPr="00E6193A" w:rsidRDefault="00B307DB" w:rsidP="00B307D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Meses</w:t>
            </w:r>
          </w:p>
        </w:tc>
      </w:tr>
      <w:tr w:rsidR="00B307DB" w:rsidRPr="00E6193A" w14:paraId="4A22FD27" w14:textId="77777777" w:rsidTr="00B307DB">
        <w:trPr>
          <w:trHeight w:val="301"/>
        </w:trPr>
        <w:tc>
          <w:tcPr>
            <w:tcW w:w="804" w:type="dxa"/>
            <w:tcBorders>
              <w:left w:val="single" w:sz="4" w:space="0" w:color="000000"/>
              <w:bottom w:val="single" w:sz="4" w:space="0" w:color="000000"/>
            </w:tcBorders>
            <w:vAlign w:val="center"/>
          </w:tcPr>
          <w:p w14:paraId="1CE2781D" w14:textId="77777777" w:rsidR="00B307DB" w:rsidRPr="00E6193A" w:rsidRDefault="00B307DB" w:rsidP="00B307DB">
            <w:pPr>
              <w:widowControl w:val="0"/>
              <w:spacing w:after="0" w:line="240" w:lineRule="auto"/>
              <w:ind w:right="-126"/>
              <w:jc w:val="center"/>
              <w:rPr>
                <w:rFonts w:ascii="Times New Roman" w:eastAsia="SimSun" w:hAnsi="Times New Roman" w:cs="Times New Roman"/>
                <w:b/>
                <w:lang w:eastAsia="hi-IN" w:bidi="hi-IN"/>
              </w:rPr>
            </w:pPr>
            <w:r w:rsidRPr="00E6193A">
              <w:rPr>
                <w:rFonts w:ascii="Times New Roman" w:eastAsia="SimSun" w:hAnsi="Times New Roman" w:cs="Times New Roman"/>
                <w:b/>
                <w:lang w:eastAsia="hi-IN" w:bidi="hi-IN"/>
              </w:rPr>
              <w:t>1.5.4</w:t>
            </w:r>
          </w:p>
        </w:tc>
        <w:tc>
          <w:tcPr>
            <w:tcW w:w="5522" w:type="dxa"/>
            <w:tcBorders>
              <w:left w:val="single" w:sz="4" w:space="0" w:color="000000"/>
              <w:bottom w:val="single" w:sz="4" w:space="0" w:color="000000"/>
            </w:tcBorders>
            <w:vAlign w:val="center"/>
          </w:tcPr>
          <w:p w14:paraId="3726ABF4" w14:textId="77777777" w:rsidR="00B307DB" w:rsidRPr="00E6193A" w:rsidRDefault="00B307DB" w:rsidP="00B307DB">
            <w:pPr>
              <w:widowControl w:val="0"/>
              <w:spacing w:after="0" w:line="240" w:lineRule="auto"/>
              <w:ind w:right="66"/>
              <w:rPr>
                <w:rFonts w:ascii="Times New Roman" w:eastAsia="SimSun" w:hAnsi="Times New Roman" w:cs="Times New Roman"/>
                <w:highlight w:val="yellow"/>
                <w:lang w:eastAsia="hi-IN" w:bidi="hi-IN"/>
              </w:rPr>
            </w:pPr>
            <w:r w:rsidRPr="00E6193A">
              <w:rPr>
                <w:rFonts w:ascii="Times New Roman" w:eastAsia="Times New Roman" w:hAnsi="Times New Roman" w:cs="Times New Roman"/>
                <w:color w:val="000000"/>
                <w:lang w:eastAsia="pt-BR"/>
              </w:rPr>
              <w:t>App Professor</w:t>
            </w:r>
          </w:p>
        </w:tc>
        <w:tc>
          <w:tcPr>
            <w:tcW w:w="1108" w:type="dxa"/>
            <w:tcBorders>
              <w:left w:val="single" w:sz="4" w:space="0" w:color="000000"/>
              <w:bottom w:val="single" w:sz="4" w:space="0" w:color="000000"/>
            </w:tcBorders>
            <w:vAlign w:val="center"/>
          </w:tcPr>
          <w:p w14:paraId="619F8B0D" w14:textId="77777777" w:rsidR="00B307DB" w:rsidRPr="00E6193A" w:rsidRDefault="00B307DB" w:rsidP="00B307D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40A662A4" w14:textId="77777777" w:rsidR="00B307DB" w:rsidRPr="00E6193A" w:rsidRDefault="00B307DB" w:rsidP="00B307DB">
            <w:pPr>
              <w:widowControl w:val="0"/>
              <w:spacing w:after="0" w:line="240" w:lineRule="auto"/>
              <w:ind w:right="-241"/>
              <w:jc w:val="center"/>
              <w:rPr>
                <w:rFonts w:ascii="Times New Roman" w:eastAsia="SimSun" w:hAnsi="Times New Roman" w:cs="Times New Roman"/>
                <w:b/>
                <w:highlight w:val="yellow"/>
                <w:lang w:eastAsia="hi-IN" w:bidi="hi-IN"/>
              </w:rPr>
            </w:pPr>
            <w:r w:rsidRPr="00E6193A">
              <w:rPr>
                <w:rFonts w:ascii="Times New Roman" w:eastAsia="SimSun" w:hAnsi="Times New Roman" w:cs="Times New Roman"/>
                <w:lang w:eastAsia="hi-IN" w:bidi="hi-IN"/>
              </w:rPr>
              <w:t>Meses</w:t>
            </w:r>
          </w:p>
        </w:tc>
      </w:tr>
      <w:tr w:rsidR="00B307DB" w:rsidRPr="00E6193A" w14:paraId="04020CEA" w14:textId="77777777" w:rsidTr="00B307DB">
        <w:trPr>
          <w:trHeight w:val="301"/>
        </w:trPr>
        <w:tc>
          <w:tcPr>
            <w:tcW w:w="804" w:type="dxa"/>
            <w:tcBorders>
              <w:left w:val="single" w:sz="4" w:space="0" w:color="000000"/>
              <w:bottom w:val="single" w:sz="4" w:space="0" w:color="000000"/>
            </w:tcBorders>
            <w:vAlign w:val="center"/>
          </w:tcPr>
          <w:p w14:paraId="3B569743"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1.6</w:t>
            </w:r>
          </w:p>
        </w:tc>
        <w:tc>
          <w:tcPr>
            <w:tcW w:w="8160" w:type="dxa"/>
            <w:gridSpan w:val="3"/>
            <w:tcBorders>
              <w:left w:val="single" w:sz="4" w:space="0" w:color="000000"/>
              <w:bottom w:val="single" w:sz="4" w:space="0" w:color="000000"/>
              <w:right w:val="single" w:sz="4" w:space="0" w:color="000000"/>
            </w:tcBorders>
            <w:vAlign w:val="center"/>
          </w:tcPr>
          <w:p w14:paraId="03F5B3DE"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MÓDULOS PARA USO SECRETARIA DE ASSISTÊNCIA SOCIAL</w:t>
            </w:r>
          </w:p>
        </w:tc>
      </w:tr>
      <w:tr w:rsidR="00B307DB" w:rsidRPr="00E6193A" w14:paraId="1BD0BC6B" w14:textId="77777777" w:rsidTr="00B307DB">
        <w:trPr>
          <w:trHeight w:val="301"/>
        </w:trPr>
        <w:tc>
          <w:tcPr>
            <w:tcW w:w="804" w:type="dxa"/>
            <w:tcBorders>
              <w:left w:val="single" w:sz="4" w:space="0" w:color="000000"/>
              <w:bottom w:val="single" w:sz="4" w:space="0" w:color="000000"/>
            </w:tcBorders>
            <w:vAlign w:val="center"/>
          </w:tcPr>
          <w:p w14:paraId="5DB62880"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1.6.1</w:t>
            </w:r>
          </w:p>
        </w:tc>
        <w:tc>
          <w:tcPr>
            <w:tcW w:w="5522" w:type="dxa"/>
            <w:tcBorders>
              <w:left w:val="single" w:sz="4" w:space="0" w:color="000000"/>
              <w:bottom w:val="single" w:sz="4" w:space="0" w:color="000000"/>
            </w:tcBorders>
            <w:vAlign w:val="center"/>
          </w:tcPr>
          <w:p w14:paraId="303C98E2"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Gestão da Assistência Social</w:t>
            </w:r>
          </w:p>
        </w:tc>
        <w:tc>
          <w:tcPr>
            <w:tcW w:w="1108" w:type="dxa"/>
            <w:tcBorders>
              <w:left w:val="single" w:sz="4" w:space="0" w:color="000000"/>
              <w:bottom w:val="single" w:sz="4" w:space="0" w:color="000000"/>
            </w:tcBorders>
            <w:vAlign w:val="center"/>
          </w:tcPr>
          <w:p w14:paraId="1FC1DC89" w14:textId="77777777" w:rsidR="00B307DB" w:rsidRPr="00E6193A" w:rsidRDefault="00B307DB" w:rsidP="00B307D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12</w:t>
            </w:r>
          </w:p>
        </w:tc>
        <w:tc>
          <w:tcPr>
            <w:tcW w:w="1530" w:type="dxa"/>
            <w:tcBorders>
              <w:left w:val="single" w:sz="4" w:space="0" w:color="000000"/>
              <w:bottom w:val="single" w:sz="4" w:space="0" w:color="000000"/>
              <w:right w:val="single" w:sz="4" w:space="0" w:color="000000"/>
            </w:tcBorders>
            <w:vAlign w:val="center"/>
          </w:tcPr>
          <w:p w14:paraId="6B3643B7" w14:textId="77777777" w:rsidR="00B307DB" w:rsidRPr="00E6193A" w:rsidRDefault="00B307DB" w:rsidP="00B307D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Meses</w:t>
            </w:r>
          </w:p>
        </w:tc>
      </w:tr>
      <w:tr w:rsidR="00B307DB" w:rsidRPr="00E6193A" w14:paraId="7BCCD6B2" w14:textId="77777777" w:rsidTr="00B307DB">
        <w:trPr>
          <w:trHeight w:val="276"/>
        </w:trPr>
        <w:tc>
          <w:tcPr>
            <w:tcW w:w="804" w:type="dxa"/>
            <w:tcBorders>
              <w:left w:val="single" w:sz="4" w:space="0" w:color="000000"/>
              <w:bottom w:val="single" w:sz="4" w:space="0" w:color="000000"/>
            </w:tcBorders>
            <w:vAlign w:val="center"/>
          </w:tcPr>
          <w:p w14:paraId="31D90EF1"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Item</w:t>
            </w:r>
          </w:p>
        </w:tc>
        <w:tc>
          <w:tcPr>
            <w:tcW w:w="5522" w:type="dxa"/>
            <w:tcBorders>
              <w:left w:val="single" w:sz="4" w:space="0" w:color="000000"/>
              <w:bottom w:val="single" w:sz="4" w:space="0" w:color="000000"/>
            </w:tcBorders>
            <w:vAlign w:val="center"/>
          </w:tcPr>
          <w:p w14:paraId="6F1F049F" w14:textId="77777777" w:rsidR="00B307DB" w:rsidRPr="00E6193A" w:rsidRDefault="00B307DB" w:rsidP="00B307DB">
            <w:pPr>
              <w:widowControl w:val="0"/>
              <w:spacing w:after="0" w:line="240" w:lineRule="auto"/>
              <w:ind w:right="-568"/>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Descrição / Especificações mínimas</w:t>
            </w:r>
          </w:p>
        </w:tc>
        <w:tc>
          <w:tcPr>
            <w:tcW w:w="1108" w:type="dxa"/>
            <w:tcBorders>
              <w:left w:val="single" w:sz="4" w:space="0" w:color="000000"/>
              <w:bottom w:val="single" w:sz="4" w:space="0" w:color="000000"/>
            </w:tcBorders>
            <w:vAlign w:val="center"/>
          </w:tcPr>
          <w:p w14:paraId="14013622" w14:textId="77777777" w:rsidR="00B307DB" w:rsidRPr="00E6193A" w:rsidRDefault="00B307DB" w:rsidP="00B307D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Qtd</w:t>
            </w:r>
          </w:p>
        </w:tc>
        <w:tc>
          <w:tcPr>
            <w:tcW w:w="1530" w:type="dxa"/>
            <w:tcBorders>
              <w:left w:val="single" w:sz="4" w:space="0" w:color="000000"/>
              <w:bottom w:val="single" w:sz="4" w:space="0" w:color="000000"/>
              <w:right w:val="single" w:sz="4" w:space="0" w:color="000000"/>
            </w:tcBorders>
            <w:vAlign w:val="center"/>
          </w:tcPr>
          <w:p w14:paraId="0D867F43" w14:textId="77777777" w:rsidR="00B307DB" w:rsidRPr="00E6193A" w:rsidRDefault="00B307DB" w:rsidP="00B307D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Un.</w:t>
            </w:r>
          </w:p>
        </w:tc>
      </w:tr>
      <w:tr w:rsidR="00B307DB" w:rsidRPr="00E6193A" w14:paraId="2BD87C42" w14:textId="77777777" w:rsidTr="00B307DB">
        <w:trPr>
          <w:trHeight w:val="292"/>
        </w:trPr>
        <w:tc>
          <w:tcPr>
            <w:tcW w:w="804" w:type="dxa"/>
            <w:tcBorders>
              <w:left w:val="single" w:sz="4" w:space="0" w:color="000000"/>
              <w:bottom w:val="single" w:sz="4" w:space="0" w:color="000000"/>
            </w:tcBorders>
            <w:vAlign w:val="center"/>
          </w:tcPr>
          <w:p w14:paraId="7C55750E"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2</w:t>
            </w:r>
          </w:p>
        </w:tc>
        <w:tc>
          <w:tcPr>
            <w:tcW w:w="8160" w:type="dxa"/>
            <w:gridSpan w:val="3"/>
            <w:tcBorders>
              <w:left w:val="single" w:sz="4" w:space="0" w:color="000000"/>
              <w:bottom w:val="single" w:sz="4" w:space="0" w:color="000000"/>
              <w:right w:val="single" w:sz="4" w:space="0" w:color="000000"/>
            </w:tcBorders>
            <w:vAlign w:val="center"/>
          </w:tcPr>
          <w:p w14:paraId="757886CE"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IMPLANTAÇÃO DA SOLUÇÃO WEB</w:t>
            </w:r>
          </w:p>
        </w:tc>
      </w:tr>
      <w:tr w:rsidR="00B307DB" w:rsidRPr="00E6193A" w14:paraId="105C2B98" w14:textId="77777777" w:rsidTr="00B307DB">
        <w:trPr>
          <w:trHeight w:val="1023"/>
        </w:trPr>
        <w:tc>
          <w:tcPr>
            <w:tcW w:w="804" w:type="dxa"/>
            <w:tcBorders>
              <w:left w:val="single" w:sz="4" w:space="0" w:color="000000"/>
              <w:bottom w:val="single" w:sz="4" w:space="0" w:color="000000"/>
            </w:tcBorders>
            <w:shd w:val="clear" w:color="auto" w:fill="auto"/>
            <w:vAlign w:val="center"/>
          </w:tcPr>
          <w:p w14:paraId="2B23A75A"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2.1</w:t>
            </w:r>
          </w:p>
        </w:tc>
        <w:tc>
          <w:tcPr>
            <w:tcW w:w="5522" w:type="dxa"/>
            <w:tcBorders>
              <w:left w:val="single" w:sz="4" w:space="0" w:color="000000"/>
              <w:bottom w:val="single" w:sz="4" w:space="0" w:color="000000"/>
            </w:tcBorders>
            <w:shd w:val="clear" w:color="auto" w:fill="auto"/>
            <w:vAlign w:val="center"/>
          </w:tcPr>
          <w:p w14:paraId="11D7E417" w14:textId="77777777" w:rsidR="00B307DB" w:rsidRPr="00E6193A" w:rsidRDefault="00B307DB" w:rsidP="00B307DB">
            <w:pPr>
              <w:widowControl w:val="0"/>
              <w:spacing w:after="0" w:line="240" w:lineRule="auto"/>
              <w:jc w:val="both"/>
              <w:rPr>
                <w:rFonts w:ascii="Times New Roman" w:eastAsia="SimSun" w:hAnsi="Times New Roman" w:cs="Times New Roman"/>
                <w:lang w:eastAsia="hi-IN" w:bidi="hi-IN"/>
              </w:rPr>
            </w:pPr>
            <w:r w:rsidRPr="00E6193A">
              <w:rPr>
                <w:rFonts w:ascii="Times New Roman" w:eastAsia="Times New Roman" w:hAnsi="Times New Roman" w:cs="Times New Roman"/>
                <w:lang w:eastAsia="pt-BR"/>
              </w:rPr>
              <w:t>Serviços de diagnóstico, migração de dados, configuração, habilitação e treinamento de usuários: MUNICÍPIO RIQUEZA, FUNDOS MUNICIPAIS E CÂMERA DE VEREADORES SECRETARIA DE EDUCAÇÃO SECRETARIA DE SAÚDE E ASSISTÊNCIA SOCIAL</w:t>
            </w:r>
          </w:p>
        </w:tc>
        <w:tc>
          <w:tcPr>
            <w:tcW w:w="1108" w:type="dxa"/>
            <w:tcBorders>
              <w:left w:val="single" w:sz="4" w:space="0" w:color="000000"/>
              <w:bottom w:val="single" w:sz="4" w:space="0" w:color="000000"/>
            </w:tcBorders>
            <w:shd w:val="clear" w:color="auto" w:fill="auto"/>
            <w:vAlign w:val="center"/>
          </w:tcPr>
          <w:p w14:paraId="22560945"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1</w:t>
            </w:r>
          </w:p>
        </w:tc>
        <w:tc>
          <w:tcPr>
            <w:tcW w:w="1530" w:type="dxa"/>
            <w:tcBorders>
              <w:left w:val="single" w:sz="4" w:space="0" w:color="000000"/>
              <w:bottom w:val="single" w:sz="4" w:space="0" w:color="000000"/>
              <w:right w:val="single" w:sz="4" w:space="0" w:color="000000"/>
            </w:tcBorders>
            <w:shd w:val="clear" w:color="auto" w:fill="auto"/>
            <w:vAlign w:val="center"/>
          </w:tcPr>
          <w:p w14:paraId="59AE5769" w14:textId="77777777" w:rsidR="00B307DB" w:rsidRPr="00E6193A" w:rsidRDefault="00B307DB" w:rsidP="00B307DB">
            <w:pPr>
              <w:widowControl w:val="0"/>
              <w:spacing w:after="0" w:line="240" w:lineRule="auto"/>
              <w:ind w:right="43"/>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Serviço</w:t>
            </w:r>
          </w:p>
        </w:tc>
      </w:tr>
      <w:tr w:rsidR="00B307DB" w:rsidRPr="00E6193A" w14:paraId="21338D1D" w14:textId="77777777" w:rsidTr="00B307DB">
        <w:trPr>
          <w:trHeight w:val="276"/>
        </w:trPr>
        <w:tc>
          <w:tcPr>
            <w:tcW w:w="804" w:type="dxa"/>
            <w:tcBorders>
              <w:left w:val="single" w:sz="4" w:space="0" w:color="000000"/>
              <w:bottom w:val="single" w:sz="4" w:space="0" w:color="000000"/>
            </w:tcBorders>
            <w:vAlign w:val="center"/>
          </w:tcPr>
          <w:p w14:paraId="3B010E88"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Item</w:t>
            </w:r>
          </w:p>
        </w:tc>
        <w:tc>
          <w:tcPr>
            <w:tcW w:w="5522" w:type="dxa"/>
            <w:tcBorders>
              <w:left w:val="single" w:sz="4" w:space="0" w:color="000000"/>
              <w:bottom w:val="single" w:sz="4" w:space="0" w:color="000000"/>
            </w:tcBorders>
            <w:vAlign w:val="center"/>
          </w:tcPr>
          <w:p w14:paraId="3297469B" w14:textId="77777777" w:rsidR="00B307DB" w:rsidRPr="00E6193A" w:rsidRDefault="00B307DB" w:rsidP="00B307DB">
            <w:pPr>
              <w:widowControl w:val="0"/>
              <w:spacing w:after="0" w:line="240" w:lineRule="auto"/>
              <w:ind w:right="-568"/>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Descrição / Especificações mínimas</w:t>
            </w:r>
          </w:p>
        </w:tc>
        <w:tc>
          <w:tcPr>
            <w:tcW w:w="1108" w:type="dxa"/>
            <w:tcBorders>
              <w:left w:val="single" w:sz="4" w:space="0" w:color="000000"/>
              <w:bottom w:val="single" w:sz="4" w:space="0" w:color="000000"/>
            </w:tcBorders>
            <w:vAlign w:val="center"/>
          </w:tcPr>
          <w:p w14:paraId="707C81EC" w14:textId="77777777" w:rsidR="00B307DB" w:rsidRPr="00E6193A" w:rsidRDefault="00B307DB" w:rsidP="00B307D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Qtd</w:t>
            </w:r>
          </w:p>
        </w:tc>
        <w:tc>
          <w:tcPr>
            <w:tcW w:w="1530" w:type="dxa"/>
            <w:tcBorders>
              <w:left w:val="single" w:sz="4" w:space="0" w:color="000000"/>
              <w:bottom w:val="single" w:sz="4" w:space="0" w:color="000000"/>
              <w:right w:val="single" w:sz="4" w:space="0" w:color="000000"/>
            </w:tcBorders>
            <w:vAlign w:val="center"/>
          </w:tcPr>
          <w:p w14:paraId="73911DDD" w14:textId="77777777" w:rsidR="00B307DB" w:rsidRPr="00E6193A" w:rsidRDefault="00B307DB" w:rsidP="00B307DB">
            <w:pPr>
              <w:widowControl w:val="0"/>
              <w:spacing w:after="0" w:line="240" w:lineRule="auto"/>
              <w:ind w:right="-99"/>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Un.</w:t>
            </w:r>
          </w:p>
        </w:tc>
      </w:tr>
      <w:tr w:rsidR="00B307DB" w:rsidRPr="00E6193A" w14:paraId="24684B8F" w14:textId="77777777" w:rsidTr="00B307DB">
        <w:trPr>
          <w:trHeight w:val="292"/>
        </w:trPr>
        <w:tc>
          <w:tcPr>
            <w:tcW w:w="804" w:type="dxa"/>
            <w:tcBorders>
              <w:left w:val="single" w:sz="4" w:space="0" w:color="000000"/>
              <w:bottom w:val="single" w:sz="4" w:space="0" w:color="000000"/>
            </w:tcBorders>
            <w:vAlign w:val="center"/>
          </w:tcPr>
          <w:p w14:paraId="51B965AE"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3</w:t>
            </w:r>
          </w:p>
        </w:tc>
        <w:tc>
          <w:tcPr>
            <w:tcW w:w="8160" w:type="dxa"/>
            <w:gridSpan w:val="3"/>
            <w:tcBorders>
              <w:left w:val="single" w:sz="4" w:space="0" w:color="000000"/>
              <w:bottom w:val="single" w:sz="4" w:space="0" w:color="000000"/>
              <w:right w:val="single" w:sz="4" w:space="0" w:color="000000"/>
            </w:tcBorders>
            <w:vAlign w:val="center"/>
          </w:tcPr>
          <w:p w14:paraId="507E9D60"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SERVIÇOS ADICIONAIS</w:t>
            </w:r>
          </w:p>
        </w:tc>
      </w:tr>
      <w:tr w:rsidR="00B307DB" w:rsidRPr="00E6193A" w14:paraId="0DA14621" w14:textId="77777777" w:rsidTr="00B307DB">
        <w:trPr>
          <w:trHeight w:val="276"/>
        </w:trPr>
        <w:tc>
          <w:tcPr>
            <w:tcW w:w="804" w:type="dxa"/>
            <w:tcBorders>
              <w:left w:val="single" w:sz="4" w:space="0" w:color="000000"/>
              <w:bottom w:val="single" w:sz="4" w:space="0" w:color="000000"/>
            </w:tcBorders>
            <w:vAlign w:val="center"/>
          </w:tcPr>
          <w:p w14:paraId="50278510"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3.1</w:t>
            </w:r>
          </w:p>
        </w:tc>
        <w:tc>
          <w:tcPr>
            <w:tcW w:w="5522" w:type="dxa"/>
            <w:tcBorders>
              <w:left w:val="single" w:sz="4" w:space="0" w:color="000000"/>
              <w:bottom w:val="single" w:sz="4" w:space="0" w:color="000000"/>
            </w:tcBorders>
            <w:vAlign w:val="center"/>
          </w:tcPr>
          <w:p w14:paraId="1728A808"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Customizações do aplicativo</w:t>
            </w:r>
          </w:p>
        </w:tc>
        <w:tc>
          <w:tcPr>
            <w:tcW w:w="1108" w:type="dxa"/>
            <w:tcBorders>
              <w:left w:val="single" w:sz="4" w:space="0" w:color="000000"/>
              <w:bottom w:val="single" w:sz="4" w:space="0" w:color="000000"/>
            </w:tcBorders>
            <w:vAlign w:val="center"/>
          </w:tcPr>
          <w:p w14:paraId="0DC2FFFE"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0CE378E3"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B307DB" w:rsidRPr="00E6193A" w14:paraId="496E8A28" w14:textId="77777777" w:rsidTr="00B307DB">
        <w:trPr>
          <w:trHeight w:val="276"/>
        </w:trPr>
        <w:tc>
          <w:tcPr>
            <w:tcW w:w="804" w:type="dxa"/>
            <w:tcBorders>
              <w:left w:val="single" w:sz="4" w:space="0" w:color="000000"/>
              <w:bottom w:val="single" w:sz="4" w:space="0" w:color="000000"/>
            </w:tcBorders>
            <w:vAlign w:val="center"/>
          </w:tcPr>
          <w:p w14:paraId="7F0C1329"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3.2</w:t>
            </w:r>
          </w:p>
        </w:tc>
        <w:tc>
          <w:tcPr>
            <w:tcW w:w="5522" w:type="dxa"/>
            <w:tcBorders>
              <w:left w:val="single" w:sz="4" w:space="0" w:color="000000"/>
              <w:bottom w:val="single" w:sz="4" w:space="0" w:color="000000"/>
            </w:tcBorders>
            <w:vAlign w:val="center"/>
          </w:tcPr>
          <w:p w14:paraId="0D480E6C"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Configurações pós implantações</w:t>
            </w:r>
          </w:p>
        </w:tc>
        <w:tc>
          <w:tcPr>
            <w:tcW w:w="1108" w:type="dxa"/>
            <w:tcBorders>
              <w:left w:val="single" w:sz="4" w:space="0" w:color="000000"/>
              <w:bottom w:val="single" w:sz="4" w:space="0" w:color="000000"/>
            </w:tcBorders>
            <w:vAlign w:val="center"/>
          </w:tcPr>
          <w:p w14:paraId="205E08E6"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528813DB"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B307DB" w:rsidRPr="00E6193A" w14:paraId="57A56577" w14:textId="77777777" w:rsidTr="00B307DB">
        <w:trPr>
          <w:trHeight w:val="276"/>
        </w:trPr>
        <w:tc>
          <w:tcPr>
            <w:tcW w:w="804" w:type="dxa"/>
            <w:tcBorders>
              <w:left w:val="single" w:sz="4" w:space="0" w:color="000000"/>
              <w:bottom w:val="single" w:sz="4" w:space="0" w:color="000000"/>
            </w:tcBorders>
            <w:vAlign w:val="center"/>
          </w:tcPr>
          <w:p w14:paraId="30B6F2F4"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3.3</w:t>
            </w:r>
          </w:p>
        </w:tc>
        <w:tc>
          <w:tcPr>
            <w:tcW w:w="5522" w:type="dxa"/>
            <w:tcBorders>
              <w:left w:val="single" w:sz="4" w:space="0" w:color="000000"/>
              <w:bottom w:val="single" w:sz="4" w:space="0" w:color="000000"/>
            </w:tcBorders>
            <w:vAlign w:val="center"/>
          </w:tcPr>
          <w:p w14:paraId="75934CFC"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Personalização de Relatórios</w:t>
            </w:r>
          </w:p>
        </w:tc>
        <w:tc>
          <w:tcPr>
            <w:tcW w:w="1108" w:type="dxa"/>
            <w:tcBorders>
              <w:left w:val="single" w:sz="4" w:space="0" w:color="000000"/>
              <w:bottom w:val="single" w:sz="4" w:space="0" w:color="000000"/>
            </w:tcBorders>
            <w:vAlign w:val="center"/>
          </w:tcPr>
          <w:p w14:paraId="2EFD514A"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4724538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B307DB" w:rsidRPr="00E6193A" w14:paraId="649D6A4E" w14:textId="77777777" w:rsidTr="00B307DB">
        <w:trPr>
          <w:trHeight w:val="276"/>
        </w:trPr>
        <w:tc>
          <w:tcPr>
            <w:tcW w:w="804" w:type="dxa"/>
            <w:tcBorders>
              <w:left w:val="single" w:sz="4" w:space="0" w:color="000000"/>
              <w:bottom w:val="single" w:sz="4" w:space="0" w:color="000000"/>
            </w:tcBorders>
            <w:vAlign w:val="center"/>
          </w:tcPr>
          <w:p w14:paraId="7F3276FE"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3.4</w:t>
            </w:r>
          </w:p>
        </w:tc>
        <w:tc>
          <w:tcPr>
            <w:tcW w:w="5522" w:type="dxa"/>
            <w:tcBorders>
              <w:left w:val="single" w:sz="4" w:space="0" w:color="000000"/>
              <w:bottom w:val="single" w:sz="4" w:space="0" w:color="000000"/>
            </w:tcBorders>
            <w:vAlign w:val="center"/>
          </w:tcPr>
          <w:p w14:paraId="4E0BFCA3"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Consultorias especializadas</w:t>
            </w:r>
          </w:p>
        </w:tc>
        <w:tc>
          <w:tcPr>
            <w:tcW w:w="1108" w:type="dxa"/>
            <w:tcBorders>
              <w:left w:val="single" w:sz="4" w:space="0" w:color="000000"/>
              <w:bottom w:val="single" w:sz="4" w:space="0" w:color="000000"/>
            </w:tcBorders>
            <w:vAlign w:val="center"/>
          </w:tcPr>
          <w:p w14:paraId="3CE7D78D"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25450A00"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B307DB" w:rsidRPr="00E6193A" w14:paraId="3FC25704" w14:textId="77777777" w:rsidTr="00B307DB">
        <w:trPr>
          <w:trHeight w:val="276"/>
        </w:trPr>
        <w:tc>
          <w:tcPr>
            <w:tcW w:w="804" w:type="dxa"/>
            <w:tcBorders>
              <w:left w:val="single" w:sz="4" w:space="0" w:color="000000"/>
              <w:bottom w:val="single" w:sz="4" w:space="0" w:color="000000"/>
            </w:tcBorders>
            <w:vAlign w:val="center"/>
          </w:tcPr>
          <w:p w14:paraId="0604170B"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3.5</w:t>
            </w:r>
          </w:p>
        </w:tc>
        <w:tc>
          <w:tcPr>
            <w:tcW w:w="5522" w:type="dxa"/>
            <w:tcBorders>
              <w:left w:val="single" w:sz="4" w:space="0" w:color="000000"/>
              <w:bottom w:val="single" w:sz="4" w:space="0" w:color="000000"/>
            </w:tcBorders>
            <w:vAlign w:val="center"/>
          </w:tcPr>
          <w:p w14:paraId="65F4B944"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Mapeamento de processos</w:t>
            </w:r>
          </w:p>
        </w:tc>
        <w:tc>
          <w:tcPr>
            <w:tcW w:w="1108" w:type="dxa"/>
            <w:tcBorders>
              <w:left w:val="single" w:sz="4" w:space="0" w:color="000000"/>
              <w:bottom w:val="single" w:sz="4" w:space="0" w:color="000000"/>
            </w:tcBorders>
            <w:vAlign w:val="center"/>
          </w:tcPr>
          <w:p w14:paraId="78744F59"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21150DE2"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B307DB" w:rsidRPr="00E6193A" w14:paraId="49E7127D" w14:textId="77777777" w:rsidTr="00B307DB">
        <w:trPr>
          <w:trHeight w:val="276"/>
        </w:trPr>
        <w:tc>
          <w:tcPr>
            <w:tcW w:w="804" w:type="dxa"/>
            <w:tcBorders>
              <w:left w:val="single" w:sz="4" w:space="0" w:color="000000"/>
              <w:bottom w:val="single" w:sz="4" w:space="0" w:color="000000"/>
            </w:tcBorders>
            <w:vAlign w:val="center"/>
          </w:tcPr>
          <w:p w14:paraId="1D910BF9"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3.6</w:t>
            </w:r>
          </w:p>
        </w:tc>
        <w:tc>
          <w:tcPr>
            <w:tcW w:w="5522" w:type="dxa"/>
            <w:tcBorders>
              <w:left w:val="single" w:sz="4" w:space="0" w:color="000000"/>
              <w:bottom w:val="single" w:sz="4" w:space="0" w:color="000000"/>
            </w:tcBorders>
            <w:vAlign w:val="center"/>
          </w:tcPr>
          <w:p w14:paraId="608508ED"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Atendimento técnico presencial</w:t>
            </w:r>
          </w:p>
        </w:tc>
        <w:tc>
          <w:tcPr>
            <w:tcW w:w="1108" w:type="dxa"/>
            <w:tcBorders>
              <w:left w:val="single" w:sz="4" w:space="0" w:color="000000"/>
              <w:bottom w:val="single" w:sz="4" w:space="0" w:color="000000"/>
            </w:tcBorders>
            <w:vAlign w:val="center"/>
          </w:tcPr>
          <w:p w14:paraId="6AB45226"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22C064C8"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r w:rsidR="00B307DB" w:rsidRPr="00E6193A" w14:paraId="6F4A148E" w14:textId="77777777" w:rsidTr="00B307DB">
        <w:trPr>
          <w:trHeight w:val="276"/>
        </w:trPr>
        <w:tc>
          <w:tcPr>
            <w:tcW w:w="804" w:type="dxa"/>
            <w:tcBorders>
              <w:left w:val="single" w:sz="4" w:space="0" w:color="000000"/>
              <w:bottom w:val="single" w:sz="4" w:space="0" w:color="000000"/>
            </w:tcBorders>
            <w:vAlign w:val="center"/>
          </w:tcPr>
          <w:p w14:paraId="40BD2A57" w14:textId="77777777" w:rsidR="00B307DB" w:rsidRPr="00E6193A" w:rsidRDefault="00B307DB" w:rsidP="00B307DB">
            <w:pPr>
              <w:widowControl w:val="0"/>
              <w:spacing w:after="0" w:line="240" w:lineRule="auto"/>
              <w:ind w:right="-126"/>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3.7</w:t>
            </w:r>
          </w:p>
        </w:tc>
        <w:tc>
          <w:tcPr>
            <w:tcW w:w="5522" w:type="dxa"/>
            <w:tcBorders>
              <w:left w:val="single" w:sz="4" w:space="0" w:color="000000"/>
              <w:bottom w:val="single" w:sz="4" w:space="0" w:color="000000"/>
            </w:tcBorders>
            <w:vAlign w:val="center"/>
          </w:tcPr>
          <w:p w14:paraId="340E18C8" w14:textId="77777777" w:rsidR="00B307DB" w:rsidRPr="00E6193A" w:rsidRDefault="00B307DB" w:rsidP="00B307DB">
            <w:pPr>
              <w:widowControl w:val="0"/>
              <w:spacing w:after="0" w:line="240" w:lineRule="auto"/>
              <w:ind w:right="-568"/>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Atendimento técnico remoto</w:t>
            </w:r>
          </w:p>
        </w:tc>
        <w:tc>
          <w:tcPr>
            <w:tcW w:w="1108" w:type="dxa"/>
            <w:tcBorders>
              <w:left w:val="single" w:sz="4" w:space="0" w:color="000000"/>
              <w:bottom w:val="single" w:sz="4" w:space="0" w:color="000000"/>
            </w:tcBorders>
            <w:vAlign w:val="center"/>
          </w:tcPr>
          <w:p w14:paraId="1BD98DF2"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25</w:t>
            </w:r>
          </w:p>
        </w:tc>
        <w:tc>
          <w:tcPr>
            <w:tcW w:w="1530" w:type="dxa"/>
            <w:tcBorders>
              <w:left w:val="single" w:sz="4" w:space="0" w:color="000000"/>
              <w:bottom w:val="single" w:sz="4" w:space="0" w:color="000000"/>
              <w:right w:val="single" w:sz="4" w:space="0" w:color="000000"/>
            </w:tcBorders>
            <w:vAlign w:val="center"/>
          </w:tcPr>
          <w:p w14:paraId="042735DD" w14:textId="77777777" w:rsidR="00B307DB" w:rsidRPr="00E6193A" w:rsidRDefault="00B307DB" w:rsidP="00B307DB">
            <w:pPr>
              <w:widowControl w:val="0"/>
              <w:spacing w:after="0" w:line="240" w:lineRule="auto"/>
              <w:ind w:right="-241"/>
              <w:jc w:val="center"/>
              <w:rPr>
                <w:rFonts w:ascii="Times New Roman" w:eastAsia="SimSun" w:hAnsi="Times New Roman" w:cs="Times New Roman"/>
                <w:lang w:eastAsia="hi-IN" w:bidi="hi-IN"/>
              </w:rPr>
            </w:pPr>
            <w:r w:rsidRPr="00E6193A">
              <w:rPr>
                <w:rFonts w:ascii="Times New Roman" w:eastAsia="SimSun" w:hAnsi="Times New Roman" w:cs="Times New Roman"/>
                <w:lang w:eastAsia="hi-IN" w:bidi="hi-IN"/>
              </w:rPr>
              <w:t>Hora</w:t>
            </w:r>
          </w:p>
        </w:tc>
      </w:tr>
    </w:tbl>
    <w:p w14:paraId="08039169"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5.2 </w:t>
      </w:r>
      <w:r w:rsidRPr="00E6193A">
        <w:rPr>
          <w:rFonts w:ascii="Times New Roman" w:eastAsia="SimSun" w:hAnsi="Times New Roman" w:cs="Times New Roman"/>
          <w:lang w:eastAsia="zh-CN" w:bidi="hi-IN"/>
        </w:rPr>
        <w:t xml:space="preserve">Na condição de contração no modelo SaaS, serão reservadas horas de serviço (reserva técnica), na condição de “serviços de demanda variável” estabelecidos dentro do Acordo de Nível de Serviço (SLA), os quais deverão ser pré-orçados e pagos posteriormente por hora técnica </w:t>
      </w:r>
      <w:r w:rsidRPr="00E6193A">
        <w:rPr>
          <w:rFonts w:ascii="Times New Roman" w:eastAsia="SimSun" w:hAnsi="Times New Roman" w:cs="Times New Roman"/>
          <w:bCs/>
          <w:lang w:eastAsia="zh-CN" w:bidi="hi-IN"/>
        </w:rPr>
        <w:t>autorizada e efetivada, cuja estimativa encontra-se destacada</w:t>
      </w:r>
    </w:p>
    <w:p w14:paraId="0BEE2C82"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5.3 </w:t>
      </w:r>
      <w:r w:rsidRPr="00E6193A">
        <w:rPr>
          <w:rFonts w:ascii="Times New Roman" w:eastAsia="SimSun" w:hAnsi="Times New Roman" w:cs="Times New Roman"/>
          <w:color w:val="000000"/>
          <w:lang w:eastAsia="zh-CN" w:bidi="hi-IN"/>
        </w:rPr>
        <w:t xml:space="preserve">Para o melhor aproveitamento da solução implementada, é necessário que um número mínimo de profissionais da Administração seja capacitado para seu uso. Ainda que o projeto seja desenvolvido de </w:t>
      </w:r>
      <w:r w:rsidRPr="00E6193A">
        <w:rPr>
          <w:rFonts w:ascii="Times New Roman" w:eastAsia="SimSun" w:hAnsi="Times New Roman" w:cs="Times New Roman"/>
          <w:color w:val="000000"/>
          <w:lang w:eastAsia="zh-CN" w:bidi="hi-IN"/>
        </w:rPr>
        <w:lastRenderedPageBreak/>
        <w:t>maneira intuitiva, sempre pode haver alguma peculiaridade a ser mais bem detalhada para uma compreensão e aprendizado satisfatórios.</w:t>
      </w:r>
    </w:p>
    <w:p w14:paraId="4B2E3604"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5.4 </w:t>
      </w:r>
      <w:r w:rsidRPr="00E6193A">
        <w:rPr>
          <w:rFonts w:ascii="Times New Roman" w:eastAsia="SimSun" w:hAnsi="Times New Roman" w:cs="Times New Roman"/>
          <w:color w:val="000000"/>
          <w:lang w:eastAsia="zh-CN" w:bidi="hi-IN"/>
        </w:rPr>
        <w:t>Quanto a capacitação de servidores para que possam extrair os resultados esperados do sistema de ERP, estima-se que devam ser devidamente capacitados pelo menos 60% dos servidores públicos municipais, e das entidades participantes da licitação, divididos em turmas de aproximadamente 25 a 30 usuários, organizadas de acordo com a área de aplicação (módulo) a ser ministrado, com carga horária mínima suficiente.</w:t>
      </w:r>
    </w:p>
    <w:p w14:paraId="46DB1989" w14:textId="77777777" w:rsidR="00B307DB" w:rsidRPr="00E6193A" w:rsidRDefault="00B307DB" w:rsidP="00B307DB">
      <w:pPr>
        <w:widowControl w:val="0"/>
        <w:tabs>
          <w:tab w:val="left" w:pos="709"/>
          <w:tab w:val="left" w:pos="1276"/>
        </w:tabs>
        <w:spacing w:after="0" w:line="240" w:lineRule="auto"/>
        <w:ind w:right="-568"/>
        <w:contextualSpacing/>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5.5 </w:t>
      </w:r>
      <w:r w:rsidRPr="00E6193A">
        <w:rPr>
          <w:rFonts w:ascii="Times New Roman" w:eastAsia="Times New Roman" w:hAnsi="Times New Roman" w:cs="Times New Roman"/>
          <w:lang w:eastAsia="pt-BR"/>
        </w:rPr>
        <w:t>A eventual futura contratada deverá realizar ações de gerenciamento proativo, para monitoramento da utilização de recursos do datacenter, de modo a possibilitar o acompanhamento histórico e necessidades de ampliação de recursos, em especial de armazenamento, processamento de informações e backup, devendo estar ciente e alocando os eventuais futuros custos diretamente na proposta.</w:t>
      </w:r>
    </w:p>
    <w:p w14:paraId="5E6F6DB1" w14:textId="77777777" w:rsidR="00B307DB" w:rsidRPr="00E6193A" w:rsidRDefault="00B307DB" w:rsidP="00B307DB">
      <w:pPr>
        <w:widowControl w:val="0"/>
        <w:shd w:val="clear" w:color="auto" w:fill="FFFFFF" w:themeFill="background1"/>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hi-IN" w:bidi="hi-IN"/>
        </w:rPr>
        <w:t xml:space="preserve">5.6 </w:t>
      </w:r>
      <w:r w:rsidRPr="00E6193A">
        <w:rPr>
          <w:rFonts w:ascii="Times New Roman" w:eastAsia="SimSun" w:hAnsi="Times New Roman" w:cs="Times New Roman"/>
          <w:b/>
          <w:bCs/>
          <w:lang w:eastAsia="zh-CN" w:bidi="hi-IN"/>
        </w:rPr>
        <w:t>VISÃO GERAL DA SITUAÇÃO E INFRAESTRUTURA MUNICIPAL</w:t>
      </w:r>
    </w:p>
    <w:p w14:paraId="73CFFFBB" w14:textId="77777777" w:rsidR="00B307DB" w:rsidRPr="00E6193A" w:rsidRDefault="00B307DB" w:rsidP="00B307DB">
      <w:pPr>
        <w:widowControl w:val="0"/>
        <w:shd w:val="clear" w:color="auto" w:fill="FFFFFF" w:themeFill="background1"/>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5.6.1 Sistemas Atualmente utilizados pela Administração</w:t>
      </w:r>
    </w:p>
    <w:p w14:paraId="0D92A05F" w14:textId="77777777" w:rsidR="00B307DB" w:rsidRPr="00E6193A" w:rsidRDefault="00B307DB" w:rsidP="00B307DB">
      <w:pPr>
        <w:widowControl w:val="0"/>
        <w:shd w:val="clear" w:color="auto" w:fill="FFFFFF" w:themeFill="background1"/>
        <w:tabs>
          <w:tab w:val="left" w:pos="1140"/>
        </w:tabs>
        <w:suppressAutoHyphens/>
        <w:spacing w:after="0" w:line="240" w:lineRule="auto"/>
        <w:ind w:right="-568"/>
        <w:jc w:val="both"/>
        <w:rPr>
          <w:rFonts w:ascii="Times New Roman" w:eastAsia="SimSun" w:hAnsi="Times New Roman" w:cs="Times New Roman"/>
          <w:b/>
          <w:bCs/>
          <w:lang w:eastAsia="zh-CN" w:bidi="hi-IN"/>
        </w:rPr>
      </w:pPr>
      <w:r w:rsidRPr="00E6193A">
        <w:rPr>
          <w:rFonts w:ascii="Times New Roman" w:eastAsia="SimSun" w:hAnsi="Times New Roman" w:cs="Times New Roman"/>
          <w:b/>
          <w:bCs/>
          <w:lang w:eastAsia="zh-CN" w:bidi="hi-IN"/>
        </w:rPr>
        <w:t>5.6.1.1</w:t>
      </w:r>
      <w:r w:rsidRPr="00E6193A">
        <w:rPr>
          <w:rFonts w:ascii="Times New Roman" w:eastAsia="SimSun" w:hAnsi="Times New Roman" w:cs="Times New Roman"/>
          <w:bCs/>
          <w:lang w:eastAsia="zh-CN" w:bidi="hi-IN"/>
        </w:rPr>
        <w:t xml:space="preserve"> Os sistemas que compõe o objeto da presente</w:t>
      </w:r>
      <w:r w:rsidRPr="00E6193A">
        <w:rPr>
          <w:rFonts w:ascii="Times New Roman" w:eastAsia="SimSun" w:hAnsi="Times New Roman" w:cs="Times New Roman"/>
          <w:b/>
          <w:bCs/>
          <w:lang w:eastAsia="zh-CN" w:bidi="hi-IN"/>
        </w:rPr>
        <w:t xml:space="preserve"> </w:t>
      </w:r>
      <w:r w:rsidRPr="00E6193A">
        <w:rPr>
          <w:rFonts w:ascii="Times New Roman" w:eastAsia="SimSun" w:hAnsi="Times New Roman" w:cs="Times New Roman"/>
          <w:bCs/>
          <w:lang w:eastAsia="zh-CN" w:bidi="hi-IN"/>
        </w:rPr>
        <w:t xml:space="preserve">licitação são fornecidos atualmente pela empresa GOVERNANÇABRASIL S/A TECNOLOGIA E GESTÃO EM SERVIÇOS, conforme processo licitatório nº 1526/2021 Pregão Presencial 39/2021, contrato 93/2021 e seus aditivos. </w:t>
      </w:r>
    </w:p>
    <w:p w14:paraId="4D1F24AB" w14:textId="77777777" w:rsidR="00B307DB" w:rsidRPr="00E6193A" w:rsidRDefault="00B307DB" w:rsidP="00B307DB">
      <w:pPr>
        <w:widowControl w:val="0"/>
        <w:shd w:val="clear" w:color="auto" w:fill="FFFFFF" w:themeFill="background1"/>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5.6.2 Infra Estrutura Lógica e de Hardwares</w:t>
      </w:r>
    </w:p>
    <w:p w14:paraId="3ECE8AE3" w14:textId="77777777" w:rsidR="00B307DB" w:rsidRPr="00E6193A" w:rsidRDefault="00B307DB" w:rsidP="00B307DB">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color w:val="000000"/>
        </w:rPr>
        <w:t xml:space="preserve">5.6.2.1 </w:t>
      </w:r>
      <w:r w:rsidRPr="00E6193A">
        <w:rPr>
          <w:rFonts w:ascii="Times New Roman" w:eastAsia="Times New Roman" w:hAnsi="Times New Roman" w:cs="Times New Roman"/>
          <w:color w:val="000000"/>
        </w:rPr>
        <w:t>Foi observado ainda neste estudo técnico preliminar, a infraestrutura de hardware e lógica, bem como a disponibilidade de acesso à internet as diversas áreas atendidas. Hoje todas as entidades da Administração possuem acesso à internet. O que se leva ao descarte de uma ideia de criação de uma rede lógica interna privada, como nos modelos de aplicação desktop. Seja pela questão de ordem racional, uma vez que seria “reinventar a roda”, bem como pelos seus elevados custos e até dúvidas quanto a um efetivo e satisfatório funcionamento, dada particularidades de distância e geografia, que inclusive onerariam em recursos e tempo em aprofundados estudos, que ao fim e ao cabo, poderiam servir apenas para descartar este tipo de solução.</w:t>
      </w:r>
    </w:p>
    <w:p w14:paraId="14B30D58" w14:textId="77777777" w:rsidR="00B307DB" w:rsidRPr="00E6193A" w:rsidRDefault="00B307DB" w:rsidP="00B307DB">
      <w:pPr>
        <w:widowControl w:val="0"/>
        <w:shd w:val="clear" w:color="FFFFFF" w:themeColor="background1" w:fill="FFFFFF" w:themeFill="background1"/>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lang w:eastAsia="zh-CN" w:bidi="hi-IN"/>
        </w:rPr>
        <w:t>5.7 INFORMAÇÕES COMPLEMENTARES</w:t>
      </w:r>
    </w:p>
    <w:p w14:paraId="3413AB82"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color w:val="000000"/>
          <w:lang w:eastAsia="zh-CN" w:bidi="hi-IN"/>
        </w:rPr>
        <w:t>5.7.1 Serviços Necessários Para Implantação do Sistema de ERP</w:t>
      </w:r>
    </w:p>
    <w:p w14:paraId="71A75917"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5.7.1.1 </w:t>
      </w:r>
      <w:r w:rsidRPr="00E6193A">
        <w:rPr>
          <w:rFonts w:ascii="Times New Roman" w:eastAsia="SimSun" w:hAnsi="Times New Roman" w:cs="Times New Roman"/>
          <w:lang w:eastAsia="zh-CN" w:bidi="hi-IN"/>
        </w:rPr>
        <w:t>A contratada deverá realizar a implantação, compreendendo o diagnóstico, configuração, habilitação dos softwares aplicativos para uso, inclusive a conversão / migração e o aproveitamento de todos os dados cadastrais e informações dos sistemas em uso, cuja responsabilidade será da empresa contratada, com disponibilização dos mesmos pelo CONTRATANTE para uso, de forma legível, cuja migração, configuração e parametrização será realizada.</w:t>
      </w:r>
    </w:p>
    <w:p w14:paraId="3C11B068"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color w:val="000000"/>
          <w:lang w:eastAsia="zh-CN" w:bidi="hi-IN"/>
        </w:rPr>
        <w:t>5.7.2 Acordo de Nível de Serviço - ANS</w:t>
      </w:r>
    </w:p>
    <w:p w14:paraId="0DA952BC"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5.7.2.1 </w:t>
      </w:r>
      <w:r w:rsidRPr="00E6193A">
        <w:rPr>
          <w:rFonts w:ascii="Times New Roman" w:eastAsia="SimSun" w:hAnsi="Times New Roman" w:cs="Times New Roman"/>
          <w:iCs/>
          <w:lang w:eastAsia="hi-IN" w:bidi="hi-IN"/>
        </w:rPr>
        <w:t xml:space="preserve">De acordo com recomendações do Tribunal de Contas da União, o contrato estabelecido com o provedor deve incluir cláusula para “Acordos de Nível de Serviço” (Service Level Agreements - SLAs), com parâmetros específicos e níveis mínimos para cada elemento do serviço fornecido. Tais acordos necessitam ser razoáveis e exequíveis. Parâmetros abordados normalmente dentro de tais acordos são disponibilidade, tempo de resposta, desempenho, tempo para correção de erros ou incidentes, e segurança. </w:t>
      </w:r>
    </w:p>
    <w:p w14:paraId="33D7BEAE"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5.7.2.2 </w:t>
      </w:r>
      <w:r w:rsidRPr="00E6193A">
        <w:rPr>
          <w:rFonts w:ascii="Times New Roman" w:eastAsia="SimSun" w:hAnsi="Times New Roman" w:cs="Times New Roman"/>
          <w:iCs/>
          <w:lang w:eastAsia="hi-IN" w:bidi="hi-IN"/>
        </w:rPr>
        <w:t xml:space="preserve">Dentro da miríade de contratos-padrão dos provedores de nuvem, é importante definir os conceitos a serem abordados para SLA, pois cada provedor utiliza sua própria terminologia e não há uniformidade entre eles. Como exemplo, a Microsoft define “máximo de minutos disponíveis”, “tempo de inatividade”, “porcentagem de tempo de atividade mensal”, este último correspondendo ao percentual de disponibilidade em um mês, além de todo o vocabulário restante com termos que remetem ao tipo de serviço ofertado. Já o Google Apps utiliza conceitos de “inatividade”, “serviços cobertos pelo Google”, “porcentagem de atividade mensal”. Dentro destes conceitos, os cálculos podem variar – cita-se aqui a Mandic, provedora de IaaS no mercado brasileiro, que considera como base períodos de 15 minutos de indisponibilidade e totais de períodos de 15 minutos em um mês, para o cálculo de seu SLA.  </w:t>
      </w:r>
    </w:p>
    <w:p w14:paraId="76BADE84"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5.7.2.3 </w:t>
      </w:r>
      <w:r w:rsidRPr="00E6193A">
        <w:rPr>
          <w:rFonts w:ascii="Times New Roman" w:eastAsia="SimSun" w:hAnsi="Times New Roman" w:cs="Times New Roman"/>
          <w:iCs/>
          <w:lang w:eastAsia="hi-IN" w:bidi="hi-IN"/>
        </w:rPr>
        <w:t xml:space="preserve">Outro ponto a ser observado diz respeito às exceções à computação do SLA, como manutenções programadas, casos fortuitos ou força maior, estes últimos muitas vezes com definições não claras. </w:t>
      </w:r>
    </w:p>
    <w:p w14:paraId="79F76ED4"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t xml:space="preserve">5.7.2.4 </w:t>
      </w:r>
      <w:r w:rsidRPr="00E6193A">
        <w:rPr>
          <w:rFonts w:ascii="Times New Roman" w:eastAsia="SimSun" w:hAnsi="Times New Roman" w:cs="Times New Roman"/>
          <w:iCs/>
          <w:lang w:eastAsia="hi-IN" w:bidi="hi-IN"/>
        </w:rPr>
        <w:t xml:space="preserve">Para garantir e monitorar o atendimento aos níveis de serviço acordados, um contrato deve prever o direito do cliente a auditar registros, ou logs, de desempenho e possuir acesso a estatísticas de qualidade de serviço. Dentro do padrão, alguns provedores fornecem monitoramento básico sem cobrança adicional, que pode não ser satisfatório para o cliente monitorar o SLA contratado. Métricas personalizadas também são cobradas à parte, e também existe cobrança a depender do nível de armazenamento de logs. </w:t>
      </w:r>
    </w:p>
    <w:p w14:paraId="2463A50B"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iCs/>
          <w:lang w:eastAsia="hi-IN" w:bidi="hi-IN"/>
        </w:rPr>
        <w:lastRenderedPageBreak/>
        <w:t xml:space="preserve">5.7.2.5 </w:t>
      </w:r>
      <w:r w:rsidRPr="00E6193A">
        <w:rPr>
          <w:rFonts w:ascii="Times New Roman" w:eastAsia="SimSun" w:hAnsi="Times New Roman" w:cs="Times New Roman"/>
          <w:iCs/>
          <w:lang w:eastAsia="hi-IN" w:bidi="hi-IN"/>
        </w:rPr>
        <w:t xml:space="preserve">Está claro que os provedores de computação em nuvem, dentro de qualquer modelo, trabalham com seus próprios parâmetros de precificação e métricas de disponibilidade. A filosofia da computação em nuvem permite a redução de custos através da automatização e escala de uso, e derivando-se disto não há muita margem para flexibilização nos termos contratuais ofertados. Vê-se o mercado consumidor adaptando-se ao que é ofertado pelos provedores, em troca de ganho de agilidade e redução de custos. </w:t>
      </w:r>
    </w:p>
    <w:p w14:paraId="1DBF4B60"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bCs/>
          <w:color w:val="000000"/>
          <w:lang w:eastAsia="zh-CN" w:bidi="hi-IN"/>
        </w:rPr>
        <w:t>5.7.3 Provimento em Nuvem</w:t>
      </w:r>
    </w:p>
    <w:p w14:paraId="4EBB5414" w14:textId="77777777" w:rsidR="00B307DB" w:rsidRPr="00E6193A" w:rsidRDefault="00B307DB" w:rsidP="00B307DB">
      <w:pPr>
        <w:widowControl w:val="0"/>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5.7.3.1 </w:t>
      </w:r>
      <w:r w:rsidRPr="00E6193A">
        <w:rPr>
          <w:rFonts w:ascii="Times New Roman" w:eastAsia="SimSun" w:hAnsi="Times New Roman" w:cs="Times New Roman"/>
          <w:lang w:eastAsia="hi-IN" w:bidi="hi-IN"/>
        </w:rPr>
        <w:t>A administração Municipal pretende a contratação de softwares web no modelo</w:t>
      </w:r>
      <w:r w:rsidRPr="00E6193A">
        <w:rPr>
          <w:rFonts w:ascii="Times New Roman" w:eastAsia="SimSun" w:hAnsi="Times New Roman" w:cs="Times New Roman"/>
          <w:iCs/>
          <w:lang w:eastAsia="hi-IN" w:bidi="hi-IN"/>
        </w:rPr>
        <w:t xml:space="preserve"> </w:t>
      </w:r>
      <w:r w:rsidRPr="00E6193A">
        <w:rPr>
          <w:rFonts w:ascii="Times New Roman" w:eastAsia="SimSun" w:hAnsi="Times New Roman" w:cs="Times New Roman"/>
          <w:i/>
          <w:iCs/>
          <w:color w:val="000009"/>
          <w:lang w:eastAsia="hi-IN" w:bidi="hi-IN"/>
        </w:rPr>
        <w:t>SaaS</w:t>
      </w:r>
      <w:r w:rsidRPr="00E6193A">
        <w:rPr>
          <w:rFonts w:ascii="Times New Roman" w:eastAsia="SimSun" w:hAnsi="Times New Roman" w:cs="Times New Roman"/>
          <w:color w:val="000009"/>
          <w:lang w:eastAsia="hi-IN" w:bidi="hi-IN"/>
        </w:rPr>
        <w:t xml:space="preserve"> (</w:t>
      </w:r>
      <w:r w:rsidRPr="00E6193A">
        <w:rPr>
          <w:rFonts w:ascii="Times New Roman" w:eastAsia="SimSun" w:hAnsi="Times New Roman" w:cs="Times New Roman"/>
          <w:i/>
          <w:iCs/>
          <w:color w:val="000009"/>
          <w:lang w:eastAsia="hi-IN" w:bidi="hi-IN"/>
        </w:rPr>
        <w:t>Software as a Service)</w:t>
      </w:r>
      <w:r w:rsidRPr="00E6193A">
        <w:rPr>
          <w:rFonts w:ascii="Times New Roman" w:eastAsia="SimSun" w:hAnsi="Times New Roman" w:cs="Times New Roman"/>
          <w:color w:val="000009"/>
          <w:lang w:eastAsia="hi-IN" w:bidi="hi-IN"/>
        </w:rPr>
        <w:t xml:space="preserve">, onde há licenciamento temporário, ou seja, por tempo determinado de softwares web, mediante pagamento de aluguel mensal, incluso os custos de manutenção para utilizá-los (em nuvem), e não hospedados, em repositórios, servidores ou computadores/dispositivos da CONTRATANTE (licenciamento denominado ASP: </w:t>
      </w:r>
      <w:r w:rsidRPr="00E6193A">
        <w:rPr>
          <w:rFonts w:ascii="Times New Roman" w:eastAsia="SimSun" w:hAnsi="Times New Roman" w:cs="Times New Roman"/>
          <w:i/>
          <w:iCs/>
          <w:color w:val="000009"/>
          <w:lang w:eastAsia="hi-IN" w:bidi="hi-IN"/>
        </w:rPr>
        <w:t>Application Service Provider</w:t>
      </w:r>
      <w:r w:rsidRPr="00E6193A">
        <w:rPr>
          <w:rFonts w:ascii="Times New Roman" w:eastAsia="SimSun" w:hAnsi="Times New Roman" w:cs="Times New Roman"/>
          <w:color w:val="000009"/>
          <w:lang w:eastAsia="hi-IN" w:bidi="hi-IN"/>
        </w:rPr>
        <w:t xml:space="preserve">). </w:t>
      </w:r>
    </w:p>
    <w:p w14:paraId="03955192"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bCs/>
          <w:color w:val="000000"/>
          <w:lang w:eastAsia="zh-CN" w:bidi="hi-IN"/>
        </w:rPr>
        <w:t>5.7.4 Origem das Especificações dos Módulos e Funcionalidades</w:t>
      </w:r>
    </w:p>
    <w:p w14:paraId="1266FA66" w14:textId="77777777" w:rsidR="00B307DB" w:rsidRPr="00E6193A" w:rsidRDefault="00B307DB" w:rsidP="00B307DB">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color w:val="000000"/>
        </w:rPr>
        <w:t xml:space="preserve">5.7.4.1 </w:t>
      </w:r>
      <w:r w:rsidRPr="00E6193A">
        <w:rPr>
          <w:rFonts w:ascii="Times New Roman" w:eastAsia="Times New Roman" w:hAnsi="Times New Roman" w:cs="Times New Roman"/>
          <w:color w:val="000000"/>
        </w:rPr>
        <w:t>Os sistemas de gestão pública ERP são considerados sistemas grandes, ou seja, com centenas de operações, funções, procedimentos e rotinas obrigatórios a serem executados para atendimento da legislação, principalmente àquela relacionada a responsabilidade fiscal e contábil, mas não só isso, buscando a eficiência da gestão, o que demandaria muito esforço técnico e tempo, descrevê-las do zero pela requisitante ou equipe técnica de TI. Foram pesquisadas experiências de outros municípios com sistemas que pudessem funcionar completamente por meio da internet, de modo a constituir uma padronização de toda a infraestrutura de aplicações de softwares de gestão e evitar a criação de ilhas de processamento.</w:t>
      </w:r>
    </w:p>
    <w:p w14:paraId="13A0E2EA" w14:textId="77777777" w:rsidR="00B307DB" w:rsidRPr="00E6193A" w:rsidRDefault="00B307DB" w:rsidP="00B307DB">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5.7.4.2 </w:t>
      </w:r>
      <w:r w:rsidRPr="00E6193A">
        <w:rPr>
          <w:rFonts w:ascii="Times New Roman" w:eastAsia="Times New Roman" w:hAnsi="Times New Roman" w:cs="Times New Roman"/>
        </w:rPr>
        <w:t xml:space="preserve">De fato, a partir de uma leitura crítica da Lei Federal nº 14.133/2021, entende essa equipe de administração que a única forma de adoção de padrões de desempenho e qualidade objetivamente definidos é por meio de especificações usuais no mercado, mediante observação e aproveitamento de experiências anteriores e de outros entes públicos em contratações idênticas ou semelhantes. </w:t>
      </w:r>
    </w:p>
    <w:p w14:paraId="1E2DE5E7" w14:textId="77777777" w:rsidR="00B307DB" w:rsidRPr="00E6193A" w:rsidRDefault="00B307DB" w:rsidP="00B307DB">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5.7.4.3 </w:t>
      </w:r>
      <w:r w:rsidRPr="00E6193A">
        <w:rPr>
          <w:rFonts w:ascii="Times New Roman" w:eastAsia="Times New Roman" w:hAnsi="Times New Roman" w:cs="Times New Roman"/>
        </w:rPr>
        <w:t xml:space="preserve">Eventual “criação” absoluta de novos requisitos, simplesmente do zero, que não respeitasse as especificações usuais do mercado (extraídas de editais anteriormente publicados) além de gerar uma carga de trabalho extrema, desnaturaria a modalidade licitatória obrigatória, descabendo a esta municipalidade a “criação” abstrata das especificações usuais do mercado, que devem ser buscadas justamente no mercado, </w:t>
      </w:r>
      <w:r w:rsidRPr="00E6193A">
        <w:rPr>
          <w:rFonts w:ascii="Times New Roman" w:eastAsia="Times New Roman" w:hAnsi="Times New Roman" w:cs="Times New Roman"/>
          <w:i/>
        </w:rPr>
        <w:t>in casu</w:t>
      </w:r>
      <w:r w:rsidRPr="00E6193A">
        <w:rPr>
          <w:rFonts w:ascii="Times New Roman" w:eastAsia="Times New Roman" w:hAnsi="Times New Roman" w:cs="Times New Roman"/>
        </w:rPr>
        <w:t xml:space="preserve"> representado pelos termos de referência padronizados ao longo dos anos por diversas experiências licitatórias lícitas, muitas delas apreciadas pelo próprio Poder Judiciário ou Tribunal de Contas. Nesse sentido, todos os softwares integrantes do ERP deverão possuir padronização de linguagens e telas.</w:t>
      </w:r>
    </w:p>
    <w:p w14:paraId="61D99FEA"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5.7.4.4 </w:t>
      </w:r>
      <w:r w:rsidRPr="00E6193A">
        <w:rPr>
          <w:rFonts w:ascii="Times New Roman" w:eastAsia="Times New Roman" w:hAnsi="Times New Roman" w:cs="Times New Roman"/>
        </w:rPr>
        <w:t>Apoia-se essa área técnica no entendimento do Tribunal de Contas da União:</w:t>
      </w:r>
    </w:p>
    <w:p w14:paraId="74D8BB68" w14:textId="77777777" w:rsidR="00B307DB" w:rsidRPr="00E6193A" w:rsidRDefault="00B307DB" w:rsidP="00B307DB">
      <w:pPr>
        <w:spacing w:after="0" w:line="240" w:lineRule="auto"/>
        <w:ind w:right="-568" w:firstLine="1134"/>
        <w:jc w:val="both"/>
        <w:rPr>
          <w:rFonts w:ascii="Times New Roman" w:eastAsia="Times New Roman" w:hAnsi="Times New Roman" w:cs="Times New Roman"/>
        </w:rPr>
      </w:pPr>
    </w:p>
    <w:p w14:paraId="399A7819"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r w:rsidRPr="00E6193A">
        <w:rPr>
          <w:rFonts w:ascii="Times New Roman" w:eastAsia="Times New Roman" w:hAnsi="Times New Roman" w:cs="Times New Roman"/>
        </w:rPr>
        <w:t xml:space="preserve">Tendo em vista, de forma geral, que para contratação de empresa especializada em cessão de direito de uso (ou locação, licenciamento) dos sistemas integrados em gestão pública e serviços complementares, </w:t>
      </w:r>
      <w:r w:rsidRPr="00E6193A">
        <w:rPr>
          <w:rFonts w:ascii="Times New Roman" w:eastAsia="Times New Roman" w:hAnsi="Times New Roman" w:cs="Times New Roman"/>
          <w:b/>
          <w:bCs/>
          <w:u w:val="single"/>
        </w:rPr>
        <w:t>o pressuposto é o de que sistema já exista</w:t>
      </w:r>
      <w:r w:rsidRPr="00E6193A">
        <w:rPr>
          <w:rFonts w:ascii="Times New Roman" w:eastAsia="Times New Roman" w:hAnsi="Times New Roman" w:cs="Times New Roman"/>
        </w:rPr>
        <w:t xml:space="preserve"> (Acórdão TCU nº 602/2004 - Plenário).</w:t>
      </w:r>
    </w:p>
    <w:p w14:paraId="75FE1F89" w14:textId="77777777" w:rsidR="00B307DB" w:rsidRPr="00E6193A" w:rsidRDefault="00B307DB" w:rsidP="00B307DB">
      <w:pPr>
        <w:spacing w:after="0" w:line="240" w:lineRule="auto"/>
        <w:ind w:left="2835" w:right="-568"/>
        <w:jc w:val="both"/>
        <w:rPr>
          <w:rFonts w:ascii="Times New Roman" w:eastAsia="Times New Roman" w:hAnsi="Times New Roman" w:cs="Times New Roman"/>
        </w:rPr>
      </w:pPr>
    </w:p>
    <w:p w14:paraId="310CBD69" w14:textId="77777777" w:rsidR="00B307DB" w:rsidRPr="00E6193A" w:rsidRDefault="00B307DB" w:rsidP="00B307DB">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rPr>
        <w:t xml:space="preserve">5.7.4.5 </w:t>
      </w:r>
      <w:r w:rsidRPr="00E6193A">
        <w:rPr>
          <w:rFonts w:ascii="Times New Roman" w:eastAsia="Times New Roman" w:hAnsi="Times New Roman" w:cs="Times New Roman"/>
          <w:color w:val="000000"/>
        </w:rPr>
        <w:t>Descritivos, que de longe de serem mera formalidade ou um capricho do gestor, devem representar o atendimento as normas de regência de cada matéria. A Lei determina que a especificação de um objeto deve ser PRECISA, SUFICIENTE e CLARA.</w:t>
      </w:r>
    </w:p>
    <w:p w14:paraId="50CB3BB0" w14:textId="77777777" w:rsidR="00B307DB" w:rsidRPr="00E6193A" w:rsidRDefault="00B307DB" w:rsidP="00B307DB">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rPr>
        <w:t xml:space="preserve">5.7.4.6 </w:t>
      </w:r>
      <w:r w:rsidRPr="00E6193A">
        <w:rPr>
          <w:rFonts w:ascii="Times New Roman" w:eastAsia="Times New Roman" w:hAnsi="Times New Roman" w:cs="Times New Roman"/>
          <w:color w:val="000000"/>
        </w:rPr>
        <w:t>Por suficiente, deve ser entendido, no mínimo, como aquela que atende a necessidade pública, não abrindo imediatamente após a firmação do termo contratual, brechas a reinvindicação de aditivos pelo contratado, para funcionamento satisfatório e eficiente do que foi contratado.</w:t>
      </w:r>
    </w:p>
    <w:p w14:paraId="1FBDA0E9"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rPr>
        <w:t xml:space="preserve">5.7.4.7 </w:t>
      </w:r>
      <w:r w:rsidRPr="00E6193A">
        <w:rPr>
          <w:rFonts w:ascii="Times New Roman" w:eastAsia="Times New Roman" w:hAnsi="Times New Roman" w:cs="Times New Roman"/>
          <w:color w:val="000000"/>
          <w:lang w:eastAsia="pt-BR"/>
        </w:rPr>
        <w:t>Como bem sabido, a deficiência no descritivo técnico, que segue as orientações da Instrução Normativa n° 04/2014, da Secretaria de Logística e Tecnologia da Informação SLTI do Ministério do Planejamento, Orçamento e Gestão – MPOG e orientações da Nota Técnica nº 04/2008/TCU é abrir brechas a futuros questionamentos de revisão, acréscimos e aditamento contratuais, visando customizações de funções e operações, em flagrante prejuízo a previsibilidade e a economicidade, princípios que balizam o procedimento de aquisição e contratação.</w:t>
      </w:r>
    </w:p>
    <w:p w14:paraId="48D2D98B" w14:textId="77777777" w:rsidR="00B307DB" w:rsidRPr="00E6193A" w:rsidRDefault="00B307DB" w:rsidP="00B307DB">
      <w:pPr>
        <w:spacing w:after="0" w:line="240" w:lineRule="auto"/>
        <w:ind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b/>
        </w:rPr>
        <w:t xml:space="preserve">5.7.4.8 </w:t>
      </w:r>
      <w:r w:rsidRPr="00E6193A">
        <w:rPr>
          <w:rFonts w:ascii="Times New Roman" w:eastAsia="Times New Roman" w:hAnsi="Times New Roman" w:cs="Times New Roman"/>
          <w:color w:val="000000"/>
          <w:lang w:eastAsia="pt-BR"/>
        </w:rPr>
        <w:t xml:space="preserve">O descritivo técnico de cada módulo, não deve trazer nada mais do que prevê a Lei quanto as funções, operações e relatórios exigidos, inclusive pelos próprios órgãos de controle (TCE, TCU, STN, SUS, etc), bem como os padrões mínimos de exigência das aplicações. </w:t>
      </w:r>
    </w:p>
    <w:p w14:paraId="5BF08D99" w14:textId="77777777" w:rsidR="00B307DB" w:rsidRPr="00E6193A" w:rsidRDefault="00B307DB" w:rsidP="00B307DB">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rPr>
        <w:lastRenderedPageBreak/>
        <w:t xml:space="preserve">5.7.4.9 </w:t>
      </w:r>
      <w:r w:rsidRPr="00E6193A">
        <w:rPr>
          <w:rFonts w:ascii="Times New Roman" w:eastAsia="Times New Roman" w:hAnsi="Times New Roman" w:cs="Times New Roman"/>
          <w:color w:val="000000"/>
        </w:rPr>
        <w:t>As integrações entre as áreas, a serem descritas, evitam desconformidades e erros sistemáticos e dificuldade da gestão. A partir do momento que empresas potencialmente concorrentes alimentam e retroalimentam seus bancos a partir de banco de dados distintos, haveria exponencial aumento do risco de problemas, com incansáveis trocas de acusações técnicas.</w:t>
      </w:r>
    </w:p>
    <w:p w14:paraId="36751A33" w14:textId="77777777" w:rsidR="00B307DB" w:rsidRPr="00E6193A" w:rsidRDefault="00B307DB" w:rsidP="00B307DB">
      <w:pPr>
        <w:tabs>
          <w:tab w:val="left" w:pos="567"/>
        </w:tabs>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 xml:space="preserve">5.7.4.10 </w:t>
      </w:r>
      <w:r w:rsidRPr="00E6193A">
        <w:rPr>
          <w:rFonts w:ascii="Times New Roman" w:eastAsia="Times New Roman" w:hAnsi="Times New Roman" w:cs="Times New Roman"/>
        </w:rPr>
        <w:t xml:space="preserve">Dessa maneira, dividindo-se as áreas de aplicação por módulos de programas, adotando os princípios da visão sistêmica e da padronização da qualidade (ABNT-NBR-ISO-IEC-27001), é possível a cada setor ou unidade administrativa, definidas suas necessidades, adotar os padrões previamente estabelecidos por outros entes público, apresentando em conjunto seus descritivos. </w:t>
      </w:r>
    </w:p>
    <w:p w14:paraId="457AD46B" w14:textId="77777777" w:rsidR="00B307DB" w:rsidRPr="00E6193A" w:rsidRDefault="00B307DB" w:rsidP="00B307DB">
      <w:pPr>
        <w:spacing w:after="0" w:line="240" w:lineRule="auto"/>
        <w:ind w:right="-568"/>
        <w:jc w:val="both"/>
        <w:rPr>
          <w:rFonts w:ascii="Times New Roman" w:eastAsia="Times New Roman" w:hAnsi="Times New Roman" w:cs="Times New Roman"/>
          <w:spacing w:val="2"/>
          <w:highlight w:val="yellow"/>
          <w:shd w:val="clear" w:color="auto" w:fill="FFFFFF"/>
        </w:rPr>
      </w:pPr>
    </w:p>
    <w:p w14:paraId="1433E810" w14:textId="77777777" w:rsidR="00B307DB" w:rsidRPr="00E6193A" w:rsidRDefault="00B307DB" w:rsidP="00B307DB">
      <w:pPr>
        <w:spacing w:after="0" w:line="240" w:lineRule="auto"/>
        <w:ind w:right="-568"/>
        <w:jc w:val="both"/>
        <w:rPr>
          <w:rFonts w:ascii="Times New Roman" w:eastAsia="Times New Roman" w:hAnsi="Times New Roman" w:cs="Times New Roman"/>
          <w:b/>
          <w:lang w:eastAsia="pt-BR"/>
        </w:rPr>
      </w:pPr>
      <w:r w:rsidRPr="00E6193A">
        <w:rPr>
          <w:rFonts w:ascii="Times New Roman" w:eastAsia="Times New Roman" w:hAnsi="Times New Roman" w:cs="Times New Roman"/>
          <w:b/>
          <w:lang w:eastAsia="pt-BR"/>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65A6377"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6.1</w:t>
      </w:r>
      <w:r w:rsidRPr="00E6193A">
        <w:rPr>
          <w:rFonts w:ascii="Times New Roman" w:eastAsia="Times New Roman" w:hAnsi="Times New Roman" w:cs="Times New Roman"/>
          <w:iCs/>
        </w:rPr>
        <w:t xml:space="preserve"> A Administração, por meio do setor de compras, realizou as pesquisas necessárias ao levantamento das estimativas do valor da futura eventual contratação.</w:t>
      </w:r>
    </w:p>
    <w:p w14:paraId="74A681CD"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6.2 </w:t>
      </w:r>
      <w:r w:rsidRPr="00E6193A">
        <w:rPr>
          <w:rFonts w:ascii="Times New Roman" w:eastAsia="Times New Roman" w:hAnsi="Times New Roman" w:cs="Times New Roman"/>
          <w:iCs/>
        </w:rPr>
        <w:t>Não se observa ganho ou vantagem em preservar o sigilo dos valores apurados até a conclusão da licitação. Salvo parecer em contrário das áreas jurídica ou do gestor competente.</w:t>
      </w:r>
    </w:p>
    <w:p w14:paraId="32CE90CE"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6.3 </w:t>
      </w:r>
      <w:r w:rsidRPr="00E6193A">
        <w:rPr>
          <w:rFonts w:ascii="Times New Roman" w:eastAsia="Times New Roman" w:hAnsi="Times New Roman" w:cs="Times New Roman"/>
          <w:iCs/>
        </w:rPr>
        <w:t xml:space="preserve">Os modelos de precificação Software as a Service (SaaS), baseiam-se na quantidade de usuários, ou em volume de recursos consumidos, ou ainda em uma combinação dos dois. </w:t>
      </w:r>
    </w:p>
    <w:p w14:paraId="39960814"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6.4 </w:t>
      </w:r>
      <w:r w:rsidRPr="00E6193A">
        <w:rPr>
          <w:rFonts w:ascii="Times New Roman" w:eastAsia="Times New Roman" w:hAnsi="Times New Roman" w:cs="Times New Roman"/>
          <w:iCs/>
        </w:rPr>
        <w:t xml:space="preserve">O modelo adotado, será por valor mensal por módulo (área/atividade) a ser utilizado, já com previsão de usuários públicos, no entanto, sem qualquer adicional, ou seja, sem limite de usuários. Dessa maneira, a Administração não fica sujeita a alterações nos preços em função de rotatividade de pessoal. O prestador de serviço deverá prever as oscilações de demanda, pelo porte do cliente, conforme suas experiências anteriores e o mercado. </w:t>
      </w:r>
    </w:p>
    <w:p w14:paraId="4BC0A78E"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6.5 </w:t>
      </w:r>
      <w:r w:rsidRPr="00E6193A">
        <w:rPr>
          <w:rFonts w:ascii="Times New Roman" w:eastAsia="Times New Roman" w:hAnsi="Times New Roman" w:cs="Times New Roman"/>
          <w:iCs/>
        </w:rPr>
        <w:t xml:space="preserve">A vantagem sobre a precificação de software tradicional é que no caso do software como serviço, o aplicativo está disponível para acesso remoto a partir de qualquer dispositivo, e não implica em cobranças separadas para tablets, notebooks, celulares e outros. O faturamento ocorre baseado em um período (nesse caso mensal) independentemente do número de usuários registrados ou que fizeram uso do ERP. </w:t>
      </w:r>
    </w:p>
    <w:p w14:paraId="38E8C695"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6.6 </w:t>
      </w:r>
      <w:r w:rsidRPr="00E6193A">
        <w:rPr>
          <w:rFonts w:ascii="Times New Roman" w:eastAsia="Times New Roman" w:hAnsi="Times New Roman" w:cs="Times New Roman"/>
          <w:iCs/>
        </w:rPr>
        <w:t xml:space="preserve">No caso dos recursos necessários, inerentes a prestação do serviço, como infraestrutura da nuvem necessários ao funcionamento do sistema, igualmente será entendido como serviço. </w:t>
      </w:r>
    </w:p>
    <w:p w14:paraId="55170D5B"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6.7 </w:t>
      </w:r>
      <w:r w:rsidRPr="00E6193A">
        <w:rPr>
          <w:rFonts w:ascii="Times New Roman" w:eastAsia="Times New Roman" w:hAnsi="Times New Roman" w:cs="Times New Roman"/>
          <w:iCs/>
        </w:rPr>
        <w:t xml:space="preserve">Regra semelhante será aplicada a reserva técnica de serviços fora de garantia do ANS ou de customizações de aplicativos, onde se terá como parâmetro a hora técnica utilizada, mediante orçamento prévio, analisado e aprovado pela Administração. </w:t>
      </w:r>
    </w:p>
    <w:p w14:paraId="706843FB"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iCs/>
        </w:rPr>
        <w:t xml:space="preserve">6.8 </w:t>
      </w:r>
      <w:r w:rsidRPr="00E6193A">
        <w:rPr>
          <w:rFonts w:ascii="Times New Roman" w:eastAsia="Times New Roman" w:hAnsi="Times New Roman" w:cs="Times New Roman"/>
          <w:iCs/>
        </w:rPr>
        <w:t>Ressalta-se que a Administração deverá verificar as ferramentas e formas de monitoração oferecidas pelo provedor. Além disto, deverão ser criados processos para monitoramento da utilização baseado nos usuários individualmente, e a Administração deverá possuir controle amplo sobre a administração dos seus usuários, bem como de seus dados, também evitando provedores que não permitam modelos de segurança onde o cliente determine as permissões e papéis de seus usuários.</w:t>
      </w:r>
    </w:p>
    <w:p w14:paraId="6B04F1E9"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6.9 </w:t>
      </w:r>
      <w:r w:rsidRPr="00E6193A">
        <w:rPr>
          <w:rFonts w:ascii="Times New Roman" w:eastAsia="Times New Roman" w:hAnsi="Times New Roman" w:cs="Times New Roman"/>
          <w:lang w:eastAsia="pt-BR"/>
        </w:rPr>
        <w:t>Os preços do presente certame tiveram como base contratações similares formalizadas por outros órgãos da administração pública, com apoio do que disciplina a PORTARIA PGR/MPU Nº 100, DE 31 DE MAIO DE 2023, que regulamenta o procedimento administrativo para realização de pesquisa de preços para aquisição de bens e contratação de serviços em geral, no âmbito do Ministério Público da União, com supedâneo na INSTRUÇÃO NORMATIVA STJ/GDG N. 4 DE 13 DE FEVEREIRO DE 2023, que disciplina as condições preliminares de contratações de bens e serviços regidas pela Lei n. 14.133, de 1º de abril de 2021, no Superior Tribunal de Justiça, Seção IX, cujos dispositivos indicam como parâmetro de pesquisa, com destaque, adotados de forma combinada ou não, destacados no §1º do art. 23 da Lei nº 14.133/2021:</w:t>
      </w:r>
    </w:p>
    <w:p w14:paraId="37C1700E" w14:textId="77777777" w:rsidR="00B307DB" w:rsidRPr="00E6193A" w:rsidRDefault="00B307DB" w:rsidP="00B307DB">
      <w:pPr>
        <w:spacing w:after="0" w:line="240" w:lineRule="auto"/>
        <w:ind w:right="-568" w:firstLine="1134"/>
        <w:jc w:val="both"/>
        <w:rPr>
          <w:rFonts w:ascii="Times New Roman" w:eastAsia="Times New Roman" w:hAnsi="Times New Roman" w:cs="Times New Roman"/>
          <w:lang w:eastAsia="pt-BR"/>
        </w:rPr>
      </w:pPr>
    </w:p>
    <w:p w14:paraId="12F49F08"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color w:val="000000"/>
          <w:lang w:eastAsia="pt-BR"/>
        </w:rPr>
        <w:t>I - composição de custos unitários menores ou iguais à mediana do item correspondente no painel para consulta de preços ou no banco de preços em saúde disponíveis no Portal Nacional de Contratações Públicas (PNCP);</w:t>
      </w:r>
    </w:p>
    <w:p w14:paraId="4D85B67E"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color w:val="000000"/>
          <w:lang w:eastAsia="pt-BR"/>
        </w:rPr>
        <w:t xml:space="preserve">II - </w:t>
      </w:r>
      <w:r w:rsidRPr="00E6193A">
        <w:rPr>
          <w:rFonts w:ascii="Times New Roman" w:eastAsia="Times New Roman" w:hAnsi="Times New Roman" w:cs="Times New Roman"/>
          <w:b/>
          <w:bCs/>
          <w:color w:val="000000"/>
          <w:u w:val="single"/>
          <w:lang w:eastAsia="pt-BR"/>
        </w:rPr>
        <w:t xml:space="preserve">contratações similares feitas pela Administração Pública, em execução ou concluídas no período de 1 (um) ano anterior à data da pesquisa de preços, inclusive mediante sistema de registro de </w:t>
      </w:r>
      <w:r w:rsidRPr="00E6193A">
        <w:rPr>
          <w:rFonts w:ascii="Times New Roman" w:eastAsia="Times New Roman" w:hAnsi="Times New Roman" w:cs="Times New Roman"/>
          <w:b/>
          <w:bCs/>
          <w:color w:val="000000"/>
          <w:u w:val="single"/>
          <w:lang w:eastAsia="pt-BR"/>
        </w:rPr>
        <w:lastRenderedPageBreak/>
        <w:t>preços, observado o índice de atualização de preços correspondente</w:t>
      </w:r>
      <w:r w:rsidRPr="00E6193A">
        <w:rPr>
          <w:rFonts w:ascii="Times New Roman" w:eastAsia="Times New Roman" w:hAnsi="Times New Roman" w:cs="Times New Roman"/>
          <w:color w:val="000000"/>
          <w:lang w:eastAsia="pt-BR"/>
        </w:rPr>
        <w:t>;</w:t>
      </w:r>
    </w:p>
    <w:p w14:paraId="1DB6EFA5"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color w:val="000000"/>
          <w:lang w:eastAsia="pt-BR"/>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0E1447B0"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color w:val="000000"/>
          <w:lang w:eastAsia="pt-BR"/>
        </w:rPr>
        <w:t>IV - pesquisa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3B0EEE00" w14:textId="77777777" w:rsidR="00B307DB" w:rsidRPr="00E6193A" w:rsidRDefault="00B307DB" w:rsidP="00B307DB">
      <w:pPr>
        <w:spacing w:after="0" w:line="240" w:lineRule="auto"/>
        <w:ind w:left="2835" w:right="-568"/>
        <w:jc w:val="both"/>
        <w:rPr>
          <w:rFonts w:ascii="Times New Roman" w:eastAsia="Times New Roman" w:hAnsi="Times New Roman" w:cs="Times New Roman"/>
          <w:color w:val="000000"/>
          <w:lang w:eastAsia="pt-BR"/>
        </w:rPr>
      </w:pPr>
      <w:r w:rsidRPr="00E6193A">
        <w:rPr>
          <w:rFonts w:ascii="Times New Roman" w:eastAsia="Times New Roman" w:hAnsi="Times New Roman" w:cs="Times New Roman"/>
          <w:color w:val="000000"/>
          <w:lang w:eastAsia="pt-BR"/>
        </w:rPr>
        <w:t>V - pesquisa na base nacional de notas fiscais eletrônicas, na forma de regulamento.</w:t>
      </w:r>
    </w:p>
    <w:p w14:paraId="46CD3F48"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p>
    <w:p w14:paraId="4B01795C"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6.10 </w:t>
      </w:r>
      <w:r w:rsidRPr="00E6193A">
        <w:rPr>
          <w:rFonts w:ascii="Times New Roman" w:eastAsia="SimSun" w:hAnsi="Times New Roman" w:cs="Times New Roman"/>
          <w:lang w:eastAsia="zh-CN" w:bidi="hi-IN"/>
        </w:rPr>
        <w:t>Geralmente a implantação de sistemas informatizados, envolvem a necessidade de realização de mudanças internas para receber a solução da contratação (exemplo: mobiliário, instalação elétrica, espaço adequado para prestação do serviço, capacitação dos servidores, indicação de gestores do contrato etc).</w:t>
      </w:r>
    </w:p>
    <w:p w14:paraId="12998DD9"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6.11 </w:t>
      </w:r>
      <w:r w:rsidRPr="00E6193A">
        <w:rPr>
          <w:rFonts w:ascii="Times New Roman" w:eastAsia="SimSun" w:hAnsi="Times New Roman" w:cs="Times New Roman"/>
          <w:lang w:eastAsia="zh-CN" w:bidi="hi-IN"/>
        </w:rPr>
        <w:t>A solução que se analisa, de sistema em nuvem, dispensa a realização de adequações no ambiente físico, a aquisição de equipamentos novos e a custos com a implantação e manutenção de salas especiais para manutenção do CPD (salas do tipo cofre, infraestrutura de climatização, contra incêndios e sinistros, máquinas de grande poder de processamento e sua atualização constante, cabeamento estruturado específico para rede interna, etc.).</w:t>
      </w:r>
    </w:p>
    <w:p w14:paraId="27E385FD"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6.12 </w:t>
      </w:r>
      <w:r w:rsidRPr="00E6193A">
        <w:rPr>
          <w:rFonts w:ascii="Times New Roman" w:eastAsia="SimSun" w:hAnsi="Times New Roman" w:cs="Times New Roman"/>
          <w:lang w:eastAsia="zh-CN" w:bidi="hi-IN"/>
        </w:rPr>
        <w:t>Os custos com implantação, manutenção e atendimento serão executados pela contratada, o que possibilita a economia de escala e a absorção de conhecimentos e boas práticas já adotadas em outras administrações que sejam clientes desse tipo de solução.</w:t>
      </w:r>
    </w:p>
    <w:p w14:paraId="5E9811AD"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6.13 </w:t>
      </w:r>
      <w:r w:rsidRPr="00E6193A">
        <w:rPr>
          <w:rFonts w:ascii="Times New Roman" w:eastAsia="SimSun" w:hAnsi="Times New Roman" w:cs="Times New Roman"/>
          <w:lang w:eastAsia="zh-CN" w:bidi="hi-IN"/>
        </w:rPr>
        <w:t>Apesar de ser preferencial a adoção de sistemas com layout e operação intuitiva, é importante que sejam realizados, durante a fase de implantação, treinamento de um número significativo de usuários em cada área de atuação/módulo, inclusive treinamento de nível técnico para o pessoal de TI interno, possibilitando operar ferramentas de configuração e parametrizações básicas.</w:t>
      </w:r>
    </w:p>
    <w:p w14:paraId="0AEB00BA" w14:textId="77777777" w:rsidR="00B307DB" w:rsidRPr="00E6193A" w:rsidRDefault="00B307DB" w:rsidP="00B307DB">
      <w:pPr>
        <w:tabs>
          <w:tab w:val="left" w:pos="851"/>
        </w:tabs>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6.14 </w:t>
      </w:r>
      <w:r w:rsidRPr="00E6193A">
        <w:rPr>
          <w:rFonts w:ascii="Times New Roman" w:eastAsia="Times New Roman" w:hAnsi="Times New Roman" w:cs="Times New Roman"/>
          <w:lang w:eastAsia="pt-BR"/>
        </w:rPr>
        <w:t xml:space="preserve">Além disso, a administração apresenta como base preços constantes de contratos públicos integrantes de certames já homologados por outras administrações. Contratos já referendados pelo  Tribunal de Contas do Estado, posto que, extraídos do site do próprio órgão da Administração Pública Municipal ou mesmo do respectivo Tribunal. Acerca da matéria, o Tribunal de Contas da União manifestou posicionamento destacando o dever quanto a busca diversificada de fontes de preços, com prioridade para o Painel de Preços e as contratações similares de outros Órgãos. Vejamos: </w:t>
      </w:r>
    </w:p>
    <w:p w14:paraId="7487A21B"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p>
    <w:p w14:paraId="1262CB0A"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TCU – Acórdão nº 1445/2015 – Plenário</w:t>
      </w:r>
    </w:p>
    <w:p w14:paraId="73140164"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Na elaboração do orçamento estimativo da licitação, bem como na demonstração da vantajosidade de eventual prorrogação de contrato, </w:t>
      </w:r>
      <w:r w:rsidRPr="00E6193A">
        <w:rPr>
          <w:rFonts w:ascii="Times New Roman" w:eastAsia="Times New Roman" w:hAnsi="Times New Roman" w:cs="Times New Roman"/>
          <w:b/>
          <w:bCs/>
          <w:lang w:eastAsia="pt-BR"/>
        </w:rPr>
        <w:t>deve ser utilizadas fontes diversificadas de pesquisa de preços. Deve ser priorizadas </w:t>
      </w:r>
      <w:r w:rsidRPr="00E6193A">
        <w:rPr>
          <w:rFonts w:ascii="Times New Roman" w:eastAsia="Times New Roman" w:hAnsi="Times New Roman" w:cs="Times New Roman"/>
          <w:lang w:eastAsia="pt-BR"/>
        </w:rPr>
        <w:t>consultas ao Portal de Compras Governamentais e</w:t>
      </w:r>
      <w:r w:rsidRPr="00E6193A">
        <w:rPr>
          <w:rFonts w:ascii="Times New Roman" w:eastAsia="Times New Roman" w:hAnsi="Times New Roman" w:cs="Times New Roman"/>
          <w:b/>
          <w:bCs/>
          <w:lang w:eastAsia="pt-BR"/>
        </w:rPr>
        <w:t xml:space="preserve"> a contratações similares de outros entes públicos, em detrimento de pesquisas com fornecedores, publicadas em mídias especializadas ou em sítios eletrônicos especializados ou de domínio amplo, cuja adoção deve ser tida como prática subsidiária</w:t>
      </w:r>
      <w:r w:rsidRPr="00E6193A">
        <w:rPr>
          <w:rFonts w:ascii="Times New Roman" w:eastAsia="Times New Roman" w:hAnsi="Times New Roman" w:cs="Times New Roman"/>
          <w:lang w:eastAsia="pt-BR"/>
        </w:rPr>
        <w:t xml:space="preserve">. </w:t>
      </w:r>
    </w:p>
    <w:p w14:paraId="61865376" w14:textId="77777777" w:rsidR="00B307DB" w:rsidRPr="00E6193A" w:rsidRDefault="00B307DB" w:rsidP="00B307DB">
      <w:pPr>
        <w:shd w:val="clear" w:color="auto" w:fill="FFFFFF"/>
        <w:spacing w:after="0" w:line="240" w:lineRule="auto"/>
        <w:ind w:left="2835" w:right="-568"/>
        <w:jc w:val="both"/>
        <w:rPr>
          <w:rFonts w:ascii="Times New Roman" w:eastAsia="Times New Roman" w:hAnsi="Times New Roman" w:cs="Times New Roman"/>
          <w:lang w:eastAsia="pt-BR"/>
        </w:rPr>
      </w:pPr>
    </w:p>
    <w:p w14:paraId="793CB2B3" w14:textId="77777777" w:rsidR="00B307DB" w:rsidRPr="00E6193A" w:rsidRDefault="00B307DB" w:rsidP="00B307DB">
      <w:pPr>
        <w:shd w:val="clear" w:color="auto" w:fill="FFFFFF"/>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TCU - </w:t>
      </w:r>
      <w:hyperlink r:id="rId261" w:anchor="_blank" w:tgtFrame="https://contas.tcu.gov.br/pesquisaJurisprudencia/#_blank">
        <w:r w:rsidRPr="00E6193A">
          <w:rPr>
            <w:rFonts w:ascii="Times New Roman" w:eastAsia="Times New Roman" w:hAnsi="Times New Roman" w:cs="Times New Roman"/>
            <w:b/>
            <w:lang w:eastAsia="pt-BR"/>
          </w:rPr>
          <w:t>ACÓRDÃO 2170/2007 ATA 43/2007 - PLENÁRIO - 17/10/2007</w:t>
        </w:r>
      </w:hyperlink>
    </w:p>
    <w:p w14:paraId="28A07F41" w14:textId="77777777" w:rsidR="00B307DB" w:rsidRPr="00E6193A" w:rsidRDefault="00D52F36" w:rsidP="00B307DB">
      <w:pPr>
        <w:shd w:val="clear" w:color="auto" w:fill="FFFFFF"/>
        <w:spacing w:after="0" w:line="240" w:lineRule="auto"/>
        <w:ind w:left="2835" w:right="-568"/>
        <w:jc w:val="both"/>
        <w:rPr>
          <w:rFonts w:ascii="Times New Roman" w:eastAsia="Times New Roman" w:hAnsi="Times New Roman" w:cs="Times New Roman"/>
          <w:lang w:eastAsia="pt-BR"/>
        </w:rPr>
      </w:pPr>
      <w:hyperlink r:id="rId262" w:anchor="_blank" w:tgtFrame="https://contas.tcu.gov.br/pesquisaJurisprudencia/#_blank">
        <w:r w:rsidR="00B307DB" w:rsidRPr="00E6193A">
          <w:rPr>
            <w:rFonts w:ascii="Times New Roman" w:eastAsia="Times New Roman" w:hAnsi="Times New Roman" w:cs="Times New Roman"/>
            <w:lang w:eastAsia="pt-BR"/>
          </w:rPr>
          <w:t xml:space="preserve">Relator: UBIRATAN AGUIAR </w:t>
        </w:r>
      </w:hyperlink>
    </w:p>
    <w:p w14:paraId="303EAEC4" w14:textId="77777777" w:rsidR="00B307DB" w:rsidRPr="00E6193A" w:rsidRDefault="00B307DB" w:rsidP="00B307DB">
      <w:pPr>
        <w:shd w:val="clear" w:color="auto" w:fill="FFFFFF"/>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Sumário: REPRESENTAÇÃO. PEDIDO DE REEXAME. PREGÃO ELETRÔNICO. SERVIÇOS DE INFORMÁTICA. REVOGAÇÃO DE MEDIDA CAUTELAR. PROVIMENTO PARCIAL. 1. A aferição de preços nas aquisições e contratações de produtos e serviços de tecnologia da informação, no âmbito da Administração Pública federal, na fase de estimativa de preços, no momento de adjudicação do objeto </w:t>
      </w:r>
      <w:r w:rsidRPr="00E6193A">
        <w:rPr>
          <w:rFonts w:ascii="Times New Roman" w:eastAsia="Times New Roman" w:hAnsi="Times New Roman" w:cs="Times New Roman"/>
          <w:lang w:eastAsia="pt-BR"/>
        </w:rPr>
        <w:lastRenderedPageBreak/>
        <w:t xml:space="preserve">do certame licitatório, na contratação e alterações posteriores, </w:t>
      </w:r>
      <w:r w:rsidRPr="00E6193A">
        <w:rPr>
          <w:rFonts w:ascii="Times New Roman" w:eastAsia="Times New Roman" w:hAnsi="Times New Roman" w:cs="Times New Roman"/>
          <w:b/>
          <w:bCs/>
          <w:lang w:eastAsia="pt-BR"/>
        </w:rPr>
        <w:t>deve se basear em valores aceitáveis, que se encontrem dentro da faixa usualmente praticada pelo mercado em determinada época,</w:t>
      </w:r>
      <w:r w:rsidRPr="00E6193A">
        <w:rPr>
          <w:rFonts w:ascii="Times New Roman" w:eastAsia="Times New Roman" w:hAnsi="Times New Roman" w:cs="Times New Roman"/>
          <w:lang w:eastAsia="pt-BR"/>
        </w:rPr>
        <w:t xml:space="preserve"> obtida por meio de pesquisa a partir de fontes diversas, como orçamentos de fornecedores, </w:t>
      </w:r>
      <w:r w:rsidRPr="00E6193A">
        <w:rPr>
          <w:rFonts w:ascii="Times New Roman" w:eastAsia="Times New Roman" w:hAnsi="Times New Roman" w:cs="Times New Roman"/>
          <w:b/>
          <w:bCs/>
          <w:lang w:eastAsia="pt-BR"/>
        </w:rPr>
        <w:t>valores adjudicados em licitações de órgãos públicos</w:t>
      </w:r>
      <w:r w:rsidRPr="00E6193A">
        <w:rPr>
          <w:rFonts w:ascii="Times New Roman" w:eastAsia="Times New Roman" w:hAnsi="Times New Roman" w:cs="Times New Roman"/>
          <w:lang w:eastAsia="pt-BR"/>
        </w:rPr>
        <w:t xml:space="preserve"> - inclusos aqueles constantes no Comprasnet -, valores registrados em atas de Sistema de Registro de Preços, entre outras, </w:t>
      </w:r>
      <w:r w:rsidRPr="00E6193A">
        <w:rPr>
          <w:rFonts w:ascii="Times New Roman" w:eastAsia="Times New Roman" w:hAnsi="Times New Roman" w:cs="Times New Roman"/>
          <w:b/>
          <w:bCs/>
          <w:lang w:eastAsia="pt-BR"/>
        </w:rPr>
        <w:t>a exemplo de compras/contratações realizadas por corporações privadas em condições idênticas ou semelhantes àquelas da Administração Pública</w:t>
      </w:r>
      <w:r w:rsidRPr="00E6193A">
        <w:rPr>
          <w:rFonts w:ascii="Times New Roman" w:eastAsia="Times New Roman" w:hAnsi="Times New Roman" w:cs="Times New Roman"/>
          <w:lang w:eastAsia="pt-BR"/>
        </w:rPr>
        <w:t>. 2. Preço aceitável, a ser considerado na faixa de preços referida no item precedente, é aquele que não representa claro viés em relação ao contexto do mercado, ou seja, abaixo do limite inferior ou acima do maior valor constante da faixa identificada para o produto ou serviço. 3. A utilização de fontes que não sejam capazes de representar o mercado de tecnologia da informação para produtos com certa complexidade ou serviços fornecidos para o setor público - como sites na Internet, inclusive internacionais - pode servir apenas como mero indicativo de preço, sem que sirvam os valores encontrados, por si sós, para caracterização de sobrepreço ou superfaturamento. 4. Os critérios apontados nos itens precedentes devem balizar, também, a atuação dos órgãos de controle, ao ser imputado sobrepreço ou superfaturamento nas aquisições e contratações relacionadas à área de tecnologia da informação.</w:t>
      </w:r>
    </w:p>
    <w:p w14:paraId="6FC359FC" w14:textId="77777777" w:rsidR="00B307DB" w:rsidRPr="00E6193A" w:rsidRDefault="00B307DB" w:rsidP="00B307DB">
      <w:pPr>
        <w:shd w:val="clear" w:color="auto" w:fill="FFFFFF"/>
        <w:spacing w:after="0" w:line="240" w:lineRule="auto"/>
        <w:ind w:right="-568" w:firstLine="1134"/>
        <w:jc w:val="both"/>
        <w:rPr>
          <w:rFonts w:ascii="Times New Roman" w:eastAsia="Times New Roman" w:hAnsi="Times New Roman" w:cs="Times New Roman"/>
          <w:lang w:eastAsia="pt-BR"/>
        </w:rPr>
      </w:pPr>
    </w:p>
    <w:p w14:paraId="34600F02"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6.15 </w:t>
      </w:r>
      <w:r w:rsidRPr="00E6193A">
        <w:rPr>
          <w:rFonts w:ascii="Times New Roman" w:eastAsia="Times New Roman" w:hAnsi="Times New Roman" w:cs="Times New Roman"/>
          <w:lang w:eastAsia="pt-BR"/>
        </w:rPr>
        <w:t xml:space="preserve">O anexo I da portaria 804, reforça a orientação do Tribunal de Contas da União inclusive quanto a utilização como parâmetro os contratos anteriores firmados com o próprio órgão. </w:t>
      </w:r>
      <w:r w:rsidRPr="00E6193A">
        <w:rPr>
          <w:rFonts w:ascii="Times New Roman" w:eastAsia="Times New Roman" w:hAnsi="Times New Roman" w:cs="Times New Roman"/>
          <w:i/>
          <w:iCs/>
          <w:lang w:eastAsia="pt-BR"/>
        </w:rPr>
        <w:t xml:space="preserve">In Verbis: </w:t>
      </w:r>
    </w:p>
    <w:p w14:paraId="642CA04F"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p>
    <w:p w14:paraId="1F0ED5B6" w14:textId="77777777" w:rsidR="00B307DB" w:rsidRPr="00E6193A" w:rsidRDefault="00B307DB" w:rsidP="00B307DB">
      <w:pPr>
        <w:spacing w:after="0" w:line="240" w:lineRule="auto"/>
        <w:ind w:left="2835" w:right="-568"/>
        <w:jc w:val="both"/>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A  unidade  requisitante,  conforme  orientação  do  Tribunal  de  Contas  da  União,  deverá consultar o maior número de fontes possíveis, de modo a possibilitar que a pesquisa de preços reflita o real comportamento do mercado, </w:t>
      </w:r>
      <w:r w:rsidRPr="00E6193A">
        <w:rPr>
          <w:rFonts w:ascii="Times New Roman" w:eastAsia="Times New Roman" w:hAnsi="Times New Roman" w:cs="Times New Roman"/>
          <w:b/>
          <w:bCs/>
          <w:lang w:eastAsia="pt-BR"/>
        </w:rPr>
        <w:t>levando em conta diversas origens, como, por exemplo, contratos anteriores do próprio órgão e os firmados por outros órgãos públicos</w:t>
      </w:r>
      <w:r w:rsidRPr="00E6193A">
        <w:rPr>
          <w:rFonts w:ascii="Times New Roman" w:eastAsia="Times New Roman" w:hAnsi="Times New Roman" w:cs="Times New Roman"/>
          <w:lang w:eastAsia="pt-BR"/>
        </w:rPr>
        <w:t>, valores registrados no Sistema Integrado de Administração de Serviços Gerais - SIASG, nas atas de registro de preços da Administração Pública Federal e cotações com fornecedores (Acórdãos n° 2.318/2014 - Plenário e Acórdão 2.816/2014 - Plenário).</w:t>
      </w:r>
    </w:p>
    <w:p w14:paraId="172966E2" w14:textId="77777777" w:rsidR="00B307DB" w:rsidRPr="00E6193A" w:rsidRDefault="00B307DB" w:rsidP="00B307DB">
      <w:pPr>
        <w:spacing w:after="0" w:line="240" w:lineRule="auto"/>
        <w:ind w:right="-568" w:firstLine="1134"/>
        <w:jc w:val="both"/>
        <w:rPr>
          <w:rFonts w:ascii="Times New Roman" w:eastAsia="Times New Roman" w:hAnsi="Times New Roman" w:cs="Times New Roman"/>
          <w:lang w:eastAsia="pt-BR"/>
        </w:rPr>
      </w:pPr>
    </w:p>
    <w:p w14:paraId="2A5CB5AF"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6.16 </w:t>
      </w:r>
      <w:r w:rsidRPr="00E6193A">
        <w:rPr>
          <w:rFonts w:ascii="Times New Roman" w:eastAsia="Times New Roman" w:hAnsi="Times New Roman" w:cs="Times New Roman"/>
          <w:lang w:eastAsia="pt-BR"/>
        </w:rPr>
        <w:t xml:space="preserve">Ainda com base nas decisões destacadas, salientamos do respectivo posicionamento que além da definição quanto aos requisitos a serem priorizados, resulta clara a condição de utilização de orçamentos de fornecedores e consulta em sites especializados </w:t>
      </w:r>
      <w:r w:rsidRPr="00E6193A">
        <w:rPr>
          <w:rFonts w:ascii="Times New Roman" w:eastAsia="Times New Roman" w:hAnsi="Times New Roman" w:cs="Times New Roman"/>
          <w:u w:val="single"/>
          <w:lang w:eastAsia="pt-BR"/>
        </w:rPr>
        <w:t>apenas de forma subsidiária na consulta de preços</w:t>
      </w:r>
      <w:r w:rsidRPr="00E6193A">
        <w:rPr>
          <w:rFonts w:ascii="Times New Roman" w:eastAsia="Times New Roman" w:hAnsi="Times New Roman" w:cs="Times New Roman"/>
          <w:lang w:eastAsia="pt-BR"/>
        </w:rPr>
        <w:t>.</w:t>
      </w:r>
      <w:r w:rsidRPr="00E6193A">
        <w:rPr>
          <w:rFonts w:ascii="Times New Roman" w:eastAsia="Times New Roman" w:hAnsi="Times New Roman" w:cs="Times New Roman"/>
          <w:b/>
          <w:bCs/>
          <w:lang w:eastAsia="pt-BR"/>
        </w:rPr>
        <w:t xml:space="preserve"> </w:t>
      </w:r>
    </w:p>
    <w:p w14:paraId="41B2BC49"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6.17 </w:t>
      </w:r>
      <w:r w:rsidRPr="00E6193A">
        <w:rPr>
          <w:rFonts w:ascii="Times New Roman" w:eastAsia="Times New Roman" w:hAnsi="Times New Roman" w:cs="Times New Roman"/>
          <w:lang w:eastAsia="pt-BR"/>
        </w:rPr>
        <w:t xml:space="preserve">Assim, diante da realidade aqui apresentada, essa administração tomou como base contratações de Sistemas de Gestão formalizados por outras administrações, todos com similaridades na prestação dos serviços de gestão pública buscados por essa administração, inclusive orçamentos solicitados formalmente direto com fornecedores do ramo, inclusive com módulos de programas/entidades a menor. </w:t>
      </w:r>
    </w:p>
    <w:p w14:paraId="00EE21D4"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highlight w:val="white"/>
          <w:lang w:eastAsia="pt-BR"/>
        </w:rPr>
        <w:t>Tabela de resultado da pesquisa realizada (valor médio) e valor máximo aceito:</w:t>
      </w:r>
    </w:p>
    <w:p w14:paraId="4A94654E"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highlight w:val="white"/>
          <w:lang w:eastAsia="pt-BR"/>
        </w:rPr>
        <w:t>Tabela de resultado da pesquisa realizada (valor médio) e valor máximo aceito:</w:t>
      </w:r>
    </w:p>
    <w:tbl>
      <w:tblPr>
        <w:tblStyle w:val="Tabelacomgrade4"/>
        <w:tblW w:w="9187" w:type="dxa"/>
        <w:tblInd w:w="0" w:type="dxa"/>
        <w:tblLook w:val="04A0" w:firstRow="1" w:lastRow="0" w:firstColumn="1" w:lastColumn="0" w:noHBand="0" w:noVBand="1"/>
      </w:tblPr>
      <w:tblGrid>
        <w:gridCol w:w="4103"/>
        <w:gridCol w:w="687"/>
        <w:gridCol w:w="1277"/>
        <w:gridCol w:w="1581"/>
        <w:gridCol w:w="1539"/>
      </w:tblGrid>
      <w:tr w:rsidR="00B307DB" w:rsidRPr="00E6193A" w14:paraId="2543C80A" w14:textId="77777777" w:rsidTr="00B307DB">
        <w:trPr>
          <w:trHeight w:val="968"/>
        </w:trPr>
        <w:tc>
          <w:tcPr>
            <w:tcW w:w="4103" w:type="dxa"/>
            <w:vAlign w:val="center"/>
          </w:tcPr>
          <w:p w14:paraId="39FF5062" w14:textId="77777777" w:rsidR="00B307DB" w:rsidRPr="00E6193A" w:rsidRDefault="00B307DB" w:rsidP="00B307DB">
            <w:pPr>
              <w:tabs>
                <w:tab w:val="left" w:pos="2268"/>
              </w:tabs>
              <w:ind w:right="-4"/>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Objeto</w:t>
            </w:r>
          </w:p>
        </w:tc>
        <w:tc>
          <w:tcPr>
            <w:tcW w:w="687" w:type="dxa"/>
            <w:vAlign w:val="center"/>
          </w:tcPr>
          <w:p w14:paraId="12BB85E3" w14:textId="77777777" w:rsidR="00B307DB" w:rsidRPr="00E6193A" w:rsidRDefault="00B307DB" w:rsidP="00B307DB">
            <w:pPr>
              <w:tabs>
                <w:tab w:val="left" w:pos="2268"/>
              </w:tabs>
              <w:ind w:right="-171"/>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Qnt.</w:t>
            </w:r>
          </w:p>
        </w:tc>
        <w:tc>
          <w:tcPr>
            <w:tcW w:w="1277" w:type="dxa"/>
            <w:vAlign w:val="center"/>
          </w:tcPr>
          <w:p w14:paraId="3F0C177A" w14:textId="77777777" w:rsidR="00B307DB" w:rsidRPr="00E6193A" w:rsidRDefault="00B307DB" w:rsidP="00B307DB">
            <w:pPr>
              <w:tabs>
                <w:tab w:val="left" w:pos="2268"/>
              </w:tabs>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Unid.</w:t>
            </w:r>
          </w:p>
        </w:tc>
        <w:tc>
          <w:tcPr>
            <w:tcW w:w="1581" w:type="dxa"/>
            <w:vAlign w:val="center"/>
          </w:tcPr>
          <w:p w14:paraId="4DED7E22" w14:textId="77777777" w:rsidR="00B307DB" w:rsidRPr="00E6193A" w:rsidRDefault="00B307DB" w:rsidP="00B307DB">
            <w:pPr>
              <w:ind w:right="-11"/>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Preço de referência mensal máx.</w:t>
            </w:r>
          </w:p>
        </w:tc>
        <w:tc>
          <w:tcPr>
            <w:tcW w:w="1539" w:type="dxa"/>
            <w:vAlign w:val="center"/>
          </w:tcPr>
          <w:p w14:paraId="2B0CBDE3" w14:textId="77777777" w:rsidR="00B307DB" w:rsidRPr="00E6193A" w:rsidRDefault="00B307DB" w:rsidP="00B307DB">
            <w:pPr>
              <w:tabs>
                <w:tab w:val="left" w:pos="2268"/>
              </w:tabs>
              <w:jc w:val="center"/>
              <w:rPr>
                <w:rFonts w:ascii="Times New Roman" w:hAnsi="Times New Roman" w:cs="Times New Roman"/>
                <w:b/>
                <w:color w:val="000009"/>
                <w:spacing w:val="1"/>
                <w:sz w:val="22"/>
                <w:szCs w:val="22"/>
              </w:rPr>
            </w:pPr>
            <w:r w:rsidRPr="00E6193A">
              <w:rPr>
                <w:rFonts w:ascii="Times New Roman" w:hAnsi="Times New Roman" w:cs="Times New Roman"/>
                <w:b/>
                <w:color w:val="000009"/>
                <w:spacing w:val="1"/>
                <w:sz w:val="22"/>
                <w:szCs w:val="22"/>
              </w:rPr>
              <w:t>Preço máx. total</w:t>
            </w:r>
          </w:p>
          <w:p w14:paraId="22DD77A5" w14:textId="77777777" w:rsidR="00B307DB" w:rsidRPr="00E6193A" w:rsidRDefault="00B307DB" w:rsidP="00B307DB">
            <w:pPr>
              <w:tabs>
                <w:tab w:val="left" w:pos="2268"/>
              </w:tabs>
              <w:ind w:right="-568"/>
              <w:rPr>
                <w:rFonts w:ascii="Times New Roman" w:hAnsi="Times New Roman" w:cs="Times New Roman"/>
                <w:b/>
                <w:color w:val="000009"/>
                <w:spacing w:val="1"/>
                <w:sz w:val="22"/>
                <w:szCs w:val="22"/>
              </w:rPr>
            </w:pPr>
            <w:r>
              <w:rPr>
                <w:rFonts w:ascii="Times New Roman" w:hAnsi="Times New Roman" w:cs="Times New Roman"/>
                <w:b/>
                <w:color w:val="000009"/>
                <w:spacing w:val="1"/>
                <w:sz w:val="22"/>
                <w:szCs w:val="22"/>
              </w:rPr>
              <w:t xml:space="preserve">       </w:t>
            </w:r>
            <w:r w:rsidRPr="00E6193A">
              <w:rPr>
                <w:rFonts w:ascii="Times New Roman" w:hAnsi="Times New Roman" w:cs="Times New Roman"/>
                <w:b/>
                <w:color w:val="000009"/>
                <w:spacing w:val="1"/>
                <w:sz w:val="22"/>
                <w:szCs w:val="22"/>
              </w:rPr>
              <w:t>12 meses</w:t>
            </w:r>
          </w:p>
        </w:tc>
      </w:tr>
      <w:tr w:rsidR="00B307DB" w:rsidRPr="00E6193A" w14:paraId="70112BE0" w14:textId="77777777" w:rsidTr="00B307DB">
        <w:trPr>
          <w:trHeight w:val="2151"/>
        </w:trPr>
        <w:tc>
          <w:tcPr>
            <w:tcW w:w="4103" w:type="dxa"/>
            <w:vAlign w:val="center"/>
          </w:tcPr>
          <w:p w14:paraId="345DEBF8" w14:textId="77777777" w:rsidR="00B307DB" w:rsidRPr="00E6193A" w:rsidRDefault="00B307DB" w:rsidP="00B307DB">
            <w:pPr>
              <w:widowControl w:val="0"/>
              <w:ind w:left="56" w:right="138"/>
              <w:jc w:val="both"/>
              <w:rPr>
                <w:rFonts w:ascii="Times New Roman" w:hAnsi="Times New Roman" w:cs="Times New Roman"/>
                <w:color w:val="000000" w:themeColor="text1"/>
                <w:sz w:val="22"/>
                <w:szCs w:val="22"/>
                <w:lang w:eastAsia="pt-PT"/>
              </w:rPr>
            </w:pPr>
            <w:r w:rsidRPr="00E6193A">
              <w:rPr>
                <w:rFonts w:ascii="Times New Roman" w:hAnsi="Times New Roman" w:cs="Times New Roman"/>
                <w:color w:val="000000" w:themeColor="text1"/>
                <w:sz w:val="22"/>
                <w:szCs w:val="22"/>
                <w:lang w:eastAsia="pt-PT"/>
              </w:rPr>
              <w:lastRenderedPageBreak/>
              <w:t>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atendimento das necessidades da administração municipal. (Módulos estão descritos no Item 5, deste ETP)</w:t>
            </w:r>
          </w:p>
        </w:tc>
        <w:tc>
          <w:tcPr>
            <w:tcW w:w="687" w:type="dxa"/>
            <w:vAlign w:val="center"/>
          </w:tcPr>
          <w:p w14:paraId="123255C0" w14:textId="77777777" w:rsidR="00B307DB" w:rsidRPr="00E6193A" w:rsidRDefault="00B307DB" w:rsidP="00B307DB">
            <w:pPr>
              <w:tabs>
                <w:tab w:val="left" w:pos="2268"/>
              </w:tabs>
              <w:ind w:right="-171"/>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12</w:t>
            </w:r>
          </w:p>
        </w:tc>
        <w:tc>
          <w:tcPr>
            <w:tcW w:w="1277" w:type="dxa"/>
            <w:vAlign w:val="center"/>
          </w:tcPr>
          <w:p w14:paraId="30105342" w14:textId="77777777" w:rsidR="00B307DB" w:rsidRPr="00E6193A" w:rsidRDefault="00B307DB" w:rsidP="00B307DB">
            <w:pPr>
              <w:tabs>
                <w:tab w:val="left" w:pos="2268"/>
              </w:tabs>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Mês</w:t>
            </w:r>
          </w:p>
        </w:tc>
        <w:tc>
          <w:tcPr>
            <w:tcW w:w="1581" w:type="dxa"/>
            <w:vAlign w:val="center"/>
          </w:tcPr>
          <w:p w14:paraId="7D56E0C4" w14:textId="77777777" w:rsidR="00B307DB" w:rsidRPr="00E6193A" w:rsidRDefault="00B307DB" w:rsidP="00B307DB">
            <w:pPr>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R$ 39.042,89</w:t>
            </w:r>
          </w:p>
        </w:tc>
        <w:tc>
          <w:tcPr>
            <w:tcW w:w="1539" w:type="dxa"/>
            <w:vAlign w:val="center"/>
          </w:tcPr>
          <w:p w14:paraId="08F9BE96" w14:textId="77777777" w:rsidR="00B307DB" w:rsidRPr="00E6193A" w:rsidRDefault="00B307DB" w:rsidP="00B307DB">
            <w:pPr>
              <w:ind w:right="120"/>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R$ 468.514,68</w:t>
            </w:r>
          </w:p>
        </w:tc>
      </w:tr>
      <w:tr w:rsidR="00B307DB" w:rsidRPr="00E6193A" w14:paraId="58133985" w14:textId="77777777" w:rsidTr="00B307DB">
        <w:trPr>
          <w:trHeight w:val="1556"/>
        </w:trPr>
        <w:tc>
          <w:tcPr>
            <w:tcW w:w="4103" w:type="dxa"/>
            <w:vAlign w:val="center"/>
          </w:tcPr>
          <w:p w14:paraId="5DCD10BB" w14:textId="77777777" w:rsidR="00B307DB" w:rsidRPr="00E6193A" w:rsidRDefault="00B307DB" w:rsidP="00B307DB">
            <w:pPr>
              <w:widowControl w:val="0"/>
              <w:tabs>
                <w:tab w:val="left" w:pos="739"/>
              </w:tabs>
              <w:ind w:left="56" w:right="138"/>
              <w:jc w:val="both"/>
              <w:rPr>
                <w:rFonts w:ascii="Times New Roman" w:hAnsi="Times New Roman" w:cs="Times New Roman"/>
                <w:color w:val="000000" w:themeColor="text1"/>
                <w:sz w:val="22"/>
                <w:szCs w:val="22"/>
                <w:lang w:val="pt-PT" w:eastAsia="pt-PT"/>
              </w:rPr>
            </w:pPr>
            <w:r w:rsidRPr="00E6193A">
              <w:rPr>
                <w:rFonts w:ascii="Times New Roman" w:hAnsi="Times New Roman" w:cs="Times New Roman"/>
                <w:color w:val="000000"/>
                <w:sz w:val="22"/>
                <w:szCs w:val="22"/>
                <w:lang w:val="pt-PT" w:eastAsia="pt-PT"/>
              </w:rPr>
              <w:t>Serviços de diagnóstico, migração de dados, configuração, habilitação e treinamento de usuários: MUNICÍPIO RIQUEZA, FUNDOS MUNICIPAIS CÂMERA DE VEREADORES SECRETARIA DE EDUCAÇÃO SECRETARIA DE SAÚDE E ASSISTÊNCIA SOCIAL</w:t>
            </w:r>
          </w:p>
        </w:tc>
        <w:tc>
          <w:tcPr>
            <w:tcW w:w="687" w:type="dxa"/>
            <w:vAlign w:val="center"/>
          </w:tcPr>
          <w:p w14:paraId="1F07C68E" w14:textId="77777777" w:rsidR="00B307DB" w:rsidRPr="00E6193A" w:rsidRDefault="00B307DB" w:rsidP="00B307DB">
            <w:pPr>
              <w:tabs>
                <w:tab w:val="left" w:pos="2268"/>
              </w:tabs>
              <w:ind w:right="-171"/>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1</w:t>
            </w:r>
          </w:p>
        </w:tc>
        <w:tc>
          <w:tcPr>
            <w:tcW w:w="1277" w:type="dxa"/>
            <w:vAlign w:val="center"/>
          </w:tcPr>
          <w:p w14:paraId="0858E94A" w14:textId="77777777" w:rsidR="00B307DB" w:rsidRPr="00E6193A" w:rsidRDefault="00B307DB" w:rsidP="00B307DB">
            <w:pPr>
              <w:tabs>
                <w:tab w:val="left" w:pos="2268"/>
              </w:tabs>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Único</w:t>
            </w:r>
          </w:p>
        </w:tc>
        <w:tc>
          <w:tcPr>
            <w:tcW w:w="1581" w:type="dxa"/>
            <w:vAlign w:val="center"/>
          </w:tcPr>
          <w:p w14:paraId="55FA7C18" w14:textId="77777777" w:rsidR="00B307DB" w:rsidRPr="00E6193A" w:rsidRDefault="00B307DB" w:rsidP="00B307DB">
            <w:pPr>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R$ 63.584,42</w:t>
            </w:r>
          </w:p>
        </w:tc>
        <w:tc>
          <w:tcPr>
            <w:tcW w:w="1539" w:type="dxa"/>
            <w:vAlign w:val="center"/>
          </w:tcPr>
          <w:p w14:paraId="0577981D" w14:textId="77777777" w:rsidR="00B307DB" w:rsidRPr="00E6193A" w:rsidRDefault="00B307DB" w:rsidP="00B307DB">
            <w:pPr>
              <w:ind w:right="120"/>
              <w:jc w:val="center"/>
              <w:rPr>
                <w:rFonts w:ascii="Times New Roman" w:hAnsi="Times New Roman" w:cs="Times New Roman"/>
                <w:color w:val="000009"/>
                <w:spacing w:val="1"/>
                <w:sz w:val="22"/>
                <w:szCs w:val="22"/>
              </w:rPr>
            </w:pPr>
            <w:r w:rsidRPr="00E6193A">
              <w:rPr>
                <w:rFonts w:ascii="Times New Roman" w:hAnsi="Times New Roman" w:cs="Times New Roman"/>
                <w:color w:val="000009"/>
                <w:spacing w:val="1"/>
                <w:sz w:val="22"/>
                <w:szCs w:val="22"/>
              </w:rPr>
              <w:t>R$ 63.584,42</w:t>
            </w:r>
          </w:p>
        </w:tc>
      </w:tr>
    </w:tbl>
    <w:p w14:paraId="74928ADD"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rPr>
        <w:t>Os valores unitários referencias encontra-se disponíveis na tabela de pesquisa de preço.</w:t>
      </w:r>
    </w:p>
    <w:p w14:paraId="34E6418A" w14:textId="77777777" w:rsidR="00B307DB" w:rsidRPr="00E6193A" w:rsidRDefault="00B307DB" w:rsidP="00B307DB">
      <w:pPr>
        <w:spacing w:after="0" w:line="240" w:lineRule="auto"/>
        <w:ind w:right="-568"/>
        <w:jc w:val="both"/>
        <w:rPr>
          <w:rFonts w:ascii="Times New Roman" w:eastAsia="Times New Roman" w:hAnsi="Times New Roman" w:cs="Times New Roman"/>
        </w:rPr>
      </w:pPr>
    </w:p>
    <w:p w14:paraId="006D0B5A"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7 Justificativa para o parcelamento ou não da contratação.</w:t>
      </w:r>
    </w:p>
    <w:p w14:paraId="7259225B" w14:textId="77777777" w:rsidR="00B307DB" w:rsidRPr="00E6193A" w:rsidRDefault="00B307DB" w:rsidP="00B307DB">
      <w:pPr>
        <w:keepNext/>
        <w:tabs>
          <w:tab w:val="left" w:pos="1134"/>
        </w:tabs>
        <w:spacing w:after="0" w:line="240" w:lineRule="auto"/>
        <w:ind w:right="-568"/>
        <w:jc w:val="both"/>
        <w:outlineLvl w:val="2"/>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7.1 </w:t>
      </w:r>
      <w:r w:rsidRPr="00E6193A">
        <w:rPr>
          <w:rFonts w:ascii="Times New Roman" w:eastAsia="Times New Roman" w:hAnsi="Times New Roman" w:cs="Times New Roman"/>
          <w:lang w:eastAsia="pt-BR"/>
        </w:rPr>
        <w:t>Tratam-se</w:t>
      </w:r>
      <w:r w:rsidRPr="00E6193A">
        <w:rPr>
          <w:rFonts w:ascii="Times New Roman" w:eastAsia="Times New Roman" w:hAnsi="Times New Roman" w:cs="Times New Roman"/>
          <w:spacing w:val="7"/>
          <w:lang w:eastAsia="pt-BR"/>
        </w:rPr>
        <w:t xml:space="preserve"> </w:t>
      </w:r>
      <w:r w:rsidRPr="00E6193A">
        <w:rPr>
          <w:rFonts w:ascii="Times New Roman" w:eastAsia="Times New Roman" w:hAnsi="Times New Roman" w:cs="Times New Roman"/>
          <w:spacing w:val="-5"/>
          <w:lang w:eastAsia="pt-BR"/>
        </w:rPr>
        <w:t xml:space="preserve">de </w:t>
      </w:r>
      <w:r w:rsidRPr="00E6193A">
        <w:rPr>
          <w:rFonts w:ascii="Times New Roman" w:eastAsia="Times New Roman" w:hAnsi="Times New Roman" w:cs="Times New Roman"/>
          <w:lang w:eastAsia="pt-BR"/>
        </w:rPr>
        <w:t xml:space="preserve">serviços que recomendam-se a sua aglutinação por se tratarem de serviços relacionados a sistema estruturante, integrado. O julgamento por menor preço global, ou preço total do LOTE em nada restringe a participação, e não justificaria o parcelamento dos itens, uma vez que não será eficaz para Administração Pública a celebração de diversos contratos, o que poderia prejudicar execução simultânea dos serviços e a gestão e fiscalização de inúmeros profissionais técnicos das licitantes envolvidas na execução dos serviços e heterogeneidade de modelos de negócio, linguagem de programação, diferentes tecnologias envolvidas e códigos envolvendo relações de propriedade intelectual. </w:t>
      </w:r>
    </w:p>
    <w:p w14:paraId="6087F2C5" w14:textId="77777777" w:rsidR="00B307DB" w:rsidRPr="00E6193A" w:rsidRDefault="00B307DB" w:rsidP="00B307DB">
      <w:pPr>
        <w:keepNext/>
        <w:tabs>
          <w:tab w:val="left" w:pos="2268"/>
        </w:tabs>
        <w:spacing w:after="0" w:line="240" w:lineRule="auto"/>
        <w:ind w:right="-568"/>
        <w:jc w:val="both"/>
        <w:outlineLvl w:val="2"/>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7.2 </w:t>
      </w:r>
      <w:r w:rsidRPr="00E6193A">
        <w:rPr>
          <w:rFonts w:ascii="Times New Roman" w:eastAsia="Times New Roman" w:hAnsi="Times New Roman" w:cs="Times New Roman"/>
          <w:lang w:eastAsia="pt-BR"/>
        </w:rPr>
        <w:t>O parcelamento dos itens no presente caso ao invés</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de proporcionar a Administração economicidade poderá causar prejuízos e interrupções temporárias</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da disponibilização de um ou mais serviços em razão de complicações</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que geralmente surgem principalmente no que se refere aos serviços de suporte técnico, o não cumprimento de forma simultânea e organizada, e ainda descumprimento de obrigações de uma outra contratada iria ocasionar a interrupção e atrasos na execução dos serviços objeto desta licitação, podendo provocar graves riscos e prejuízos à Administração.</w:t>
      </w:r>
    </w:p>
    <w:p w14:paraId="5A7962BB" w14:textId="77777777" w:rsidR="00B307DB" w:rsidRPr="00E6193A" w:rsidRDefault="00B307DB" w:rsidP="00B307DB">
      <w:pPr>
        <w:tabs>
          <w:tab w:val="left" w:pos="2268"/>
        </w:tabs>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7.3 </w:t>
      </w:r>
      <w:r w:rsidRPr="00E6193A">
        <w:rPr>
          <w:rFonts w:ascii="Times New Roman" w:eastAsia="Times New Roman" w:hAnsi="Times New Roman" w:cs="Times New Roman"/>
          <w:lang w:eastAsia="pt-BR"/>
        </w:rPr>
        <w:t>Tal</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exigência</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não</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se</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mostra</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desarrazoada</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a</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ponto</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de</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comprometer</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o</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caráter</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competitivo</w:t>
      </w:r>
      <w:r w:rsidRPr="00E6193A">
        <w:rPr>
          <w:rFonts w:ascii="Times New Roman" w:eastAsia="Times New Roman" w:hAnsi="Times New Roman" w:cs="Times New Roman"/>
          <w:spacing w:val="40"/>
          <w:lang w:eastAsia="pt-BR"/>
        </w:rPr>
        <w:t xml:space="preserve"> </w:t>
      </w:r>
      <w:r w:rsidRPr="00E6193A">
        <w:rPr>
          <w:rFonts w:ascii="Times New Roman" w:eastAsia="Times New Roman" w:hAnsi="Times New Roman" w:cs="Times New Roman"/>
          <w:lang w:eastAsia="pt-BR"/>
        </w:rPr>
        <w:t>do certame, devendo tão-somente constituir garantia mínima suficiente de que o futuro contratado detém capacidade de cumprir com as obrigações contratuais</w:t>
      </w:r>
      <w:r w:rsidRPr="00E6193A">
        <w:rPr>
          <w:rFonts w:ascii="Times New Roman" w:eastAsia="Times New Roman" w:hAnsi="Times New Roman" w:cs="Times New Roman"/>
          <w:b/>
          <w:lang w:eastAsia="pt-BR"/>
        </w:rPr>
        <w:t xml:space="preserve">. </w:t>
      </w:r>
      <w:r w:rsidRPr="00E6193A">
        <w:rPr>
          <w:rFonts w:ascii="Times New Roman" w:eastAsia="Times New Roman" w:hAnsi="Times New Roman" w:cs="Times New Roman"/>
          <w:lang w:eastAsia="pt-BR"/>
        </w:rPr>
        <w:t>A prudência e cautela são sempre recomendáveis em licitações cujo objeto se trata de serviços técnicos especializados, para que não incidam sobre ele acusações de má administração de recursos públicos e a Administração Pública venha a promover a seleção de empresas verdadeiramente aptas a cumprir o objeto contratual com a qualidade que se espera.</w:t>
      </w:r>
    </w:p>
    <w:p w14:paraId="7DCD80BD"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7.4 </w:t>
      </w:r>
      <w:r w:rsidRPr="00E6193A">
        <w:rPr>
          <w:rFonts w:ascii="Times New Roman" w:eastAsia="Times New Roman" w:hAnsi="Times New Roman" w:cs="Times New Roman"/>
          <w:lang w:eastAsia="pt-BR"/>
        </w:rPr>
        <w:t xml:space="preserve">Aliás, quanto a possível questionamento de aglutinação de objeto, o Tribunal de Contas da União </w:t>
      </w:r>
      <w:r w:rsidRPr="00E6193A">
        <w:rPr>
          <w:rFonts w:ascii="Times New Roman" w:eastAsia="Times New Roman" w:hAnsi="Times New Roman" w:cs="Times New Roman"/>
          <w:bCs/>
          <w:lang w:eastAsia="pt-BR"/>
        </w:rPr>
        <w:t xml:space="preserve">entende que o mandamento da Súmula 247 </w:t>
      </w:r>
      <w:r w:rsidRPr="00E6193A">
        <w:rPr>
          <w:rFonts w:ascii="Times New Roman" w:eastAsia="Times New Roman" w:hAnsi="Times New Roman" w:cs="Times New Roman"/>
          <w:lang w:eastAsia="pt-BR"/>
        </w:rPr>
        <w:t xml:space="preserve">deve ser interpretado de forma que os itens de uma licitação, destinados a um fim ou objeto único podem ser agrupados, </w:t>
      </w:r>
      <w:r w:rsidRPr="00E6193A">
        <w:rPr>
          <w:rFonts w:ascii="Times New Roman" w:eastAsia="Times New Roman" w:hAnsi="Times New Roman" w:cs="Times New Roman"/>
          <w:bCs/>
          <w:lang w:eastAsia="pt-BR"/>
        </w:rPr>
        <w:t xml:space="preserve">não podendo se restringir a literalidade do mandamento:  </w:t>
      </w:r>
    </w:p>
    <w:p w14:paraId="4FD0C693" w14:textId="77777777" w:rsidR="00B307DB" w:rsidRPr="00E6193A" w:rsidRDefault="00B307DB" w:rsidP="00B307DB">
      <w:pPr>
        <w:spacing w:after="0" w:line="240" w:lineRule="auto"/>
        <w:ind w:left="2268" w:right="-568"/>
        <w:jc w:val="both"/>
        <w:rPr>
          <w:rFonts w:ascii="Times New Roman" w:eastAsia="Times New Roman" w:hAnsi="Times New Roman" w:cs="Times New Roman"/>
          <w:iCs/>
          <w:lang w:eastAsia="pt-BR"/>
        </w:rPr>
      </w:pPr>
    </w:p>
    <w:p w14:paraId="175ECF3F" w14:textId="77777777" w:rsidR="00B307DB" w:rsidRPr="00E6193A" w:rsidRDefault="00B307DB" w:rsidP="00B307DB">
      <w:pPr>
        <w:spacing w:after="0" w:line="240" w:lineRule="auto"/>
        <w:ind w:left="2268" w:right="-568"/>
        <w:jc w:val="both"/>
        <w:rPr>
          <w:rFonts w:ascii="Times New Roman" w:eastAsia="Times New Roman" w:hAnsi="Times New Roman" w:cs="Times New Roman"/>
          <w:iCs/>
          <w:lang w:eastAsia="pt-BR"/>
        </w:rPr>
      </w:pPr>
      <w:r w:rsidRPr="00E6193A">
        <w:rPr>
          <w:rFonts w:ascii="Times New Roman" w:eastAsia="Times New Roman" w:hAnsi="Times New Roman" w:cs="Times New Roman"/>
          <w:iCs/>
          <w:lang w:eastAsia="pt-BR"/>
        </w:rPr>
        <w:t>“</w:t>
      </w:r>
      <w:r w:rsidRPr="00E6193A">
        <w:rPr>
          <w:rFonts w:ascii="Times New Roman" w:eastAsia="Times New Roman" w:hAnsi="Times New Roman" w:cs="Times New Roman"/>
          <w:b/>
          <w:iCs/>
          <w:u w:val="single"/>
          <w:lang w:eastAsia="pt-BR"/>
        </w:rPr>
        <w:t>a interpretação da Súmula/TCU 247 não pode se restringir à sua literalidade, quando ela se refere a itens. A partir de uma interpretação sistêmica, há de se entender itens, lotes e grupos</w:t>
      </w:r>
      <w:r w:rsidRPr="00E6193A">
        <w:rPr>
          <w:rFonts w:ascii="Times New Roman" w:eastAsia="Times New Roman" w:hAnsi="Times New Roman" w:cs="Times New Roman"/>
          <w:iCs/>
          <w:lang w:eastAsia="pt-BR"/>
        </w:rPr>
        <w:t>”</w:t>
      </w:r>
      <w:r w:rsidRPr="00E6193A">
        <w:rPr>
          <w:rFonts w:ascii="Times New Roman" w:eastAsia="Times New Roman" w:hAnsi="Times New Roman" w:cs="Times New Roman"/>
          <w:lang w:eastAsia="pt-BR"/>
        </w:rPr>
        <w:t xml:space="preserve"> (</w:t>
      </w:r>
      <w:hyperlink r:id="rId263" w:tgtFrame="https://contas.tcu.gov.br/juris/SvlHighLight?key=ACORDAO-LEGADO-122314&amp;texto=2532382532382532382b2532384e554d41434f5244414f253341353133342b4f522b4e554d52454c4143414f253341353133342532392532392532392b414e442b2532382b2532384e554d414e4f41434f5244414f25334132">
        <w:r w:rsidRPr="00E6193A">
          <w:rPr>
            <w:rFonts w:ascii="Times New Roman" w:eastAsia="Times New Roman" w:hAnsi="Times New Roman" w:cs="Times New Roman"/>
            <w:color w:val="0000FF"/>
            <w:u w:val="single"/>
            <w:lang w:eastAsia="pt-BR"/>
          </w:rPr>
          <w:t>Acórdão 5134/2014-Segunda Câmara</w:t>
        </w:r>
      </w:hyperlink>
      <w:r w:rsidRPr="00E6193A">
        <w:rPr>
          <w:rFonts w:ascii="Times New Roman" w:eastAsia="Times New Roman" w:hAnsi="Times New Roman" w:cs="Times New Roman"/>
          <w:lang w:eastAsia="pt-BR"/>
        </w:rPr>
        <w:t>, TC 015.249/2014-0, relator Ministro José Jorge, 23.9.2014)</w:t>
      </w:r>
      <w:r w:rsidRPr="00E6193A">
        <w:rPr>
          <w:rFonts w:ascii="Times New Roman" w:eastAsia="Times New Roman" w:hAnsi="Times New Roman" w:cs="Times New Roman"/>
          <w:iCs/>
          <w:lang w:eastAsia="pt-BR"/>
        </w:rPr>
        <w:t>. Grifei.</w:t>
      </w:r>
    </w:p>
    <w:p w14:paraId="2B414F32" w14:textId="77777777" w:rsidR="00B307DB" w:rsidRPr="00E6193A" w:rsidRDefault="00B307DB" w:rsidP="00B307DB">
      <w:pPr>
        <w:spacing w:after="0" w:line="240" w:lineRule="auto"/>
        <w:ind w:left="2268" w:right="-568"/>
        <w:jc w:val="both"/>
        <w:rPr>
          <w:rFonts w:ascii="Times New Roman" w:eastAsia="Times New Roman" w:hAnsi="Times New Roman" w:cs="Times New Roman"/>
          <w:lang w:eastAsia="pt-BR"/>
        </w:rPr>
      </w:pPr>
    </w:p>
    <w:p w14:paraId="03880A8F"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7.5 </w:t>
      </w:r>
      <w:r w:rsidRPr="00E6193A">
        <w:rPr>
          <w:rFonts w:ascii="Times New Roman" w:eastAsia="Times New Roman" w:hAnsi="Times New Roman" w:cs="Times New Roman"/>
          <w:lang w:eastAsia="pt-BR"/>
        </w:rPr>
        <w:t>Na mesma linha já se manifestou o TCE/MG:</w:t>
      </w:r>
    </w:p>
    <w:p w14:paraId="1509B7D0"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p>
    <w:p w14:paraId="30DD7251" w14:textId="77777777" w:rsidR="00B307DB" w:rsidRPr="00E6193A" w:rsidRDefault="00B307DB" w:rsidP="00B307DB">
      <w:pPr>
        <w:spacing w:after="0" w:line="240" w:lineRule="auto"/>
        <w:ind w:left="2268" w:right="-568"/>
        <w:jc w:val="both"/>
        <w:rPr>
          <w:rFonts w:ascii="Times New Roman" w:eastAsia="Times New Roman" w:hAnsi="Times New Roman" w:cs="Times New Roman"/>
          <w:color w:val="0000FF"/>
          <w:u w:val="single"/>
          <w:lang w:eastAsia="pt-BR"/>
        </w:rPr>
      </w:pPr>
      <w:r w:rsidRPr="00E6193A">
        <w:rPr>
          <w:rFonts w:ascii="Times New Roman" w:eastAsia="Times New Roman" w:hAnsi="Times New Roman" w:cs="Times New Roman"/>
          <w:lang w:eastAsia="pt-BR"/>
        </w:rPr>
        <w:t xml:space="preserve">DENÚNCIA. IMPROCEDÊNCIA. RECOMENDAÇÃO. ARQUIVAMENTO. A ADJUDICAÇÃO POR GRUPO DE ITENS OU </w:t>
      </w:r>
      <w:r w:rsidRPr="00E6193A">
        <w:rPr>
          <w:rFonts w:ascii="Times New Roman" w:eastAsia="Times New Roman" w:hAnsi="Times New Roman" w:cs="Times New Roman"/>
          <w:lang w:eastAsia="pt-BR"/>
        </w:rPr>
        <w:lastRenderedPageBreak/>
        <w:t xml:space="preserve">LOTE, IN CASU, FOI OPORTUNA PARA MELHOR ATENDER AO INTERESSE PÚBLICO, ANTE A CONSTATAÇÃO DE QUE </w:t>
      </w:r>
      <w:r w:rsidRPr="00E6193A">
        <w:rPr>
          <w:rFonts w:ascii="Times New Roman" w:eastAsia="Times New Roman" w:hAnsi="Times New Roman" w:cs="Times New Roman"/>
          <w:b/>
          <w:u w:val="single"/>
          <w:lang w:eastAsia="pt-BR"/>
        </w:rPr>
        <w:t xml:space="preserve">OS ITENS COMPÕEM UM CONJUNTO PADRONIZADO, GUARDANDO CORRELAÇÃO ENTRE SI, NÃO HAVENDO QUE SE FALAR EM AFRONTA À </w:t>
      </w:r>
      <w:r w:rsidRPr="00E6193A">
        <w:rPr>
          <w:rFonts w:ascii="Times New Roman" w:eastAsia="Times New Roman" w:hAnsi="Times New Roman" w:cs="Times New Roman"/>
          <w:b/>
          <w:bCs/>
          <w:u w:val="single"/>
          <w:lang w:eastAsia="pt-BR"/>
        </w:rPr>
        <w:t>SÚMULA</w:t>
      </w:r>
      <w:r w:rsidRPr="00E6193A">
        <w:rPr>
          <w:rFonts w:ascii="Times New Roman" w:eastAsia="Times New Roman" w:hAnsi="Times New Roman" w:cs="Times New Roman"/>
          <w:b/>
          <w:u w:val="single"/>
          <w:lang w:eastAsia="pt-BR"/>
        </w:rPr>
        <w:t xml:space="preserve"> </w:t>
      </w:r>
      <w:r w:rsidRPr="00E6193A">
        <w:rPr>
          <w:rFonts w:ascii="Times New Roman" w:eastAsia="Times New Roman" w:hAnsi="Times New Roman" w:cs="Times New Roman"/>
          <w:b/>
          <w:bCs/>
          <w:u w:val="single"/>
          <w:lang w:eastAsia="pt-BR"/>
        </w:rPr>
        <w:t>247</w:t>
      </w:r>
      <w:r w:rsidRPr="00E6193A">
        <w:rPr>
          <w:rFonts w:ascii="Times New Roman" w:eastAsia="Times New Roman" w:hAnsi="Times New Roman" w:cs="Times New Roman"/>
          <w:b/>
          <w:u w:val="single"/>
          <w:lang w:eastAsia="pt-BR"/>
        </w:rPr>
        <w:t xml:space="preserve"> DO </w:t>
      </w:r>
      <w:r w:rsidRPr="00E6193A">
        <w:rPr>
          <w:rFonts w:ascii="Times New Roman" w:eastAsia="Times New Roman" w:hAnsi="Times New Roman" w:cs="Times New Roman"/>
          <w:b/>
          <w:bCs/>
          <w:u w:val="single"/>
          <w:lang w:eastAsia="pt-BR"/>
        </w:rPr>
        <w:t>TCU</w:t>
      </w:r>
      <w:r w:rsidRPr="00E6193A">
        <w:rPr>
          <w:rFonts w:ascii="Times New Roman" w:eastAsia="Times New Roman" w:hAnsi="Times New Roman" w:cs="Times New Roman"/>
          <w:lang w:eastAsia="pt-BR"/>
        </w:rPr>
        <w:t>, SENDO IMPRESCINDÍVEL, TODAVIA, JUSTIFICAR-SE A ADOÇÃO DO CRITÉRIO DE JULGAMENTO ADOTADO, EIS QUE A REGRA, NOS TERMOS DA LEGISLAÇÃO VIGENTE, É A DA ADJUDICAÇÃO POR ITEM. (</w:t>
      </w:r>
      <w:hyperlink r:id="rId264" w:tgtFrame="https://tce-mg.jusbrasil.com.br/jurisprudencia/490797065/denuncia-den-932490">
        <w:r w:rsidRPr="00E6193A">
          <w:rPr>
            <w:rFonts w:ascii="Times New Roman" w:eastAsia="Times New Roman" w:hAnsi="Times New Roman" w:cs="Times New Roman"/>
            <w:color w:val="0000FF"/>
            <w:u w:val="single"/>
            <w:lang w:eastAsia="pt-BR"/>
          </w:rPr>
          <w:t xml:space="preserve">TCE-MG - DENÚNCIA DEN 932490). Grifei. </w:t>
        </w:r>
      </w:hyperlink>
    </w:p>
    <w:p w14:paraId="3A775967" w14:textId="77777777" w:rsidR="00B307DB" w:rsidRPr="00E6193A" w:rsidRDefault="00B307DB" w:rsidP="00B307DB">
      <w:pPr>
        <w:spacing w:after="0" w:line="240" w:lineRule="auto"/>
        <w:ind w:left="2268" w:right="-568"/>
        <w:jc w:val="both"/>
        <w:rPr>
          <w:rFonts w:ascii="Times New Roman" w:eastAsia="Times New Roman" w:hAnsi="Times New Roman" w:cs="Times New Roman"/>
          <w:lang w:eastAsia="pt-BR"/>
        </w:rPr>
      </w:pPr>
    </w:p>
    <w:p w14:paraId="0FADA54E" w14:textId="77777777" w:rsidR="00B307DB" w:rsidRPr="00E6193A" w:rsidRDefault="00B307DB" w:rsidP="00B307DB">
      <w:pPr>
        <w:widowControl w:val="0"/>
        <w:tabs>
          <w:tab w:val="left" w:pos="555"/>
          <w:tab w:val="left" w:pos="840"/>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7.6 </w:t>
      </w:r>
      <w:r w:rsidRPr="00E6193A">
        <w:rPr>
          <w:rFonts w:ascii="Times New Roman" w:eastAsia="SimSun" w:hAnsi="Times New Roman" w:cs="Times New Roman"/>
          <w:color w:val="000000"/>
          <w:lang w:eastAsia="zh-CN" w:bidi="hi-IN"/>
        </w:rPr>
        <w:t>É condição do alcance dos objetivos e atendimento das necessidades da Administração, a contratação de único fornecedor, de modo a resguardar o interesse desta administração em manter um único ambiente de tecnologia, possibilitando a integração e um melhor gerenciamento trazendo redução de custos com novos investimentos tecnológicos. Proporcionando a esta administração a redução de custos no fornecimento em escala, sem a necessidade de realização de diversos treinamentos de plataformas com funcionalidades diferentes.</w:t>
      </w:r>
    </w:p>
    <w:p w14:paraId="13AB4F7F" w14:textId="77777777" w:rsidR="00B307DB" w:rsidRPr="00E6193A" w:rsidRDefault="00B307DB" w:rsidP="00B307DB">
      <w:pPr>
        <w:spacing w:after="0" w:line="240" w:lineRule="auto"/>
        <w:ind w:right="-568"/>
        <w:jc w:val="both"/>
        <w:rPr>
          <w:rFonts w:ascii="Times New Roman" w:eastAsia="Times New Roman" w:hAnsi="Times New Roman" w:cs="Times New Roman"/>
          <w:kern w:val="2"/>
        </w:rPr>
      </w:pPr>
    </w:p>
    <w:p w14:paraId="2E156A6B"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8 Contratações correlatas e/ou interdependentes.</w:t>
      </w:r>
    </w:p>
    <w:p w14:paraId="06A055F4"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8.1</w:t>
      </w:r>
      <w:r w:rsidRPr="00E6193A">
        <w:rPr>
          <w:rFonts w:ascii="Times New Roman" w:eastAsia="Times New Roman" w:hAnsi="Times New Roman" w:cs="Times New Roman"/>
          <w:lang w:eastAsia="pt-BR"/>
        </w:rPr>
        <w:t xml:space="preserve"> O processo Licitatório nº 1526/2021, Pregão Presencial nº 39/2021é uma contratação correlata e/ou interdependentes.</w:t>
      </w:r>
    </w:p>
    <w:p w14:paraId="500E2544"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lang w:eastAsia="pt-BR"/>
        </w:rPr>
        <w:t xml:space="preserve">8.2 </w:t>
      </w:r>
      <w:r w:rsidRPr="00E6193A">
        <w:rPr>
          <w:rFonts w:ascii="Times New Roman" w:eastAsia="Times New Roman" w:hAnsi="Times New Roman" w:cs="Times New Roman"/>
          <w:lang w:eastAsia="pt-BR"/>
        </w:rPr>
        <w:t>Considerando o processo licitatório mencionado acima, o município tem contrato vigente com a empresa GOVERNANÇABRASIL S/A TECNOLOGIA E GESTÃO EM SERVIÇOS até 31 de dezembro de 2024, porém não havendo o interesse da contratada na renovação do contrato, desta forma, havendo a necessidade de um novo processo licitatório.</w:t>
      </w:r>
    </w:p>
    <w:p w14:paraId="49B88150"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p>
    <w:p w14:paraId="4645AB36"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9 Demonstração da previsão da contratação no plano de contratações anual, sempre que elaborado, de modo a indicar o seu alinhamento com o planejamento da Administração</w:t>
      </w:r>
    </w:p>
    <w:p w14:paraId="79C60597"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9.1</w:t>
      </w:r>
      <w:r w:rsidRPr="00E6193A">
        <w:rPr>
          <w:rFonts w:ascii="Times New Roman" w:eastAsia="Times New Roman" w:hAnsi="Times New Roman" w:cs="Times New Roman"/>
        </w:rPr>
        <w:t xml:space="preserve"> Até o momento o município não tem o Plano de Contratações Anual.</w:t>
      </w:r>
    </w:p>
    <w:p w14:paraId="3CD15CEE" w14:textId="77777777" w:rsidR="00B307DB" w:rsidRPr="00E6193A" w:rsidRDefault="00B307DB" w:rsidP="00B307DB">
      <w:pPr>
        <w:spacing w:after="0" w:line="240" w:lineRule="auto"/>
        <w:ind w:right="-568"/>
        <w:jc w:val="both"/>
        <w:rPr>
          <w:rFonts w:ascii="Times New Roman" w:eastAsia="Times New Roman" w:hAnsi="Times New Roman" w:cs="Times New Roman"/>
        </w:rPr>
      </w:pPr>
    </w:p>
    <w:p w14:paraId="46E6DFAA"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10 Demonstrativo dos resultados pretendidos em termos de economicidade e de melhor aproveitamento dos recursos humanos, materiais e financeiros disponíveis.</w:t>
      </w:r>
    </w:p>
    <w:p w14:paraId="221F685B"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10.1 </w:t>
      </w:r>
      <w:r w:rsidRPr="00E6193A">
        <w:rPr>
          <w:rFonts w:ascii="Times New Roman" w:eastAsia="SimSun" w:hAnsi="Times New Roman" w:cs="Times New Roman"/>
          <w:color w:val="000000"/>
          <w:lang w:eastAsia="zh-CN" w:bidi="hi-IN"/>
        </w:rPr>
        <w:t>A Administração pretende os seguintes resultados em termos de economicidade e de melhor aproveitamento dos recursos humanos, materiais e financeiros disponíveis com a contratação do ERP web:</w:t>
      </w:r>
    </w:p>
    <w:p w14:paraId="29F33E9B"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a) </w:t>
      </w:r>
      <w:r w:rsidRPr="00E6193A">
        <w:rPr>
          <w:rFonts w:ascii="Times New Roman" w:eastAsia="SimSun" w:hAnsi="Times New Roman" w:cs="Times New Roman"/>
          <w:lang w:eastAsia="hi-IN" w:bidi="hi-IN"/>
        </w:rPr>
        <w:t>Permitir o registro de dados em banco único, evitando inconsistências;</w:t>
      </w:r>
    </w:p>
    <w:p w14:paraId="73B58816"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b) </w:t>
      </w:r>
      <w:r w:rsidRPr="00E6193A">
        <w:rPr>
          <w:rFonts w:ascii="Times New Roman" w:eastAsia="SimSun" w:hAnsi="Times New Roman" w:cs="Times New Roman"/>
          <w:lang w:eastAsia="hi-IN" w:bidi="hi-IN"/>
        </w:rPr>
        <w:t>Atualização de todos os campos de dados em tempo real, para todas as áreas e aplicativos;</w:t>
      </w:r>
    </w:p>
    <w:p w14:paraId="1632B4A6"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c) </w:t>
      </w:r>
      <w:r w:rsidRPr="00E6193A">
        <w:rPr>
          <w:rFonts w:ascii="Times New Roman" w:eastAsia="SimSun" w:hAnsi="Times New Roman" w:cs="Times New Roman"/>
          <w:lang w:eastAsia="hi-IN" w:bidi="hi-IN"/>
        </w:rPr>
        <w:t>Reduzir a circulação interna de processos em meio físico;</w:t>
      </w:r>
    </w:p>
    <w:p w14:paraId="3248F323"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d) </w:t>
      </w:r>
      <w:r w:rsidRPr="00E6193A">
        <w:rPr>
          <w:rFonts w:ascii="Times New Roman" w:eastAsia="SimSun" w:hAnsi="Times New Roman" w:cs="Times New Roman"/>
          <w:lang w:eastAsia="hi-IN" w:bidi="hi-IN"/>
        </w:rPr>
        <w:t xml:space="preserve">Reduzir o impacto ambiental causado pela utilização de papel; </w:t>
      </w:r>
    </w:p>
    <w:p w14:paraId="33A44D59"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e) </w:t>
      </w:r>
      <w:r w:rsidRPr="00E6193A">
        <w:rPr>
          <w:rFonts w:ascii="Times New Roman" w:eastAsia="SimSun" w:hAnsi="Times New Roman" w:cs="Times New Roman"/>
          <w:lang w:eastAsia="hi-IN" w:bidi="hi-IN"/>
        </w:rPr>
        <w:t>Reduzir os custos;</w:t>
      </w:r>
    </w:p>
    <w:p w14:paraId="41381BAF"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f) </w:t>
      </w:r>
      <w:r w:rsidRPr="00E6193A">
        <w:rPr>
          <w:rFonts w:ascii="Times New Roman" w:eastAsia="SimSun" w:hAnsi="Times New Roman" w:cs="Times New Roman"/>
          <w:lang w:eastAsia="hi-IN" w:bidi="hi-IN"/>
        </w:rPr>
        <w:t>Aumentar a eficiência de procedimentos e processos;</w:t>
      </w:r>
    </w:p>
    <w:p w14:paraId="208AE5F0"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g) </w:t>
      </w:r>
      <w:r w:rsidRPr="00E6193A">
        <w:rPr>
          <w:rFonts w:ascii="Times New Roman" w:eastAsia="SimSun" w:hAnsi="Times New Roman" w:cs="Times New Roman"/>
          <w:lang w:eastAsia="hi-IN" w:bidi="hi-IN"/>
        </w:rPr>
        <w:t>Reduzir o tempo de espera do cidadão e melhorar a prestação de serviços;</w:t>
      </w:r>
    </w:p>
    <w:p w14:paraId="0BA3E81B"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h) </w:t>
      </w:r>
      <w:r w:rsidRPr="00E6193A">
        <w:rPr>
          <w:rFonts w:ascii="Times New Roman" w:eastAsia="SimSun" w:hAnsi="Times New Roman" w:cs="Times New Roman"/>
          <w:lang w:eastAsia="hi-IN" w:bidi="hi-IN"/>
        </w:rPr>
        <w:t>Otimizar a eficiência operacional;</w:t>
      </w:r>
    </w:p>
    <w:p w14:paraId="2A0C04F7"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i) </w:t>
      </w:r>
      <w:r w:rsidRPr="00E6193A">
        <w:rPr>
          <w:rFonts w:ascii="Times New Roman" w:eastAsia="SimSun" w:hAnsi="Times New Roman" w:cs="Times New Roman"/>
          <w:lang w:eastAsia="hi-IN" w:bidi="hi-IN"/>
        </w:rPr>
        <w:t>Eliminar necessidade de deslocamento de técnicos até a Administração Municipal para realização de reparos em sistemas de gestão;</w:t>
      </w:r>
    </w:p>
    <w:p w14:paraId="2A273134"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j) </w:t>
      </w:r>
      <w:r w:rsidRPr="00E6193A">
        <w:rPr>
          <w:rFonts w:ascii="Times New Roman" w:eastAsia="SimSun" w:hAnsi="Times New Roman" w:cs="Times New Roman"/>
          <w:lang w:eastAsia="hi-IN" w:bidi="hi-IN"/>
        </w:rPr>
        <w:t>Reduzir riscos e aumentar a integridade dos sistemas computacionais locais, com a eliminação da instalação de softwares de gestão pública;</w:t>
      </w:r>
    </w:p>
    <w:p w14:paraId="3C975795"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k) </w:t>
      </w:r>
      <w:r w:rsidRPr="00E6193A">
        <w:rPr>
          <w:rFonts w:ascii="Times New Roman" w:eastAsia="SimSun" w:hAnsi="Times New Roman" w:cs="Times New Roman"/>
          <w:lang w:eastAsia="hi-IN" w:bidi="hi-IN"/>
        </w:rPr>
        <w:t>Reduzir o risco de paralisação de serviços públicos em caso de eventos adversos ou sinistros que impossibilitem o deslocamento dos servidores até os locais de trabalho;</w:t>
      </w:r>
    </w:p>
    <w:p w14:paraId="1507B1BE"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l) </w:t>
      </w:r>
      <w:r w:rsidRPr="00E6193A">
        <w:rPr>
          <w:rFonts w:ascii="Times New Roman" w:eastAsia="SimSun" w:hAnsi="Times New Roman" w:cs="Times New Roman"/>
          <w:lang w:eastAsia="hi-IN" w:bidi="hi-IN"/>
        </w:rPr>
        <w:t>Melhorar a gestão e segurança da informação;</w:t>
      </w:r>
    </w:p>
    <w:p w14:paraId="633A8BDB" w14:textId="31074BC1" w:rsidR="00B307DB" w:rsidRPr="00E6193A" w:rsidRDefault="00582952" w:rsidP="00582952">
      <w:pPr>
        <w:tabs>
          <w:tab w:val="left" w:pos="284"/>
          <w:tab w:val="left" w:pos="1560"/>
        </w:tabs>
        <w:spacing w:after="0" w:line="240" w:lineRule="auto"/>
        <w:ind w:right="-568"/>
        <w:jc w:val="both"/>
        <w:rPr>
          <w:rFonts w:ascii="Times New Roman" w:eastAsia="SimSun" w:hAnsi="Times New Roman" w:cs="Times New Roman"/>
          <w:lang w:eastAsia="hi-IN" w:bidi="hi-IN"/>
        </w:rPr>
      </w:pPr>
      <w:r>
        <w:rPr>
          <w:rFonts w:ascii="Times New Roman" w:eastAsia="SimSun" w:hAnsi="Times New Roman" w:cs="Times New Roman"/>
          <w:b/>
          <w:lang w:eastAsia="hi-IN" w:bidi="hi-IN"/>
        </w:rPr>
        <w:t xml:space="preserve">m) </w:t>
      </w:r>
      <w:r w:rsidR="00B307DB" w:rsidRPr="00E6193A">
        <w:rPr>
          <w:rFonts w:ascii="Times New Roman" w:eastAsia="SimSun" w:hAnsi="Times New Roman" w:cs="Times New Roman"/>
          <w:lang w:eastAsia="hi-IN" w:bidi="hi-IN"/>
        </w:rPr>
        <w:t>Melhorar os processos de transparência dos dados públicos;</w:t>
      </w:r>
    </w:p>
    <w:p w14:paraId="5814357C"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n) </w:t>
      </w:r>
      <w:r w:rsidRPr="00E6193A">
        <w:rPr>
          <w:rFonts w:ascii="Times New Roman" w:eastAsia="SimSun" w:hAnsi="Times New Roman" w:cs="Times New Roman"/>
          <w:lang w:eastAsia="hi-IN" w:bidi="hi-IN"/>
        </w:rPr>
        <w:t xml:space="preserve">Manter alta disponibilidade do ERP da Administração Municipal;  </w:t>
      </w:r>
    </w:p>
    <w:p w14:paraId="1A54C997" w14:textId="77777777" w:rsidR="00B307DB" w:rsidRPr="00E6193A" w:rsidRDefault="00B307DB" w:rsidP="00B307DB">
      <w:pPr>
        <w:tabs>
          <w:tab w:val="left" w:pos="1560"/>
        </w:tabs>
        <w:spacing w:after="0" w:line="240" w:lineRule="auto"/>
        <w:ind w:right="-568"/>
        <w:jc w:val="both"/>
        <w:rPr>
          <w:rFonts w:ascii="Times New Roman" w:eastAsia="SimSun" w:hAnsi="Times New Roman" w:cs="Times New Roman"/>
          <w:lang w:eastAsia="hi-IN" w:bidi="hi-IN"/>
        </w:rPr>
      </w:pPr>
      <w:r w:rsidRPr="00E6193A">
        <w:rPr>
          <w:rFonts w:ascii="Times New Roman" w:eastAsia="SimSun" w:hAnsi="Times New Roman" w:cs="Times New Roman"/>
          <w:b/>
          <w:lang w:eastAsia="hi-IN" w:bidi="hi-IN"/>
        </w:rPr>
        <w:t xml:space="preserve">o) </w:t>
      </w:r>
      <w:r w:rsidRPr="00E6193A">
        <w:rPr>
          <w:rFonts w:ascii="Times New Roman" w:eastAsia="SimSun" w:hAnsi="Times New Roman" w:cs="Times New Roman"/>
          <w:lang w:eastAsia="hi-IN" w:bidi="hi-IN"/>
        </w:rPr>
        <w:t>Viabilizar a implantação futura de serviços de teleatendimento.</w:t>
      </w:r>
    </w:p>
    <w:p w14:paraId="41C65CC7"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p>
    <w:p w14:paraId="71E21D99"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11</w:t>
      </w:r>
      <w:r w:rsidRPr="00E6193A">
        <w:rPr>
          <w:rFonts w:ascii="Times New Roman" w:eastAsia="Times New Roman" w:hAnsi="Times New Roman" w:cs="Times New Roman"/>
        </w:rPr>
        <w:t xml:space="preserve"> </w:t>
      </w:r>
      <w:r w:rsidRPr="00E6193A">
        <w:rPr>
          <w:rFonts w:ascii="Times New Roman" w:eastAsia="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0A967896" w14:textId="77777777" w:rsidR="00B307DB" w:rsidRPr="00E6193A" w:rsidRDefault="00B307DB" w:rsidP="00B307DB">
      <w:pPr>
        <w:spacing w:after="0" w:line="240" w:lineRule="auto"/>
        <w:ind w:right="-568"/>
        <w:jc w:val="both"/>
        <w:rPr>
          <w:rFonts w:ascii="Times New Roman" w:eastAsia="Times New Roman" w:hAnsi="Times New Roman" w:cs="Times New Roman"/>
          <w:lang w:eastAsia="pt-BR"/>
        </w:rPr>
      </w:pPr>
      <w:r w:rsidRPr="00E6193A">
        <w:rPr>
          <w:rFonts w:ascii="Times New Roman" w:eastAsia="Times New Roman" w:hAnsi="Times New Roman" w:cs="Times New Roman"/>
          <w:b/>
        </w:rPr>
        <w:lastRenderedPageBreak/>
        <w:t>11.1</w:t>
      </w:r>
      <w:r w:rsidRPr="00E6193A">
        <w:rPr>
          <w:rFonts w:ascii="Times New Roman" w:eastAsia="Times New Roman" w:hAnsi="Times New Roman" w:cs="Times New Roman"/>
        </w:rPr>
        <w:t xml:space="preserve"> Não serão necessárias providências previamente à celebração do contrato.</w:t>
      </w:r>
    </w:p>
    <w:p w14:paraId="499CCBAA"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11.2</w:t>
      </w:r>
      <w:r w:rsidRPr="00E6193A">
        <w:rPr>
          <w:rFonts w:ascii="Times New Roman" w:eastAsia="Times New Roman" w:hAnsi="Times New Roman" w:cs="Times New Roman"/>
        </w:rPr>
        <w:t xml:space="preserve"> A gestão do contrato caberá a Sr. </w:t>
      </w:r>
      <w:r w:rsidRPr="00E6193A">
        <w:rPr>
          <w:rFonts w:ascii="Times New Roman" w:eastAsia="Times New Roman" w:hAnsi="Times New Roman" w:cs="Times New Roman"/>
          <w:iCs/>
        </w:rPr>
        <w:t xml:space="preserve">Renaldo Mueller e </w:t>
      </w:r>
      <w:r>
        <w:rPr>
          <w:rFonts w:ascii="Times New Roman" w:eastAsia="Times New Roman" w:hAnsi="Times New Roman" w:cs="Times New Roman"/>
          <w:iCs/>
        </w:rPr>
        <w:t xml:space="preserve">Sr. </w:t>
      </w:r>
      <w:r w:rsidRPr="00E6193A">
        <w:rPr>
          <w:rFonts w:ascii="Times New Roman" w:eastAsia="Times New Roman" w:hAnsi="Times New Roman" w:cs="Times New Roman"/>
          <w:bCs/>
          <w:lang w:eastAsia="pt-BR"/>
        </w:rPr>
        <w:t>Junior Steffen</w:t>
      </w:r>
      <w:r w:rsidRPr="00E6193A">
        <w:rPr>
          <w:rFonts w:ascii="Times New Roman" w:eastAsia="Times New Roman" w:hAnsi="Times New Roman" w:cs="Times New Roman"/>
        </w:rPr>
        <w:t xml:space="preserve">. </w:t>
      </w:r>
    </w:p>
    <w:p w14:paraId="1F3E02F0" w14:textId="77777777" w:rsidR="00B307DB" w:rsidRPr="00E6193A" w:rsidRDefault="00B307DB" w:rsidP="00B307DB">
      <w:pPr>
        <w:spacing w:after="0" w:line="240" w:lineRule="auto"/>
        <w:ind w:right="-568"/>
        <w:jc w:val="both"/>
        <w:rPr>
          <w:rFonts w:ascii="Times New Roman" w:eastAsia="Times New Roman" w:hAnsi="Times New Roman" w:cs="Times New Roman"/>
        </w:rPr>
      </w:pPr>
      <w:r w:rsidRPr="00E6193A">
        <w:rPr>
          <w:rFonts w:ascii="Times New Roman" w:eastAsia="Times New Roman" w:hAnsi="Times New Roman" w:cs="Times New Roman"/>
          <w:b/>
        </w:rPr>
        <w:t>11.3</w:t>
      </w:r>
      <w:r w:rsidRPr="00E6193A">
        <w:rPr>
          <w:rFonts w:ascii="Times New Roman" w:eastAsia="Times New Roman" w:hAnsi="Times New Roman" w:cs="Times New Roman"/>
        </w:rPr>
        <w:t xml:space="preserve"> A execução do contrato será acompanhada e fiscalizada pelo(a)s Sr(as). Ademar Antônio Pignat, Sandra Mara da Rosa</w:t>
      </w:r>
      <w:r w:rsidRPr="00E6193A">
        <w:rPr>
          <w:rFonts w:ascii="Times New Roman" w:eastAsia="Times New Roman" w:hAnsi="Times New Roman" w:cs="Times New Roman"/>
          <w:iCs/>
        </w:rPr>
        <w:t xml:space="preserve">, Edson Cesar Trentini, Eleni Rutzen Endrigo, </w:t>
      </w:r>
      <w:r w:rsidRPr="00E6193A">
        <w:rPr>
          <w:rFonts w:ascii="Times New Roman" w:eastAsia="Times New Roman" w:hAnsi="Times New Roman" w:cs="Times New Roman"/>
        </w:rPr>
        <w:t>Marcos Antônio Garlet, Ana Salete Bordignon e Sr. Paulo Henrique Heller em observância ao disposto no art. 117 e seguintes da Lei 14.133/2021.</w:t>
      </w:r>
    </w:p>
    <w:p w14:paraId="29038449"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11.4 </w:t>
      </w:r>
      <w:r w:rsidRPr="00E6193A">
        <w:rPr>
          <w:rFonts w:ascii="Times New Roman" w:eastAsia="SimSun" w:hAnsi="Times New Roman" w:cs="Times New Roman"/>
          <w:color w:val="000000"/>
          <w:lang w:eastAsia="zh-CN" w:bidi="hi-IN"/>
        </w:rPr>
        <w:t>Previamente à celebração do contrato, a Administração deve garantir o acesso aos dados a serem legados, de maneira completa, integra, acessível e legível, de maneira a possibilitar a sua migração/conversão para a nova plataforma de ERP.</w:t>
      </w:r>
    </w:p>
    <w:p w14:paraId="06F6A8DC"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11.5 </w:t>
      </w:r>
      <w:r w:rsidRPr="00E6193A">
        <w:rPr>
          <w:rFonts w:ascii="Times New Roman" w:eastAsia="SimSun" w:hAnsi="Times New Roman" w:cs="Times New Roman"/>
          <w:color w:val="000000"/>
          <w:lang w:eastAsia="zh-CN" w:bidi="hi-IN"/>
        </w:rPr>
        <w:t>Inclusive, deve ser obrigatório em todos os contratos que envolvam bancos de dados da Contratante, que existam cláusulas prevendo que ao final de sua vigência, o fornecedor entregue as informações de maneira adequada, completa e utilizável.</w:t>
      </w:r>
    </w:p>
    <w:p w14:paraId="3FB8A636" w14:textId="77777777" w:rsidR="00B307DB" w:rsidRPr="00E6193A" w:rsidRDefault="00B307DB" w:rsidP="00B307DB">
      <w:pPr>
        <w:spacing w:after="0" w:line="240" w:lineRule="auto"/>
        <w:ind w:right="-568"/>
        <w:jc w:val="both"/>
        <w:rPr>
          <w:rFonts w:ascii="Times New Roman" w:eastAsia="SimSun" w:hAnsi="Times New Roman" w:cs="Times New Roman"/>
          <w:lang w:eastAsia="zh-CN" w:bidi="hi-IN"/>
        </w:rPr>
      </w:pPr>
      <w:r w:rsidRPr="00E6193A">
        <w:rPr>
          <w:rFonts w:ascii="Times New Roman" w:eastAsia="Times New Roman" w:hAnsi="Times New Roman" w:cs="Times New Roman"/>
          <w:b/>
          <w:color w:val="000000"/>
          <w:lang w:eastAsia="pt-BR"/>
        </w:rPr>
        <w:t xml:space="preserve">11.6 </w:t>
      </w:r>
      <w:r w:rsidRPr="00E6193A">
        <w:rPr>
          <w:rFonts w:ascii="Times New Roman" w:eastAsia="Times New Roman" w:hAnsi="Times New Roman" w:cs="Times New Roman"/>
          <w:color w:val="000000"/>
          <w:lang w:eastAsia="pt-BR"/>
        </w:rPr>
        <w:t xml:space="preserve">O tipo de contratação recomenda a realização de sessão para avaliação de </w:t>
      </w:r>
      <w:r w:rsidRPr="00E6193A">
        <w:rPr>
          <w:rFonts w:ascii="Times New Roman" w:eastAsia="SimSun" w:hAnsi="Times New Roman" w:cs="Times New Roman"/>
          <w:color w:val="000000"/>
          <w:lang w:eastAsia="zh-CN" w:bidi="hi-IN"/>
        </w:rPr>
        <w:t>AMOSTRA DO OBJETO, de modo que devem ser selecionados e capacitados previamente os servidores responsáveis, bem como estabelecidas no Edital as regras e roteiro a ser seguido pelos participantes.</w:t>
      </w:r>
    </w:p>
    <w:p w14:paraId="29CD387D"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11.7 </w:t>
      </w:r>
      <w:r w:rsidRPr="00E6193A">
        <w:rPr>
          <w:rFonts w:ascii="Times New Roman" w:eastAsia="SimSun" w:hAnsi="Times New Roman" w:cs="Times New Roman"/>
          <w:color w:val="000000"/>
          <w:lang w:eastAsia="zh-CN" w:bidi="hi-IN"/>
        </w:rPr>
        <w:t>Profissionais da área de Tecnologia da Informação deverão estar disponíveis, tanto para visitas técnicas que antecedem a abertura do certame, para que interessados tenham acesso a informações pertinentes a formulação de suas propostas, bem como para orientação e tratativas com a futura contratada, quanto a cronogramas de trabalho e dificuldades que devam ser superadas, nos limites contratuais.</w:t>
      </w:r>
    </w:p>
    <w:p w14:paraId="40FCE934"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11.8 </w:t>
      </w:r>
      <w:r w:rsidRPr="00E6193A">
        <w:rPr>
          <w:rFonts w:ascii="Times New Roman" w:eastAsia="SimSun" w:hAnsi="Times New Roman" w:cs="Times New Roman"/>
          <w:color w:val="000000"/>
          <w:lang w:eastAsia="zh-CN" w:bidi="hi-IN"/>
        </w:rPr>
        <w:t>Se considerado pertinente pelo gestor de área, servidores podem ser capacitados para realização de atividades de fiscalização e gestão contratual.</w:t>
      </w:r>
    </w:p>
    <w:p w14:paraId="418B48E8" w14:textId="77777777" w:rsidR="00B307DB" w:rsidRPr="00E6193A" w:rsidRDefault="00B307DB" w:rsidP="00B307DB">
      <w:pPr>
        <w:spacing w:after="0" w:line="240" w:lineRule="auto"/>
        <w:ind w:right="-568"/>
        <w:jc w:val="both"/>
        <w:rPr>
          <w:rFonts w:ascii="Times New Roman" w:eastAsia="Times New Roman" w:hAnsi="Times New Roman" w:cs="Times New Roman"/>
          <w:b/>
        </w:rPr>
      </w:pPr>
    </w:p>
    <w:p w14:paraId="1778BE08"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0E1EF2E7" w14:textId="77777777" w:rsidR="00B307DB" w:rsidRPr="00E6193A" w:rsidRDefault="00B307DB" w:rsidP="00B307DB">
      <w:pPr>
        <w:widowControl w:val="0"/>
        <w:tabs>
          <w:tab w:val="left" w:pos="569"/>
          <w:tab w:val="left" w:pos="854"/>
          <w:tab w:val="left" w:pos="1154"/>
          <w:tab w:val="left" w:pos="1409"/>
          <w:tab w:val="left" w:pos="1664"/>
          <w:tab w:val="left" w:pos="1979"/>
          <w:tab w:val="left" w:pos="2234"/>
          <w:tab w:val="left" w:leader="underscore" w:pos="7350"/>
        </w:tabs>
        <w:suppressAutoHyphens/>
        <w:spacing w:after="0" w:line="240" w:lineRule="auto"/>
        <w:ind w:left="11"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12.1 </w:t>
      </w:r>
      <w:r w:rsidRPr="00E6193A">
        <w:rPr>
          <w:rFonts w:ascii="Times New Roman" w:eastAsia="SimSun" w:hAnsi="Times New Roman" w:cs="Times New Roman"/>
          <w:lang w:eastAsia="zh-CN" w:bidi="hi-IN"/>
        </w:rPr>
        <w:t xml:space="preserve">A solução escolhida por esta administração está adequada aos preceitos de licitações sustentáveis, de modo que minimiza os impactos ambientais diminuindo o uso exacerbado de papel em processos manuais na administração pública e agiliza os procedimentos. </w:t>
      </w:r>
    </w:p>
    <w:p w14:paraId="54595205" w14:textId="77777777" w:rsidR="00B307DB" w:rsidRPr="00E6193A" w:rsidRDefault="00B307DB" w:rsidP="00B307DB">
      <w:pPr>
        <w:widowControl w:val="0"/>
        <w:tabs>
          <w:tab w:val="left" w:pos="569"/>
          <w:tab w:val="left" w:pos="854"/>
          <w:tab w:val="left" w:pos="1154"/>
          <w:tab w:val="left" w:pos="1409"/>
          <w:tab w:val="left" w:pos="1664"/>
          <w:tab w:val="left" w:pos="1979"/>
          <w:tab w:val="left" w:pos="2234"/>
          <w:tab w:val="left" w:leader="underscore" w:pos="7350"/>
        </w:tabs>
        <w:suppressAutoHyphens/>
        <w:spacing w:after="0" w:line="240" w:lineRule="auto"/>
        <w:ind w:left="11"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12.2 </w:t>
      </w:r>
      <w:r w:rsidRPr="00E6193A">
        <w:rPr>
          <w:rFonts w:ascii="Times New Roman" w:eastAsia="SimSun" w:hAnsi="Times New Roman" w:cs="Times New Roman"/>
          <w:lang w:eastAsia="zh-CN" w:bidi="hi-IN"/>
        </w:rPr>
        <w:t>Com o uso de um Software em nuvem não é necessário que se tenha um servidor físico no ambiente da prefeitura, diminuindo os custos de energia com salas climatizadas para este fim, bem como a necessidade de cabeamento e profissional adequado para manutenção.</w:t>
      </w:r>
    </w:p>
    <w:p w14:paraId="01AC7C50" w14:textId="77777777" w:rsidR="00B307DB" w:rsidRPr="00E6193A" w:rsidRDefault="00B307DB" w:rsidP="00B307DB">
      <w:pPr>
        <w:widowControl w:val="0"/>
        <w:tabs>
          <w:tab w:val="left" w:pos="569"/>
          <w:tab w:val="left" w:pos="854"/>
          <w:tab w:val="left" w:pos="1154"/>
          <w:tab w:val="left" w:pos="1409"/>
          <w:tab w:val="left" w:pos="1664"/>
          <w:tab w:val="left" w:pos="1979"/>
          <w:tab w:val="left" w:pos="2234"/>
          <w:tab w:val="left" w:leader="underscore" w:pos="7350"/>
        </w:tabs>
        <w:suppressAutoHyphens/>
        <w:spacing w:after="0" w:line="240" w:lineRule="auto"/>
        <w:ind w:left="11"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12.3 </w:t>
      </w:r>
      <w:r w:rsidRPr="00E6193A">
        <w:rPr>
          <w:rFonts w:ascii="Times New Roman" w:eastAsia="SimSun" w:hAnsi="Times New Roman" w:cs="Times New Roman"/>
          <w:lang w:eastAsia="zh-CN" w:bidi="hi-IN"/>
        </w:rPr>
        <w:t>Ao trazer uma plataforma eficiente de gestão, é possível trazer mais agilidade nos processos com aplicação das políticas públicas reversas e de conscientização ambiental</w:t>
      </w:r>
      <w:r w:rsidRPr="00E6193A">
        <w:rPr>
          <w:rFonts w:ascii="Times New Roman" w:eastAsia="SimSun" w:hAnsi="Times New Roman" w:cs="Times New Roman"/>
          <w:color w:val="4472C4"/>
          <w:lang w:eastAsia="zh-CN" w:bidi="hi-IN"/>
        </w:rPr>
        <w:t>.</w:t>
      </w:r>
    </w:p>
    <w:p w14:paraId="5129AB27" w14:textId="77777777" w:rsidR="00B307DB" w:rsidRPr="00E6193A" w:rsidRDefault="00B307DB" w:rsidP="00B307DB">
      <w:pPr>
        <w:widowControl w:val="0"/>
        <w:tabs>
          <w:tab w:val="left" w:pos="569"/>
          <w:tab w:val="left" w:pos="854"/>
          <w:tab w:val="left" w:pos="1154"/>
          <w:tab w:val="left" w:pos="1409"/>
          <w:tab w:val="left" w:pos="1664"/>
          <w:tab w:val="left" w:pos="1979"/>
          <w:tab w:val="left" w:pos="2234"/>
          <w:tab w:val="left" w:leader="underscore" w:pos="7350"/>
        </w:tabs>
        <w:suppressAutoHyphens/>
        <w:spacing w:after="0" w:line="240" w:lineRule="auto"/>
        <w:ind w:left="11"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12.4 </w:t>
      </w:r>
      <w:r w:rsidRPr="00E6193A">
        <w:rPr>
          <w:rFonts w:ascii="Times New Roman" w:eastAsia="SimSun" w:hAnsi="Times New Roman" w:cs="Times New Roman"/>
          <w:lang w:eastAsia="zh-CN" w:bidi="hi-IN"/>
        </w:rPr>
        <w:t>A solução proposta contempla os objetivos do Desenvolvimento Sustentável (ODS), baseados nas dimensões de desenvolvimento sustentável – econômica, social, ambiental e institucional de forma integrada e transversal para o atingimento das metas associadas a Agenda 2030 das Nações Unidas, melhorando indicadores como:</w:t>
      </w:r>
    </w:p>
    <w:p w14:paraId="4697E9CF" w14:textId="77777777" w:rsidR="00B307DB" w:rsidRPr="00E6193A" w:rsidRDefault="00B307DB" w:rsidP="00B307DB">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a) </w:t>
      </w:r>
      <w:r w:rsidRPr="00E6193A">
        <w:rPr>
          <w:rFonts w:ascii="Times New Roman" w:eastAsia="SimSun" w:hAnsi="Times New Roman" w:cs="Times New Roman"/>
          <w:lang w:eastAsia="zh-CN" w:bidi="hi-IN"/>
        </w:rPr>
        <w:t>uso eficiente de insumos, materiais e serviços;</w:t>
      </w:r>
    </w:p>
    <w:p w14:paraId="4CF19798" w14:textId="77777777" w:rsidR="00B307DB" w:rsidRPr="00E6193A" w:rsidRDefault="00B307DB" w:rsidP="00B307DB">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b) </w:t>
      </w:r>
      <w:r w:rsidRPr="00E6193A">
        <w:rPr>
          <w:rFonts w:ascii="Times New Roman" w:eastAsia="SimSun" w:hAnsi="Times New Roman" w:cs="Times New Roman"/>
          <w:lang w:eastAsia="zh-CN" w:bidi="hi-IN"/>
        </w:rPr>
        <w:t>gestão de resíduos;</w:t>
      </w:r>
    </w:p>
    <w:p w14:paraId="6B51838C" w14:textId="77777777" w:rsidR="00B307DB" w:rsidRPr="00E6193A" w:rsidRDefault="00B307DB" w:rsidP="00B307DB">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c) </w:t>
      </w:r>
      <w:r w:rsidRPr="00E6193A">
        <w:rPr>
          <w:rFonts w:ascii="Times New Roman" w:eastAsia="SimSun" w:hAnsi="Times New Roman" w:cs="Times New Roman"/>
          <w:lang w:eastAsia="zh-CN" w:bidi="hi-IN"/>
        </w:rPr>
        <w:t>saúde e qualidade de vida no ambiente de trabalho;</w:t>
      </w:r>
    </w:p>
    <w:p w14:paraId="31309031" w14:textId="77777777" w:rsidR="00B307DB" w:rsidRPr="00E6193A" w:rsidRDefault="00B307DB" w:rsidP="00B307DB">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d) </w:t>
      </w:r>
      <w:r w:rsidRPr="00E6193A">
        <w:rPr>
          <w:rFonts w:ascii="Times New Roman" w:eastAsia="SimSun" w:hAnsi="Times New Roman" w:cs="Times New Roman"/>
          <w:lang w:eastAsia="zh-CN" w:bidi="hi-IN"/>
        </w:rPr>
        <w:t>sensibilização e capacitação de pessoal, para utilização de nova tecnologia de ERP, mais sustentável;</w:t>
      </w:r>
    </w:p>
    <w:p w14:paraId="2F1864DE" w14:textId="77777777" w:rsidR="00B307DB" w:rsidRPr="00E6193A" w:rsidRDefault="00B307DB" w:rsidP="00B307DB">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e) </w:t>
      </w:r>
      <w:r w:rsidRPr="00E6193A">
        <w:rPr>
          <w:rFonts w:ascii="Times New Roman" w:eastAsia="SimSun" w:hAnsi="Times New Roman" w:cs="Times New Roman"/>
          <w:lang w:eastAsia="zh-CN" w:bidi="hi-IN"/>
        </w:rPr>
        <w:t>redução do deslocamento de pessoal técnico, visando suporte e assistência técnica de software, e de cidadão por meio de serviços pela internet, contribuindo para a redução de emissões de substâncias poluentes;</w:t>
      </w:r>
    </w:p>
    <w:p w14:paraId="55E273E9" w14:textId="77777777" w:rsidR="00B307DB" w:rsidRPr="00E6193A" w:rsidRDefault="00B307DB" w:rsidP="00B307DB">
      <w:pPr>
        <w:widowControl w:val="0"/>
        <w:tabs>
          <w:tab w:val="left" w:pos="854"/>
          <w:tab w:val="left" w:pos="993"/>
          <w:tab w:val="left" w:pos="1154"/>
          <w:tab w:val="left" w:pos="1664"/>
          <w:tab w:val="left" w:pos="1979"/>
          <w:tab w:val="left" w:pos="2234"/>
          <w:tab w:val="left" w:leader="underscore" w:pos="7350"/>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f) </w:t>
      </w:r>
      <w:r w:rsidRPr="00E6193A">
        <w:rPr>
          <w:rFonts w:ascii="Times New Roman" w:eastAsia="SimSun" w:hAnsi="Times New Roman" w:cs="Times New Roman"/>
          <w:lang w:eastAsia="zh-CN" w:bidi="hi-IN"/>
        </w:rPr>
        <w:t>fomentar a equidade, diversidade e acesso a informação e dos serviços públicos, ao serem disponibilizados pela internet, cadastro de pessoas pelo nome social.</w:t>
      </w:r>
    </w:p>
    <w:p w14:paraId="6B85949F" w14:textId="77777777" w:rsidR="00B307DB" w:rsidRPr="00E6193A" w:rsidRDefault="00B307DB" w:rsidP="00B307DB">
      <w:pPr>
        <w:spacing w:after="0" w:line="240" w:lineRule="auto"/>
        <w:ind w:right="-568"/>
        <w:jc w:val="both"/>
        <w:rPr>
          <w:rFonts w:ascii="Times New Roman" w:eastAsia="Times New Roman" w:hAnsi="Times New Roman" w:cs="Times New Roman"/>
        </w:rPr>
      </w:pPr>
    </w:p>
    <w:p w14:paraId="7EA395F0" w14:textId="77777777" w:rsidR="00B307DB" w:rsidRPr="00E6193A" w:rsidRDefault="00B307DB" w:rsidP="00B307DB">
      <w:pPr>
        <w:spacing w:after="0" w:line="240" w:lineRule="auto"/>
        <w:ind w:right="-568"/>
        <w:jc w:val="both"/>
        <w:rPr>
          <w:rFonts w:ascii="Times New Roman" w:eastAsia="Times New Roman" w:hAnsi="Times New Roman" w:cs="Times New Roman"/>
          <w:b/>
        </w:rPr>
      </w:pPr>
      <w:r w:rsidRPr="00E6193A">
        <w:rPr>
          <w:rFonts w:ascii="Times New Roman" w:eastAsia="Times New Roman" w:hAnsi="Times New Roman" w:cs="Times New Roman"/>
          <w:b/>
        </w:rPr>
        <w:t>13 Posicionamento conclusivo sobre a adequação da contratação para o atendimento da necessidade a que se destina.</w:t>
      </w:r>
    </w:p>
    <w:p w14:paraId="64BC13E4" w14:textId="77777777" w:rsidR="00B307DB" w:rsidRPr="00E6193A" w:rsidRDefault="00B307DB" w:rsidP="00B307DB">
      <w:pPr>
        <w:widowControl w:val="0"/>
        <w:tabs>
          <w:tab w:val="left" w:pos="555"/>
          <w:tab w:val="left" w:pos="1140"/>
          <w:tab w:val="left" w:pos="1395"/>
          <w:tab w:val="left" w:pos="1650"/>
          <w:tab w:val="left" w:pos="1965"/>
          <w:tab w:val="left" w:pos="2220"/>
          <w:tab w:val="left" w:leader="underscore" w:pos="7336"/>
        </w:tabs>
        <w:suppressAutoHyphens/>
        <w:spacing w:after="0" w:line="240" w:lineRule="auto"/>
        <w:ind w:right="-568"/>
        <w:jc w:val="both"/>
        <w:rPr>
          <w:rFonts w:ascii="Times New Roman" w:eastAsia="SimSun" w:hAnsi="Times New Roman" w:cs="Times New Roman"/>
          <w:lang w:eastAsia="zh-CN" w:bidi="hi-IN"/>
        </w:rPr>
      </w:pPr>
      <w:r w:rsidRPr="00E6193A">
        <w:rPr>
          <w:rFonts w:ascii="Times New Roman" w:eastAsia="SimSun" w:hAnsi="Times New Roman" w:cs="Times New Roman"/>
          <w:b/>
          <w:color w:val="000000"/>
          <w:lang w:eastAsia="zh-CN" w:bidi="hi-IN"/>
        </w:rPr>
        <w:t xml:space="preserve">13.1 </w:t>
      </w:r>
      <w:r w:rsidRPr="00E6193A">
        <w:rPr>
          <w:rFonts w:ascii="Times New Roman" w:eastAsia="SimSun" w:hAnsi="Times New Roman" w:cs="Times New Roman"/>
          <w:color w:val="000000"/>
          <w:lang w:eastAsia="zh-CN" w:bidi="hi-IN"/>
        </w:rPr>
        <w:t>Diante dos trabalhos realizados, traz-se o posicionamento conclusivo sobre a adequação da contratação para o atendimento da necessidade a que se destina.</w:t>
      </w:r>
    </w:p>
    <w:p w14:paraId="1E540DD6" w14:textId="77777777" w:rsidR="00B307DB" w:rsidRPr="00E6193A" w:rsidRDefault="00B307DB" w:rsidP="00B307DB">
      <w:pPr>
        <w:suppressAutoHyphens/>
        <w:spacing w:after="0" w:line="240" w:lineRule="auto"/>
        <w:ind w:right="-568"/>
        <w:jc w:val="both"/>
        <w:rPr>
          <w:rFonts w:ascii="Times New Roman" w:eastAsia="Times New Roman" w:hAnsi="Times New Roman" w:cs="Times New Roman"/>
          <w:color w:val="000000"/>
        </w:rPr>
      </w:pPr>
      <w:r w:rsidRPr="00E6193A">
        <w:rPr>
          <w:rFonts w:ascii="Times New Roman" w:eastAsia="Times New Roman" w:hAnsi="Times New Roman" w:cs="Times New Roman"/>
          <w:b/>
          <w:color w:val="000000"/>
        </w:rPr>
        <w:t xml:space="preserve">13.2 </w:t>
      </w:r>
      <w:r w:rsidRPr="00E6193A">
        <w:rPr>
          <w:rFonts w:ascii="Times New Roman" w:eastAsia="Times New Roman" w:hAnsi="Times New Roman" w:cs="Times New Roman"/>
          <w:color w:val="000000"/>
        </w:rPr>
        <w:t xml:space="preserve">Orientação do Tribunal de Contas da União, diante das vantagens apontadas pelo órgão de controle externo no âmbito do </w:t>
      </w:r>
      <w:r w:rsidRPr="00E6193A">
        <w:rPr>
          <w:rFonts w:ascii="Times New Roman" w:eastAsia="Times New Roman" w:hAnsi="Times New Roman" w:cs="Times New Roman"/>
          <w:color w:val="000000"/>
          <w:shd w:val="clear" w:color="auto" w:fill="FFFFFF"/>
        </w:rPr>
        <w:t xml:space="preserve">TC 025.994/2014-0, referenda a contratação de solução no modelo SaaS – </w:t>
      </w:r>
      <w:r w:rsidRPr="00E6193A">
        <w:rPr>
          <w:rFonts w:ascii="Times New Roman" w:eastAsia="Times New Roman" w:hAnsi="Times New Roman" w:cs="Times New Roman"/>
          <w:i/>
          <w:iCs/>
          <w:color w:val="000000"/>
          <w:shd w:val="clear" w:color="auto" w:fill="FFFFFF"/>
        </w:rPr>
        <w:t>Software as a Service</w:t>
      </w:r>
      <w:r w:rsidRPr="00E6193A">
        <w:rPr>
          <w:rFonts w:ascii="Times New Roman" w:eastAsia="Times New Roman" w:hAnsi="Times New Roman" w:cs="Times New Roman"/>
          <w:color w:val="000000"/>
          <w:shd w:val="clear" w:color="auto" w:fill="FFFFFF"/>
        </w:rPr>
        <w:t xml:space="preserve"> (Software como um Serviço): “</w:t>
      </w:r>
      <w:r w:rsidRPr="00E6193A">
        <w:rPr>
          <w:rFonts w:ascii="Times New Roman" w:eastAsia="Times New Roman" w:hAnsi="Times New Roman" w:cs="Times New Roman"/>
          <w:i/>
          <w:color w:val="000000"/>
        </w:rPr>
        <w:t xml:space="preserve">São as aplicações do fornecedor executadas em uma infraestrutura de nuvem (conforme as cinco características de computação em nuvem), disponíveis </w:t>
      </w:r>
      <w:r w:rsidRPr="00E6193A">
        <w:rPr>
          <w:rFonts w:ascii="Times New Roman" w:eastAsia="Times New Roman" w:hAnsi="Times New Roman" w:cs="Times New Roman"/>
          <w:i/>
          <w:color w:val="000000"/>
        </w:rPr>
        <w:lastRenderedPageBreak/>
        <w:t>ao consumidor. As aplicações podem ser acessadas por vários dispositivos clientes, tais como um navegador web.”</w:t>
      </w:r>
    </w:p>
    <w:p w14:paraId="19A395D3"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13.3 </w:t>
      </w:r>
      <w:r w:rsidRPr="00E6193A">
        <w:rPr>
          <w:rFonts w:ascii="Times New Roman" w:eastAsia="SimSun" w:hAnsi="Times New Roman" w:cs="Times New Roman"/>
          <w:lang w:eastAsia="zh-CN" w:bidi="hi-IN"/>
        </w:rPr>
        <w:t xml:space="preserve">Declara-se viável a aquisição, haja vista a disponibilidade do objeto e de fornecedores a atenderem os requisitos mínimos elencados, bem como as vantagens da contratação, amplamente divulgadas, inclusive reconhecidas pelo Tribunal de Contas da União e Poder Judiciário, como agilidade na resolução de problemas (são </w:t>
      </w:r>
      <w:r w:rsidRPr="00E6193A">
        <w:rPr>
          <w:rFonts w:ascii="Times New Roman" w:eastAsia="SimSun" w:hAnsi="Times New Roman" w:cs="Times New Roman"/>
          <w:i/>
          <w:iCs/>
          <w:lang w:eastAsia="zh-CN" w:bidi="hi-IN"/>
        </w:rPr>
        <w:t>on line</w:t>
      </w:r>
      <w:r w:rsidRPr="00E6193A">
        <w:rPr>
          <w:rFonts w:ascii="Times New Roman" w:eastAsia="SimSun" w:hAnsi="Times New Roman" w:cs="Times New Roman"/>
          <w:lang w:eastAsia="zh-CN" w:bidi="hi-IN"/>
        </w:rPr>
        <w:t xml:space="preserve">, sem necessidade de deslocamento de técnicos até as instalações do cliente), maior segurança da informação contra sinistros (pois ficam em nuvem, não sujeitos a incêndios, desastres naturais, etc), permitem a continuidade do serviço mesmo em casos extremos, como lockdown (pois empregados públicos e servidores podem trabalhar de casa por meio da internet), desoneram o orçamento com a aquisição de licenças ou equipamentos de grande porte (hardware pesado para servidores locais), ou com manutenção de salas especiais de segurança (salas cofre com sistemas de refrigeração, contra incêndio, etc.), permitem o rápido desenvolvimento de novas aplicações e recursos (como funcionalidade de APP para acesso dos cidadãos via celular), em comparação aos sistemas tradicionais. </w:t>
      </w:r>
    </w:p>
    <w:p w14:paraId="33B77347"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13.4 </w:t>
      </w:r>
      <w:r w:rsidRPr="00E6193A">
        <w:rPr>
          <w:rFonts w:ascii="Times New Roman" w:eastAsia="SimSun" w:hAnsi="Times New Roman" w:cs="Times New Roman"/>
          <w:lang w:eastAsia="zh-CN" w:bidi="hi-IN"/>
        </w:rPr>
        <w:t>A solução se mostra, portanto, mais eficiente e eficaz na medida que benefícios inúmeros são trazidos a Administração e administrados, melhorando os serviços públicos e a transparência da gestão.</w:t>
      </w:r>
    </w:p>
    <w:p w14:paraId="1FCE4A67"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13.5 </w:t>
      </w:r>
      <w:r w:rsidRPr="00E6193A">
        <w:rPr>
          <w:rFonts w:ascii="Times New Roman" w:eastAsia="SimSun" w:hAnsi="Times New Roman" w:cs="Times New Roman"/>
          <w:lang w:eastAsia="zh-CN" w:bidi="hi-IN"/>
        </w:rPr>
        <w:t>A solução também se apresenta economicamente viável e vantajosa, inclusive com a flexibilidade de trabalho dos profissionais públicos no mister de suas funções institucionais, seja internamente, quanto externamente, bastando acesso à internet e um laptop, tablet ou celular, tornado imediatamente efetivas as ações realizadas, sejam elas de fiscalização, orientação ou meramente burocráticas.</w:t>
      </w:r>
    </w:p>
    <w:p w14:paraId="48092291"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r w:rsidRPr="00E6193A">
        <w:rPr>
          <w:rFonts w:ascii="Times New Roman" w:eastAsia="SimSun" w:hAnsi="Times New Roman" w:cs="Times New Roman"/>
          <w:b/>
          <w:lang w:eastAsia="zh-CN" w:bidi="hi-IN"/>
        </w:rPr>
        <w:t xml:space="preserve">13.6 </w:t>
      </w:r>
      <w:r w:rsidRPr="00E6193A">
        <w:rPr>
          <w:rFonts w:ascii="Times New Roman" w:eastAsia="SimSun" w:hAnsi="Times New Roman" w:cs="Times New Roman"/>
          <w:lang w:eastAsia="zh-CN" w:bidi="hi-IN"/>
        </w:rPr>
        <w:t>A solução pretendida também enaltece o princípio da continuidade do serviço público, sendo imprescindível em termos de segurança e operacionalidade, principalmente sem situações de sinistro ou imprevisíveis, a exemplo de calamidades públicas, pandemias.</w:t>
      </w:r>
    </w:p>
    <w:p w14:paraId="217FE3A7"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p>
    <w:p w14:paraId="424D4261" w14:textId="77777777" w:rsidR="00B307DB" w:rsidRPr="00E6193A" w:rsidRDefault="00B307DB" w:rsidP="00B307DB">
      <w:pPr>
        <w:widowControl w:val="0"/>
        <w:tabs>
          <w:tab w:val="left" w:pos="582"/>
          <w:tab w:val="left" w:pos="867"/>
          <w:tab w:val="left" w:pos="1167"/>
          <w:tab w:val="left" w:pos="1422"/>
          <w:tab w:val="left" w:pos="1677"/>
          <w:tab w:val="left" w:pos="1992"/>
          <w:tab w:val="left" w:pos="2247"/>
          <w:tab w:val="left" w:leader="underscore" w:pos="7363"/>
        </w:tabs>
        <w:suppressAutoHyphens/>
        <w:spacing w:after="0" w:line="240" w:lineRule="auto"/>
        <w:ind w:left="27" w:right="-568"/>
        <w:jc w:val="both"/>
        <w:rPr>
          <w:rFonts w:ascii="Times New Roman" w:eastAsia="SimSun" w:hAnsi="Times New Roman" w:cs="Times New Roman"/>
          <w:lang w:eastAsia="zh-CN" w:bidi="hi-IN"/>
        </w:rPr>
      </w:pPr>
    </w:p>
    <w:p w14:paraId="28F84C5F" w14:textId="77777777" w:rsidR="00B307DB" w:rsidRPr="00E6193A" w:rsidRDefault="00B307DB" w:rsidP="00B307DB">
      <w:pPr>
        <w:spacing w:after="0" w:line="240" w:lineRule="auto"/>
        <w:ind w:right="-568"/>
        <w:jc w:val="right"/>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 xml:space="preserve">Riqueza/SC, </w:t>
      </w:r>
      <w:r>
        <w:rPr>
          <w:rFonts w:ascii="Times New Roman" w:eastAsia="Times New Roman" w:hAnsi="Times New Roman" w:cs="Times New Roman"/>
          <w:lang w:eastAsia="pt-BR"/>
        </w:rPr>
        <w:t>11 de novembro</w:t>
      </w:r>
      <w:r w:rsidRPr="00E6193A">
        <w:rPr>
          <w:rFonts w:ascii="Times New Roman" w:eastAsia="Times New Roman" w:hAnsi="Times New Roman" w:cs="Times New Roman"/>
          <w:lang w:eastAsia="pt-BR"/>
        </w:rPr>
        <w:t xml:space="preserve"> de 2024.</w:t>
      </w:r>
    </w:p>
    <w:p w14:paraId="589696C7" w14:textId="77777777" w:rsidR="00B307DB" w:rsidRPr="00E6193A" w:rsidRDefault="00B307DB" w:rsidP="00B307DB">
      <w:pPr>
        <w:spacing w:after="0" w:line="240" w:lineRule="auto"/>
        <w:ind w:right="-568"/>
        <w:jc w:val="center"/>
        <w:rPr>
          <w:rFonts w:ascii="Times New Roman" w:eastAsia="Times New Roman" w:hAnsi="Times New Roman" w:cs="Times New Roman"/>
          <w:b/>
          <w:lang w:eastAsia="pt-BR"/>
        </w:rPr>
      </w:pPr>
    </w:p>
    <w:p w14:paraId="242327F6" w14:textId="77777777" w:rsidR="00B307DB" w:rsidRPr="00E6193A" w:rsidRDefault="00B307DB" w:rsidP="00B307DB">
      <w:pPr>
        <w:spacing w:after="0" w:line="240" w:lineRule="auto"/>
        <w:ind w:right="-568"/>
        <w:jc w:val="center"/>
        <w:rPr>
          <w:rFonts w:ascii="Times New Roman" w:eastAsia="Times New Roman" w:hAnsi="Times New Roman" w:cs="Times New Roman"/>
          <w:b/>
          <w:lang w:eastAsia="pt-BR"/>
        </w:rPr>
      </w:pPr>
    </w:p>
    <w:p w14:paraId="73C0CFC5" w14:textId="77777777" w:rsidR="00B307DB" w:rsidRPr="00E6193A" w:rsidRDefault="00B307DB" w:rsidP="00B307DB">
      <w:pPr>
        <w:spacing w:after="0" w:line="240" w:lineRule="auto"/>
        <w:ind w:right="-568"/>
        <w:jc w:val="center"/>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________________________________</w:t>
      </w:r>
    </w:p>
    <w:p w14:paraId="46EFBCBD" w14:textId="77777777" w:rsidR="00B307DB" w:rsidRPr="00E6193A" w:rsidRDefault="00B307DB" w:rsidP="00B307DB">
      <w:pPr>
        <w:spacing w:after="0" w:line="240" w:lineRule="auto"/>
        <w:ind w:right="-568"/>
        <w:jc w:val="center"/>
        <w:rPr>
          <w:rFonts w:ascii="Times New Roman" w:eastAsia="Times New Roman" w:hAnsi="Times New Roman" w:cs="Times New Roman"/>
          <w:b/>
          <w:lang w:eastAsia="pt-BR"/>
        </w:rPr>
      </w:pPr>
      <w:r w:rsidRPr="00E6193A">
        <w:rPr>
          <w:rFonts w:ascii="Times New Roman" w:eastAsia="Times New Roman" w:hAnsi="Times New Roman" w:cs="Times New Roman"/>
          <w:b/>
          <w:lang w:eastAsia="pt-BR"/>
        </w:rPr>
        <w:t>ADEMAR ANTÔNIO PIGNAT</w:t>
      </w:r>
    </w:p>
    <w:p w14:paraId="76288862" w14:textId="77777777" w:rsidR="00B307DB" w:rsidRPr="00E6193A" w:rsidRDefault="00B307DB" w:rsidP="00B307DB">
      <w:pPr>
        <w:spacing w:after="0" w:line="240" w:lineRule="auto"/>
        <w:ind w:right="-568"/>
        <w:jc w:val="center"/>
        <w:rPr>
          <w:rFonts w:ascii="Times New Roman" w:eastAsia="Times New Roman" w:hAnsi="Times New Roman" w:cs="Times New Roman"/>
          <w:lang w:eastAsia="pt-BR"/>
        </w:rPr>
      </w:pPr>
      <w:r w:rsidRPr="00E6193A">
        <w:rPr>
          <w:rFonts w:ascii="Times New Roman" w:eastAsia="Times New Roman" w:hAnsi="Times New Roman" w:cs="Times New Roman"/>
          <w:lang w:eastAsia="pt-BR"/>
        </w:rPr>
        <w:t>Secretário de Administração e Finanças</w:t>
      </w:r>
    </w:p>
    <w:p w14:paraId="0C04FCC2" w14:textId="77777777" w:rsidR="00B307DB" w:rsidRPr="00E6193A" w:rsidRDefault="00B307DB" w:rsidP="00B307DB">
      <w:pPr>
        <w:spacing w:after="0" w:line="240" w:lineRule="auto"/>
        <w:jc w:val="center"/>
        <w:rPr>
          <w:rFonts w:ascii="Times New Roman" w:eastAsia="Times New Roman" w:hAnsi="Times New Roman" w:cs="Times New Roman"/>
          <w:b/>
          <w:lang w:eastAsia="pt-BR"/>
        </w:rPr>
      </w:pPr>
    </w:p>
    <w:p w14:paraId="36615A58" w14:textId="77777777" w:rsidR="00B307DB" w:rsidRPr="00E6193A" w:rsidRDefault="00B307DB" w:rsidP="00B307DB">
      <w:pPr>
        <w:spacing w:after="0" w:line="240" w:lineRule="auto"/>
        <w:jc w:val="both"/>
        <w:rPr>
          <w:rFonts w:ascii="Times New Roman" w:eastAsia="Times New Roman" w:hAnsi="Times New Roman" w:cs="Times New Roman"/>
          <w:lang w:eastAsia="pt-BR"/>
        </w:rPr>
      </w:pPr>
    </w:p>
    <w:p w14:paraId="4FD3C0D4" w14:textId="77777777" w:rsidR="00B307DB" w:rsidRPr="00B80FEC" w:rsidRDefault="00B307DB" w:rsidP="00B307DB">
      <w:pPr>
        <w:jc w:val="both"/>
      </w:pPr>
    </w:p>
    <w:p w14:paraId="09995D36" w14:textId="77777777" w:rsidR="00B307DB" w:rsidRDefault="00B307DB" w:rsidP="00B307DB">
      <w:pPr>
        <w:pStyle w:val="TextosemFormatao"/>
        <w:ind w:right="-568"/>
        <w:jc w:val="right"/>
        <w:rPr>
          <w:rFonts w:ascii="Times New Roman" w:hAnsi="Times New Roman"/>
          <w:sz w:val="22"/>
          <w:szCs w:val="22"/>
          <w:highlight w:val="yellow"/>
        </w:rPr>
      </w:pPr>
    </w:p>
    <w:p w14:paraId="5B998C13" w14:textId="77777777" w:rsidR="00B307DB" w:rsidRDefault="00B307DB" w:rsidP="00B307DB">
      <w:pPr>
        <w:pStyle w:val="TextosemFormatao"/>
        <w:ind w:right="-568"/>
        <w:jc w:val="right"/>
        <w:rPr>
          <w:rFonts w:ascii="Times New Roman" w:hAnsi="Times New Roman"/>
          <w:sz w:val="22"/>
          <w:szCs w:val="22"/>
          <w:highlight w:val="yellow"/>
        </w:rPr>
      </w:pPr>
    </w:p>
    <w:p w14:paraId="2C9F9C3B" w14:textId="77777777" w:rsidR="00B307DB" w:rsidRDefault="00B307DB" w:rsidP="00B307DB">
      <w:pPr>
        <w:pStyle w:val="TextosemFormatao"/>
        <w:ind w:right="-568"/>
        <w:jc w:val="right"/>
        <w:rPr>
          <w:rFonts w:ascii="Times New Roman" w:hAnsi="Times New Roman"/>
          <w:sz w:val="22"/>
          <w:szCs w:val="22"/>
          <w:highlight w:val="yellow"/>
        </w:rPr>
      </w:pPr>
    </w:p>
    <w:p w14:paraId="0239496C" w14:textId="77777777" w:rsidR="00B307DB" w:rsidRDefault="00B307DB" w:rsidP="00B307DB">
      <w:pPr>
        <w:pStyle w:val="TextosemFormatao"/>
        <w:ind w:right="-568"/>
        <w:jc w:val="right"/>
        <w:rPr>
          <w:rFonts w:ascii="Times New Roman" w:hAnsi="Times New Roman"/>
          <w:sz w:val="22"/>
          <w:szCs w:val="22"/>
          <w:highlight w:val="yellow"/>
        </w:rPr>
      </w:pPr>
    </w:p>
    <w:p w14:paraId="6AC25A5F" w14:textId="77777777" w:rsidR="00B307DB" w:rsidRDefault="00B307DB" w:rsidP="00B307DB">
      <w:pPr>
        <w:pStyle w:val="TextosemFormatao"/>
        <w:ind w:right="-568"/>
        <w:jc w:val="right"/>
        <w:rPr>
          <w:rFonts w:ascii="Times New Roman" w:hAnsi="Times New Roman"/>
          <w:sz w:val="22"/>
          <w:szCs w:val="22"/>
          <w:highlight w:val="yellow"/>
        </w:rPr>
      </w:pPr>
    </w:p>
    <w:p w14:paraId="3D11D9D0" w14:textId="77777777" w:rsidR="00B307DB" w:rsidRDefault="00B307DB" w:rsidP="00B307DB">
      <w:pPr>
        <w:pStyle w:val="TextosemFormatao"/>
        <w:ind w:right="-568"/>
        <w:jc w:val="right"/>
        <w:rPr>
          <w:rFonts w:ascii="Times New Roman" w:hAnsi="Times New Roman"/>
          <w:sz w:val="22"/>
          <w:szCs w:val="22"/>
          <w:highlight w:val="yellow"/>
        </w:rPr>
      </w:pPr>
    </w:p>
    <w:p w14:paraId="70DDCF3C" w14:textId="77777777" w:rsidR="00B307DB" w:rsidRDefault="00B307DB" w:rsidP="00B307DB">
      <w:pPr>
        <w:pStyle w:val="TextosemFormatao"/>
        <w:ind w:right="-568"/>
        <w:jc w:val="right"/>
        <w:rPr>
          <w:rFonts w:ascii="Times New Roman" w:hAnsi="Times New Roman"/>
          <w:sz w:val="22"/>
          <w:szCs w:val="22"/>
          <w:highlight w:val="yellow"/>
        </w:rPr>
      </w:pPr>
    </w:p>
    <w:p w14:paraId="0864265D" w14:textId="77777777" w:rsidR="00B307DB" w:rsidRDefault="00B307DB" w:rsidP="00B307DB">
      <w:pPr>
        <w:pStyle w:val="TextosemFormatao"/>
        <w:ind w:right="-568"/>
        <w:jc w:val="right"/>
        <w:rPr>
          <w:rFonts w:ascii="Times New Roman" w:hAnsi="Times New Roman"/>
          <w:sz w:val="22"/>
          <w:szCs w:val="22"/>
          <w:highlight w:val="yellow"/>
        </w:rPr>
      </w:pPr>
    </w:p>
    <w:p w14:paraId="0520711D" w14:textId="77777777" w:rsidR="00B307DB" w:rsidRDefault="00B307DB" w:rsidP="00B307DB">
      <w:pPr>
        <w:pStyle w:val="TextosemFormatao"/>
        <w:ind w:right="-568"/>
        <w:jc w:val="right"/>
        <w:rPr>
          <w:rFonts w:ascii="Times New Roman" w:hAnsi="Times New Roman"/>
          <w:sz w:val="22"/>
          <w:szCs w:val="22"/>
          <w:highlight w:val="yellow"/>
        </w:rPr>
      </w:pPr>
    </w:p>
    <w:p w14:paraId="48A02945" w14:textId="77777777" w:rsidR="00B307DB" w:rsidRDefault="00B307DB" w:rsidP="00B307DB">
      <w:pPr>
        <w:pStyle w:val="TextosemFormatao"/>
        <w:ind w:right="-568"/>
        <w:jc w:val="right"/>
        <w:rPr>
          <w:rFonts w:ascii="Times New Roman" w:hAnsi="Times New Roman"/>
          <w:sz w:val="22"/>
          <w:szCs w:val="22"/>
          <w:highlight w:val="yellow"/>
        </w:rPr>
      </w:pPr>
    </w:p>
    <w:p w14:paraId="435C1DB3" w14:textId="77777777" w:rsidR="00B307DB" w:rsidRDefault="00B307DB" w:rsidP="00B307DB">
      <w:pPr>
        <w:pStyle w:val="TextosemFormatao"/>
        <w:ind w:right="-568"/>
        <w:jc w:val="right"/>
        <w:rPr>
          <w:rFonts w:ascii="Times New Roman" w:hAnsi="Times New Roman"/>
          <w:sz w:val="22"/>
          <w:szCs w:val="22"/>
          <w:highlight w:val="yellow"/>
        </w:rPr>
      </w:pPr>
    </w:p>
    <w:p w14:paraId="3FEC2981" w14:textId="77777777" w:rsidR="00B307DB" w:rsidRDefault="00B307DB" w:rsidP="00B307DB">
      <w:pPr>
        <w:pStyle w:val="TextosemFormatao"/>
        <w:ind w:right="-568"/>
        <w:jc w:val="right"/>
        <w:rPr>
          <w:rFonts w:ascii="Times New Roman" w:hAnsi="Times New Roman"/>
          <w:sz w:val="22"/>
          <w:szCs w:val="22"/>
          <w:highlight w:val="yellow"/>
        </w:rPr>
      </w:pPr>
    </w:p>
    <w:p w14:paraId="62010CA8" w14:textId="77777777" w:rsidR="00B307DB" w:rsidRDefault="00B307DB" w:rsidP="00B307DB">
      <w:pPr>
        <w:pStyle w:val="TextosemFormatao"/>
        <w:ind w:right="-568"/>
        <w:jc w:val="right"/>
        <w:rPr>
          <w:rFonts w:ascii="Times New Roman" w:hAnsi="Times New Roman"/>
          <w:sz w:val="22"/>
          <w:szCs w:val="22"/>
          <w:highlight w:val="yellow"/>
        </w:rPr>
      </w:pPr>
    </w:p>
    <w:p w14:paraId="5D4F7E38" w14:textId="77777777" w:rsidR="00B307DB" w:rsidRDefault="00B307DB" w:rsidP="00B307DB">
      <w:pPr>
        <w:pStyle w:val="TextosemFormatao"/>
        <w:ind w:right="-568"/>
        <w:jc w:val="right"/>
        <w:rPr>
          <w:rFonts w:ascii="Times New Roman" w:hAnsi="Times New Roman"/>
          <w:sz w:val="22"/>
          <w:szCs w:val="22"/>
          <w:highlight w:val="yellow"/>
        </w:rPr>
      </w:pPr>
    </w:p>
    <w:p w14:paraId="4DAA077B" w14:textId="77777777" w:rsidR="00B307DB" w:rsidRDefault="00B307DB" w:rsidP="00B307DB">
      <w:pPr>
        <w:pStyle w:val="TextosemFormatao"/>
        <w:ind w:right="-568"/>
        <w:jc w:val="right"/>
        <w:rPr>
          <w:rFonts w:ascii="Times New Roman" w:hAnsi="Times New Roman"/>
          <w:sz w:val="22"/>
          <w:szCs w:val="22"/>
          <w:highlight w:val="yellow"/>
        </w:rPr>
      </w:pPr>
    </w:p>
    <w:p w14:paraId="0EEDCB0F" w14:textId="77777777" w:rsidR="00B307DB" w:rsidRDefault="00B307DB" w:rsidP="00B307DB">
      <w:pPr>
        <w:pStyle w:val="TextosemFormatao"/>
        <w:ind w:right="-568"/>
        <w:jc w:val="right"/>
        <w:rPr>
          <w:rFonts w:ascii="Times New Roman" w:hAnsi="Times New Roman"/>
          <w:sz w:val="22"/>
          <w:szCs w:val="22"/>
          <w:highlight w:val="yellow"/>
        </w:rPr>
      </w:pPr>
    </w:p>
    <w:p w14:paraId="5393BBF7" w14:textId="77777777" w:rsidR="00B307DB" w:rsidRDefault="00B307DB" w:rsidP="00B307DB">
      <w:pPr>
        <w:pStyle w:val="TextosemFormatao"/>
        <w:ind w:right="-568"/>
        <w:jc w:val="right"/>
        <w:rPr>
          <w:rFonts w:ascii="Times New Roman" w:hAnsi="Times New Roman"/>
          <w:sz w:val="22"/>
          <w:szCs w:val="22"/>
          <w:highlight w:val="yellow"/>
        </w:rPr>
      </w:pPr>
    </w:p>
    <w:p w14:paraId="659ED170" w14:textId="77777777" w:rsidR="00B307DB" w:rsidRDefault="00B307DB" w:rsidP="00B307DB">
      <w:pPr>
        <w:pStyle w:val="TextosemFormatao"/>
        <w:ind w:right="-568"/>
        <w:jc w:val="right"/>
        <w:rPr>
          <w:rFonts w:ascii="Times New Roman" w:hAnsi="Times New Roman"/>
          <w:sz w:val="22"/>
          <w:szCs w:val="22"/>
          <w:highlight w:val="yellow"/>
        </w:rPr>
      </w:pPr>
    </w:p>
    <w:p w14:paraId="18D5A64F" w14:textId="77777777" w:rsidR="00B307DB" w:rsidRDefault="00B307DB" w:rsidP="00B307DB">
      <w:pPr>
        <w:pStyle w:val="TextosemFormatao"/>
        <w:ind w:right="-568"/>
        <w:jc w:val="right"/>
        <w:rPr>
          <w:rFonts w:ascii="Times New Roman" w:hAnsi="Times New Roman"/>
          <w:sz w:val="22"/>
          <w:szCs w:val="22"/>
          <w:highlight w:val="yellow"/>
        </w:rPr>
      </w:pPr>
    </w:p>
    <w:p w14:paraId="5759D866" w14:textId="77777777" w:rsidR="00B307DB" w:rsidRDefault="00B307DB" w:rsidP="00B307DB">
      <w:pPr>
        <w:pStyle w:val="TextosemFormatao"/>
        <w:ind w:right="-568"/>
        <w:jc w:val="right"/>
        <w:rPr>
          <w:rFonts w:ascii="Times New Roman" w:hAnsi="Times New Roman"/>
          <w:sz w:val="22"/>
          <w:szCs w:val="22"/>
          <w:highlight w:val="yellow"/>
        </w:rPr>
      </w:pPr>
    </w:p>
    <w:p w14:paraId="2CCFA7A2" w14:textId="77777777" w:rsidR="00B307DB" w:rsidRDefault="00B307DB" w:rsidP="00B307DB">
      <w:pPr>
        <w:pStyle w:val="TextosemFormatao"/>
        <w:ind w:right="-568"/>
        <w:jc w:val="right"/>
        <w:rPr>
          <w:rFonts w:ascii="Times New Roman" w:hAnsi="Times New Roman"/>
          <w:sz w:val="22"/>
          <w:szCs w:val="22"/>
          <w:highlight w:val="yellow"/>
        </w:rPr>
      </w:pPr>
    </w:p>
    <w:p w14:paraId="355EBEE1" w14:textId="77777777" w:rsidR="00B307DB" w:rsidRDefault="00B307DB" w:rsidP="00B307DB">
      <w:pPr>
        <w:pStyle w:val="TextosemFormatao"/>
        <w:ind w:right="-568"/>
        <w:jc w:val="right"/>
        <w:rPr>
          <w:rFonts w:ascii="Times New Roman" w:hAnsi="Times New Roman"/>
          <w:sz w:val="22"/>
          <w:szCs w:val="22"/>
          <w:highlight w:val="yellow"/>
        </w:rPr>
      </w:pPr>
    </w:p>
    <w:p w14:paraId="7EAA6C8A" w14:textId="77777777" w:rsidR="00B307DB" w:rsidRPr="00B84389" w:rsidRDefault="00B307DB" w:rsidP="00B307DB">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B84389">
        <w:rPr>
          <w:rFonts w:ascii="Times New Roman" w:hAnsi="Times New Roman" w:cs="Times New Roman"/>
          <w:b/>
        </w:rPr>
        <w:t xml:space="preserve">PROCESSO LICITATÓRIO Nº </w:t>
      </w:r>
      <w:r>
        <w:rPr>
          <w:rFonts w:ascii="Times New Roman" w:hAnsi="Times New Roman" w:cs="Times New Roman"/>
          <w:b/>
        </w:rPr>
        <w:t>965/2024</w:t>
      </w:r>
      <w:r w:rsidRPr="00B84389">
        <w:rPr>
          <w:rFonts w:ascii="Times New Roman" w:hAnsi="Times New Roman" w:cs="Times New Roman"/>
          <w:b/>
        </w:rPr>
        <w:t xml:space="preserve"> </w:t>
      </w:r>
    </w:p>
    <w:p w14:paraId="6B12EB62" w14:textId="77777777" w:rsidR="00B307DB" w:rsidRPr="00B84389" w:rsidRDefault="00B307DB" w:rsidP="00B307DB">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B84389">
        <w:rPr>
          <w:rFonts w:ascii="Times New Roman" w:hAnsi="Times New Roman" w:cs="Times New Roman"/>
          <w:b/>
        </w:rPr>
        <w:t xml:space="preserve">PREGÃO ELETRÔNICO Nº </w:t>
      </w:r>
      <w:r>
        <w:rPr>
          <w:rFonts w:ascii="Times New Roman" w:hAnsi="Times New Roman" w:cs="Times New Roman"/>
          <w:b/>
        </w:rPr>
        <w:t>36/2024</w:t>
      </w:r>
      <w:r w:rsidRPr="00B84389">
        <w:rPr>
          <w:rFonts w:ascii="Times New Roman" w:hAnsi="Times New Roman" w:cs="Times New Roman"/>
          <w:b/>
        </w:rPr>
        <w:t xml:space="preserve"> </w:t>
      </w:r>
    </w:p>
    <w:p w14:paraId="4FDCF52E" w14:textId="77777777" w:rsidR="00B307DB" w:rsidRPr="00B84389" w:rsidRDefault="00B307DB" w:rsidP="00B307DB">
      <w:pPr>
        <w:spacing w:after="0" w:line="240" w:lineRule="auto"/>
        <w:ind w:right="-568"/>
        <w:jc w:val="both"/>
        <w:rPr>
          <w:rFonts w:ascii="Times New Roman" w:hAnsi="Times New Roman" w:cs="Times New Roman"/>
        </w:rPr>
      </w:pPr>
    </w:p>
    <w:p w14:paraId="6AB6B2CF" w14:textId="77777777" w:rsidR="00B307DB" w:rsidRPr="00B84389" w:rsidRDefault="00B307DB" w:rsidP="00B307DB">
      <w:pPr>
        <w:pStyle w:val="Ttulo1"/>
        <w:shd w:val="clear" w:color="auto" w:fill="BFBFBF" w:themeFill="background1" w:themeFillShade="BF"/>
        <w:spacing w:before="0" w:line="240" w:lineRule="auto"/>
        <w:ind w:right="-568"/>
        <w:jc w:val="center"/>
        <w:rPr>
          <w:rFonts w:ascii="Times New Roman" w:hAnsi="Times New Roman" w:cs="Times New Roman"/>
          <w:sz w:val="22"/>
          <w:szCs w:val="22"/>
        </w:rPr>
      </w:pPr>
      <w:r w:rsidRPr="00B84389">
        <w:rPr>
          <w:rFonts w:ascii="Times New Roman" w:hAnsi="Times New Roman" w:cs="Times New Roman"/>
          <w:sz w:val="22"/>
          <w:szCs w:val="22"/>
          <w:shd w:val="clear" w:color="auto" w:fill="BFBFBF" w:themeFill="background1" w:themeFillShade="BF"/>
        </w:rPr>
        <w:t xml:space="preserve">ANEXO II – TERMO DE REFERÊNCIA </w:t>
      </w:r>
      <w:r>
        <w:rPr>
          <w:rFonts w:ascii="Times New Roman" w:hAnsi="Times New Roman" w:cs="Times New Roman"/>
          <w:sz w:val="22"/>
          <w:szCs w:val="22"/>
          <w:shd w:val="clear" w:color="auto" w:fill="BFBFBF" w:themeFill="background1" w:themeFillShade="BF"/>
        </w:rPr>
        <w:t>38/2024</w:t>
      </w:r>
    </w:p>
    <w:p w14:paraId="7DF6ABE0" w14:textId="77777777" w:rsidR="00B307DB" w:rsidRDefault="00D52F36" w:rsidP="00B307DB">
      <w:pPr>
        <w:shd w:val="clear" w:color="auto" w:fill="BFBFBF" w:themeFill="background1" w:themeFillShade="BF"/>
        <w:spacing w:after="0" w:line="240" w:lineRule="auto"/>
        <w:ind w:right="-568"/>
        <w:jc w:val="center"/>
        <w:rPr>
          <w:rStyle w:val="Hyperlink"/>
          <w:rFonts w:ascii="Times New Roman" w:hAnsi="Times New Roman" w:cs="Times New Roman"/>
        </w:rPr>
      </w:pPr>
      <w:hyperlink r:id="rId265" w:history="1">
        <w:r w:rsidR="00B307DB" w:rsidRPr="00B84389">
          <w:rPr>
            <w:rStyle w:val="Hyperlink"/>
            <w:rFonts w:ascii="Times New Roman" w:hAnsi="Times New Roman" w:cs="Times New Roman"/>
          </w:rPr>
          <w:t>Lei Federal nº 14.133/2021</w:t>
        </w:r>
      </w:hyperlink>
      <w:r w:rsidR="00B307DB" w:rsidRPr="00B84389">
        <w:rPr>
          <w:rFonts w:ascii="Times New Roman" w:hAnsi="Times New Roman" w:cs="Times New Roman"/>
        </w:rPr>
        <w:t xml:space="preserve">: </w:t>
      </w:r>
      <w:hyperlink r:id="rId266" w:anchor="art6xxiii" w:history="1">
        <w:r w:rsidR="00B307DB" w:rsidRPr="00B84389">
          <w:rPr>
            <w:rStyle w:val="Hyperlink"/>
            <w:rFonts w:ascii="Times New Roman" w:hAnsi="Times New Roman" w:cs="Times New Roman"/>
          </w:rPr>
          <w:t>art. 6º, XXIII</w:t>
        </w:r>
      </w:hyperlink>
      <w:r w:rsidR="00B307DB" w:rsidRPr="00B84389">
        <w:rPr>
          <w:rFonts w:ascii="Times New Roman" w:hAnsi="Times New Roman" w:cs="Times New Roman"/>
        </w:rPr>
        <w:t xml:space="preserve"> c/c </w:t>
      </w:r>
      <w:hyperlink r:id="rId267" w:anchor="art40%C2%A71" w:history="1">
        <w:r w:rsidR="00B307DB" w:rsidRPr="00B84389">
          <w:rPr>
            <w:rStyle w:val="Hyperlink"/>
            <w:rFonts w:ascii="Times New Roman" w:hAnsi="Times New Roman" w:cs="Times New Roman"/>
          </w:rPr>
          <w:t>art. 40, § 1º</w:t>
        </w:r>
      </w:hyperlink>
    </w:p>
    <w:p w14:paraId="7B2CBA2A" w14:textId="77777777" w:rsidR="00B307DB" w:rsidRPr="00B84389" w:rsidRDefault="00B307DB" w:rsidP="00B307DB">
      <w:pPr>
        <w:spacing w:after="0" w:line="240" w:lineRule="auto"/>
        <w:ind w:right="-568"/>
        <w:jc w:val="center"/>
        <w:rPr>
          <w:rStyle w:val="Hyperlink"/>
          <w:rFonts w:ascii="Times New Roman" w:hAnsi="Times New Roman" w:cs="Times New Roman"/>
        </w:rPr>
      </w:pPr>
    </w:p>
    <w:p w14:paraId="7DEEDEF5" w14:textId="77777777" w:rsidR="00B307DB" w:rsidRPr="00B84389" w:rsidRDefault="00B307DB" w:rsidP="00B307DB">
      <w:pPr>
        <w:spacing w:after="0" w:line="240" w:lineRule="auto"/>
        <w:ind w:right="-568"/>
        <w:jc w:val="both"/>
        <w:rPr>
          <w:rFonts w:ascii="Times New Roman" w:hAnsi="Times New Roman" w:cs="Times New Roman"/>
          <w:b/>
        </w:rPr>
      </w:pPr>
      <w:r w:rsidRPr="004F738C">
        <w:rPr>
          <w:rStyle w:val="Hyperlink"/>
          <w:rFonts w:ascii="Times New Roman" w:hAnsi="Times New Roman" w:cs="Times New Roman"/>
          <w:b/>
          <w:color w:val="000000" w:themeColor="text1"/>
          <w:u w:val="none"/>
        </w:rPr>
        <w:t xml:space="preserve">1 </w:t>
      </w:r>
      <w:r w:rsidRPr="004F738C">
        <w:rPr>
          <w:rFonts w:ascii="Times New Roman" w:hAnsi="Times New Roman" w:cs="Times New Roman"/>
          <w:b/>
        </w:rPr>
        <w:t>D</w:t>
      </w:r>
      <w:r w:rsidRPr="00B84389">
        <w:rPr>
          <w:rFonts w:ascii="Times New Roman" w:hAnsi="Times New Roman" w:cs="Times New Roman"/>
          <w:b/>
        </w:rPr>
        <w:t>efinição do objeto, incluídos sua natureza, os quantitativos, o prazo do contrato e, se for o caso, a possibilidade de sua prorrogação.</w:t>
      </w:r>
    </w:p>
    <w:p w14:paraId="4FEC4707" w14:textId="77777777" w:rsidR="00B307DB" w:rsidRPr="00EA3C53" w:rsidRDefault="00B307DB" w:rsidP="00B307DB">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B84389">
        <w:rPr>
          <w:rFonts w:ascii="Times New Roman" w:hAnsi="Times New Roman" w:cs="Times New Roman"/>
          <w:b/>
        </w:rPr>
        <w:t xml:space="preserve">1.1 </w:t>
      </w:r>
      <w:r w:rsidRPr="00B84389">
        <w:rPr>
          <w:rFonts w:ascii="Times New Roman" w:hAnsi="Times New Roman" w:cs="Times New Roman"/>
          <w:bCs/>
        </w:rPr>
        <w:t>O presente termo de referência tem como o objeto</w:t>
      </w:r>
      <w:r w:rsidRPr="00B84389">
        <w:rPr>
          <w:rFonts w:ascii="Times New Roman" w:hAnsi="Times New Roman" w:cs="Times New Roman"/>
        </w:rPr>
        <w:t xml:space="preserve"> a </w:t>
      </w:r>
      <w:r w:rsidRPr="00A7489C">
        <w:rPr>
          <w:rFonts w:ascii="Times New Roman" w:eastAsia="Times New Roman" w:hAnsi="Times New Roman" w:cs="Times New Roman"/>
          <w:color w:val="000000"/>
          <w:lang w:eastAsia="pt-BR"/>
        </w:rPr>
        <w:t xml:space="preserve">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w:t>
      </w:r>
      <w:r w:rsidRPr="00593E2B">
        <w:rPr>
          <w:rFonts w:ascii="Times New Roman" w:eastAsia="Times New Roman" w:hAnsi="Times New Roman" w:cs="Times New Roman"/>
          <w:color w:val="000000"/>
          <w:lang w:eastAsia="pt-BR"/>
        </w:rPr>
        <w:t>atendimento das necessidades da administração municipal e do Poder</w:t>
      </w:r>
      <w:r w:rsidRPr="00593E2B">
        <w:rPr>
          <w:rStyle w:val="Refdecomentrio"/>
        </w:rPr>
        <w:t xml:space="preserve"> </w:t>
      </w:r>
      <w:r w:rsidRPr="00593E2B">
        <w:rPr>
          <w:rStyle w:val="Refdecomentrio"/>
          <w:rFonts w:ascii="Times New Roman" w:hAnsi="Times New Roman" w:cs="Times New Roman"/>
          <w:sz w:val="22"/>
          <w:szCs w:val="22"/>
        </w:rPr>
        <w:t>Legislativo</w:t>
      </w:r>
      <w:r w:rsidRPr="00593E2B">
        <w:rPr>
          <w:rFonts w:eastAsia="Times New Roman"/>
          <w:color w:val="000000"/>
          <w:lang w:eastAsia="pt-BR"/>
        </w:rPr>
        <w:t>,</w:t>
      </w:r>
      <w:r>
        <w:rPr>
          <w:rFonts w:eastAsia="Times New Roman"/>
          <w:color w:val="000000"/>
          <w:lang w:eastAsia="pt-BR"/>
        </w:rPr>
        <w:t xml:space="preserve"> </w:t>
      </w:r>
      <w:r w:rsidRPr="00A7489C">
        <w:rPr>
          <w:rFonts w:ascii="Times New Roman" w:eastAsia="Times New Roman" w:hAnsi="Times New Roman" w:cs="Times New Roman"/>
          <w:color w:val="000000"/>
          <w:lang w:eastAsia="pt-BR"/>
        </w:rPr>
        <w:t>conforme</w:t>
      </w:r>
      <w:r w:rsidRPr="0045578A">
        <w:rPr>
          <w:rFonts w:ascii="Times New Roman" w:eastAsia="Times New Roman" w:hAnsi="Times New Roman" w:cs="Times New Roman"/>
          <w:color w:val="000000"/>
          <w:lang w:eastAsia="pt-BR"/>
        </w:rPr>
        <w:t xml:space="preserve"> especificações constantes no edital e seus anexos</w:t>
      </w:r>
      <w:r>
        <w:rPr>
          <w:rFonts w:ascii="Times New Roman" w:eastAsia="Times New Roman" w:hAnsi="Times New Roman" w:cs="Times New Roman"/>
          <w:color w:val="000000"/>
          <w:lang w:eastAsia="pt-BR"/>
        </w:rPr>
        <w:t>.</w:t>
      </w:r>
    </w:p>
    <w:p w14:paraId="366DB248"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1.2</w:t>
      </w:r>
      <w:r w:rsidRPr="00B84389">
        <w:rPr>
          <w:rFonts w:ascii="Times New Roman" w:hAnsi="Times New Roman" w:cs="Times New Roman"/>
          <w:bCs/>
        </w:rPr>
        <w:t xml:space="preserve"> </w:t>
      </w:r>
      <w:r w:rsidRPr="00B84389">
        <w:rPr>
          <w:rFonts w:ascii="Times New Roman" w:hAnsi="Times New Roman" w:cs="Times New Roman"/>
        </w:rPr>
        <w:t xml:space="preserve">O CONTRATO terá vigência de 12 (doze) meses, contados a partir da data de assinatura ou emissão da ordem de início de serviço, </w:t>
      </w:r>
      <w:r w:rsidRPr="00B84389">
        <w:rPr>
          <w:rFonts w:ascii="Times New Roman" w:hAnsi="Times New Roman" w:cs="Times New Roman"/>
          <w:bCs/>
        </w:rPr>
        <w:t>podendo ser prorrogado nos termos dos artigos 106 e 107 da Lei 14.133, de 2021</w:t>
      </w:r>
      <w:r w:rsidRPr="00B84389">
        <w:rPr>
          <w:rFonts w:ascii="Times New Roman" w:hAnsi="Times New Roman" w:cs="Times New Roman"/>
        </w:rPr>
        <w:t>, a critério da CONTRATANTE e da CONTRATADA, para programas de computador (softwares) bem como a análise anual e requisitos previstos nos seus incisos, inclusive quanto a vantajosidade, oportunidade e conveniência.</w:t>
      </w:r>
      <w:r w:rsidRPr="00B84389">
        <w:rPr>
          <w:rFonts w:ascii="Times New Roman" w:hAnsi="Times New Roman" w:cs="Times New Roman"/>
          <w:bCs/>
        </w:rPr>
        <w:t xml:space="preserve"> </w:t>
      </w:r>
    </w:p>
    <w:p w14:paraId="295D4CB9" w14:textId="77777777" w:rsidR="00B307DB" w:rsidRPr="00B84389" w:rsidRDefault="00B307DB" w:rsidP="00B307DB">
      <w:pPr>
        <w:spacing w:after="0" w:line="240" w:lineRule="auto"/>
        <w:ind w:left="-5" w:right="-568"/>
        <w:jc w:val="both"/>
        <w:rPr>
          <w:rFonts w:ascii="Times New Roman" w:hAnsi="Times New Roman" w:cs="Times New Roman"/>
          <w:bCs/>
        </w:rPr>
      </w:pPr>
      <w:r w:rsidRPr="00B84389">
        <w:rPr>
          <w:rFonts w:ascii="Times New Roman" w:hAnsi="Times New Roman" w:cs="Times New Roman"/>
          <w:b/>
          <w:bCs/>
        </w:rPr>
        <w:t>1.3</w:t>
      </w:r>
      <w:r w:rsidRPr="00B84389">
        <w:rPr>
          <w:rFonts w:ascii="Times New Roman" w:hAnsi="Times New Roman" w:cs="Times New Roman"/>
          <w:bCs/>
        </w:rPr>
        <w:t xml:space="preserve"> Os preços inicialmente contratados são fixos e irreajustáveis no prazo de um ano contado da data da apresentação das propostas.</w:t>
      </w:r>
    </w:p>
    <w:p w14:paraId="7B552381" w14:textId="77777777" w:rsidR="00B307DB" w:rsidRPr="00B84389" w:rsidRDefault="00B307DB" w:rsidP="00B307DB">
      <w:pPr>
        <w:spacing w:after="0" w:line="240" w:lineRule="auto"/>
        <w:ind w:left="-5" w:right="-568"/>
        <w:jc w:val="both"/>
        <w:rPr>
          <w:rFonts w:ascii="Times New Roman" w:hAnsi="Times New Roman" w:cs="Times New Roman"/>
          <w:bCs/>
        </w:rPr>
      </w:pPr>
      <w:r w:rsidRPr="00B84389">
        <w:rPr>
          <w:rFonts w:ascii="Times New Roman" w:hAnsi="Times New Roman" w:cs="Times New Roman"/>
          <w:b/>
          <w:bCs/>
        </w:rPr>
        <w:t>1.4</w:t>
      </w:r>
      <w:r w:rsidRPr="00B84389">
        <w:rPr>
          <w:rFonts w:ascii="Times New Roman" w:hAnsi="Times New Roman" w:cs="Times New Roman"/>
          <w:bCs/>
        </w:rPr>
        <w:t xml:space="preserve"> Em caso de prorrogação do contrato, os preços serão reajustados anualmente (de doze em doze meses), de acordo com o índice acumulado (últimos doze meses) os valores serão atualizados monetariamente pelo IPCA-E do período, ou outro índice que vier a substitui-lo, em caso de sua extinção.</w:t>
      </w:r>
    </w:p>
    <w:p w14:paraId="0C4004F3"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shd w:val="clear" w:color="auto" w:fill="FFFFFF"/>
        </w:rPr>
        <w:t>O</w:t>
      </w:r>
      <w:r w:rsidRPr="00B84389">
        <w:rPr>
          <w:rFonts w:cs="Times New Roman"/>
          <w:color w:val="191919"/>
          <w:sz w:val="22"/>
          <w:szCs w:val="22"/>
        </w:rPr>
        <w:t xml:space="preserve"> ERP é um tipo de sistema (conjunto de softwares aplicativos) que ajudará o Município na organização dos serviços administrativos, a automatizar e gerenciar os principais processos para obter o melhor desempenho da entidade. O software de ERP coordenará o fluxo de dados entre os processos administrativos, fornecendo uma única fonte de verdade e simplificando as operações. Ele deverá ser capaz de vincular todas as atividades de gestão administrativa, fiscal e orçamentária, tributação, planejamento, fornecedores, recursos humanos, compras, operações, relatórios, transparência pública, serviços ao cidadão entre outros em uma única plataforma.</w:t>
      </w:r>
    </w:p>
    <w:p w14:paraId="0F0AA623"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color w:val="052229"/>
          <w:sz w:val="22"/>
          <w:szCs w:val="22"/>
        </w:rPr>
        <w:t>Agenda 2030 da ONU, cujo 16º Objetivo do Desenvolvimento Sustentável é construir instituições eficazes, responsáveis e inclusivas em todos os níveis até o ano de 2030, sendo o presente feito atingido pela dinamização de ordens para prover a eficácia necessária aos atos administrativos e de práticas da boa gestão na administração pública, e promoção da cidadania através da ampliação de recursos de acesso à informação e aos serviços públicos, bem como de segurança dos dados e sua alta disponibilidade.</w:t>
      </w:r>
    </w:p>
    <w:p w14:paraId="2694479C"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shd w:val="clear" w:color="auto" w:fill="FFFFFF"/>
        </w:rPr>
        <w:t xml:space="preserve">O </w:t>
      </w:r>
      <w:r w:rsidRPr="00B84389">
        <w:rPr>
          <w:rFonts w:cs="Times New Roman"/>
          <w:color w:val="111111"/>
          <w:sz w:val="22"/>
          <w:szCs w:val="22"/>
        </w:rPr>
        <w:t>sistema ERP deve ser projetado para permitir que as informações estejam centralizadas em um único lugar, facilitando o acesso e a análise dos dados pelos gestores públicos e o uso eficiente e responsável do erário público.</w:t>
      </w:r>
    </w:p>
    <w:p w14:paraId="218BFCAC"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color w:val="111111"/>
          <w:sz w:val="22"/>
          <w:szCs w:val="22"/>
        </w:rPr>
        <w:t>O uso de sistema de ERP deve trazer eficiência para a gestão pública, permitindo a integração de dados e processos, uma tomada de decisão mais rápida e precisa, maior transparência, melhoria na qualidade dos serviços públicos e redução de custos. Além disso, o sistema ERP deve permitir a automatização de processos, acompanhamento de fluxos (workflow), reduzindo a incidência de erros e aumentando a produtividade das equipes. Com a automatização, tarefas repetitivas deverão ser realizadas com mais rapidez e eficiência.</w:t>
      </w:r>
    </w:p>
    <w:p w14:paraId="12691386"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color w:val="111111"/>
          <w:sz w:val="22"/>
          <w:szCs w:val="22"/>
        </w:rPr>
        <w:t>Portanto, a agregação dos módulos para diversas áreas e serviços, é justamente a espinha dorsal da implementação do sistema de gestão pública integrado (ERP).</w:t>
      </w:r>
    </w:p>
    <w:p w14:paraId="641EC8A1"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rPr>
        <w:t xml:space="preserve">Por se tratar de </w:t>
      </w:r>
      <w:r w:rsidRPr="00B84389">
        <w:rPr>
          <w:rFonts w:cs="Times New Roman"/>
          <w:b/>
          <w:sz w:val="22"/>
          <w:szCs w:val="22"/>
        </w:rPr>
        <w:t xml:space="preserve">SISTEMA ERP WEB DE GESTÃO PÚBLICA MUNICIPAL, EM NUVEM, </w:t>
      </w:r>
      <w:r w:rsidRPr="00B84389">
        <w:rPr>
          <w:rFonts w:cs="Times New Roman"/>
          <w:bCs/>
          <w:sz w:val="22"/>
          <w:szCs w:val="22"/>
        </w:rPr>
        <w:t>o</w:t>
      </w:r>
      <w:r w:rsidRPr="00B84389">
        <w:rPr>
          <w:rFonts w:cs="Times New Roman"/>
          <w:sz w:val="22"/>
          <w:szCs w:val="22"/>
        </w:rPr>
        <w:t xml:space="preserve"> objeto ofertado deverá ser apresentado como única solução web ou em módulos web totalmente integrados que garantam suas funcionalidades, performance, confiabilidade, atualização de dados em tempo real, para todas as aplicações, bem como em atendimento ao art. 48, § 1º, inciso II da Lei nº 101/2000, integrando-se também as demais entidades no âmbito de atuação em sua atividade administrativa.</w:t>
      </w:r>
    </w:p>
    <w:p w14:paraId="0C03B73C"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rPr>
        <w:lastRenderedPageBreak/>
        <w:t>Todos os softwares devem ser disponibilizados para acesso por meio de conexão com a internet, em qualquer lugar e em qualquer momento (característica de ser web), sem que nenhum software precise ser baixado ou instalado na estação cliente (característica de ser em nuvem), operáveis através dos principais navegadores (padrão de mercado), nas seguintes versões: Internet Explorer (versão 11 ou superior), Firefox (versão 70 ou superior), Chrome (versão 70 ou superior), Microsoft Edge (versão 80 ou superior) e Safari (versão 10 ou superior). Os aplicativos específicos para tabletes e smartphones, devem estar disponíveis para no mínimo as plataformas Android e iOS, nas respectivas stores oficiais dos fabricantes (Google Play e Apple Store).</w:t>
      </w:r>
    </w:p>
    <w:p w14:paraId="05993E1C"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rPr>
        <w:t>As atualizações, assim que executadas deverão surtir efeito imediato em todas as estações de trabalho da CONTRATANTE. Excetua-se aqui arquivos da camada front-end em cache no navegador, que poderão ser atualizados com regras específicas.</w:t>
      </w:r>
    </w:p>
    <w:p w14:paraId="62F06C52"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bCs/>
          <w:sz w:val="22"/>
          <w:szCs w:val="22"/>
        </w:rPr>
        <w:t>A solução</w:t>
      </w:r>
      <w:r w:rsidRPr="00B84389">
        <w:rPr>
          <w:rFonts w:cs="Times New Roman"/>
          <w:sz w:val="22"/>
          <w:szCs w:val="22"/>
        </w:rPr>
        <w:t xml:space="preserve"> deverá possibilitar manutenção 100% remota, sem intervenção dos usuários. </w:t>
      </w:r>
    </w:p>
    <w:p w14:paraId="3C786FD0" w14:textId="77777777" w:rsidR="00B307DB" w:rsidRPr="00B84389" w:rsidRDefault="00B307DB" w:rsidP="00B307DB">
      <w:pPr>
        <w:pStyle w:val="Standard"/>
        <w:numPr>
          <w:ilvl w:val="1"/>
          <w:numId w:val="135"/>
        </w:numPr>
        <w:tabs>
          <w:tab w:val="left" w:pos="567"/>
          <w:tab w:val="left" w:pos="1422"/>
          <w:tab w:val="left" w:pos="1560"/>
          <w:tab w:val="left" w:pos="1677"/>
          <w:tab w:val="left" w:pos="1992"/>
          <w:tab w:val="left" w:pos="2247"/>
          <w:tab w:val="left" w:leader="underscore" w:pos="7363"/>
        </w:tabs>
        <w:ind w:left="0" w:right="-568" w:firstLine="0"/>
        <w:jc w:val="both"/>
        <w:rPr>
          <w:rFonts w:cs="Times New Roman"/>
          <w:sz w:val="22"/>
          <w:szCs w:val="22"/>
        </w:rPr>
      </w:pPr>
      <w:r w:rsidRPr="00B84389">
        <w:rPr>
          <w:rFonts w:cs="Times New Roman"/>
          <w:sz w:val="22"/>
          <w:szCs w:val="22"/>
        </w:rPr>
        <w:t xml:space="preserve">A solução deverá ser disponibilizada exclusivamente no modelo </w:t>
      </w:r>
      <w:r w:rsidRPr="00B84389">
        <w:rPr>
          <w:rFonts w:cs="Times New Roman"/>
          <w:i/>
          <w:iCs/>
          <w:sz w:val="22"/>
          <w:szCs w:val="22"/>
        </w:rPr>
        <w:t>SaaS</w:t>
      </w:r>
      <w:r w:rsidRPr="00B84389">
        <w:rPr>
          <w:rFonts w:cs="Times New Roman"/>
          <w:sz w:val="22"/>
          <w:szCs w:val="22"/>
        </w:rPr>
        <w:t xml:space="preserve"> (software como serviço), 100% (cem por cento) por meio da internet, sem limite de usuários, </w:t>
      </w:r>
      <w:r w:rsidRPr="00B84389">
        <w:rPr>
          <w:rFonts w:cs="Times New Roman"/>
          <w:bCs/>
          <w:sz w:val="22"/>
          <w:szCs w:val="22"/>
        </w:rPr>
        <w:t>sem a necessidade de a CONTRATANTE adquirir licenças adicionais durante toda a vigência do contrato de locação (</w:t>
      </w:r>
      <w:r w:rsidRPr="00B84389">
        <w:rPr>
          <w:rFonts w:cs="Times New Roman"/>
          <w:i/>
          <w:iCs/>
          <w:color w:val="000009"/>
          <w:sz w:val="22"/>
          <w:szCs w:val="22"/>
        </w:rPr>
        <w:t>ASP</w:t>
      </w:r>
      <w:r w:rsidRPr="00B84389">
        <w:rPr>
          <w:rFonts w:cs="Times New Roman"/>
          <w:color w:val="000009"/>
          <w:sz w:val="22"/>
          <w:szCs w:val="22"/>
        </w:rPr>
        <w:t xml:space="preserve">: </w:t>
      </w:r>
      <w:r w:rsidRPr="00B84389">
        <w:rPr>
          <w:rFonts w:cs="Times New Roman"/>
          <w:i/>
          <w:iCs/>
          <w:color w:val="000009"/>
          <w:sz w:val="22"/>
          <w:szCs w:val="22"/>
        </w:rPr>
        <w:t>Application Service Provider</w:t>
      </w:r>
      <w:r w:rsidRPr="00B84389">
        <w:rPr>
          <w:rFonts w:cs="Times New Roman"/>
          <w:i/>
          <w:iCs/>
          <w:color w:val="000009"/>
          <w:sz w:val="22"/>
          <w:szCs w:val="22"/>
          <w:vertAlign w:val="superscript"/>
        </w:rPr>
        <w:t>1</w:t>
      </w:r>
      <w:r w:rsidRPr="00B84389">
        <w:rPr>
          <w:rFonts w:cs="Times New Roman"/>
          <w:i/>
          <w:iCs/>
          <w:color w:val="000009"/>
          <w:sz w:val="22"/>
          <w:szCs w:val="22"/>
        </w:rPr>
        <w:t>)</w:t>
      </w:r>
      <w:r w:rsidRPr="00B84389">
        <w:rPr>
          <w:rFonts w:cs="Times New Roman"/>
          <w:bCs/>
          <w:sz w:val="22"/>
          <w:szCs w:val="22"/>
        </w:rPr>
        <w:t>.</w:t>
      </w:r>
    </w:p>
    <w:p w14:paraId="73665939" w14:textId="77777777" w:rsidR="00B307DB" w:rsidRPr="00B84389" w:rsidRDefault="00B307DB" w:rsidP="00B307DB">
      <w:pPr>
        <w:pStyle w:val="Standard"/>
        <w:numPr>
          <w:ilvl w:val="1"/>
          <w:numId w:val="135"/>
        </w:numPr>
        <w:tabs>
          <w:tab w:val="left" w:pos="555"/>
          <w:tab w:val="left" w:pos="1422"/>
          <w:tab w:val="left" w:pos="1560"/>
          <w:tab w:val="left" w:pos="1677"/>
          <w:tab w:val="left" w:pos="1992"/>
          <w:tab w:val="left" w:pos="2247"/>
          <w:tab w:val="left" w:leader="underscore" w:pos="7363"/>
        </w:tabs>
        <w:ind w:left="-6" w:right="-568" w:hanging="11"/>
        <w:jc w:val="both"/>
        <w:rPr>
          <w:rFonts w:cs="Times New Roman"/>
          <w:sz w:val="22"/>
          <w:szCs w:val="22"/>
        </w:rPr>
      </w:pPr>
      <w:r w:rsidRPr="00B84389">
        <w:rPr>
          <w:rFonts w:cs="Times New Roman"/>
          <w:sz w:val="22"/>
          <w:szCs w:val="22"/>
        </w:rPr>
        <w:t>O sistema</w:t>
      </w:r>
      <w:r w:rsidRPr="00B84389">
        <w:rPr>
          <w:rFonts w:cs="Times New Roman"/>
          <w:sz w:val="22"/>
          <w:szCs w:val="22"/>
          <w:shd w:val="clear" w:color="auto" w:fill="FFFFFF"/>
        </w:rPr>
        <w:t xml:space="preserve"> ERP WEB em nuvem deve ter disponibilidade de no mínimo, 99,741%, do tempo, permitidas manutenções programadas, conforme estabelecidos nos padrões normativos TIA 942-TIER II.</w:t>
      </w:r>
    </w:p>
    <w:p w14:paraId="3879D7AB" w14:textId="77777777" w:rsidR="00B307DB" w:rsidRPr="00B84389" w:rsidRDefault="00B307DB" w:rsidP="00B307DB">
      <w:pPr>
        <w:pStyle w:val="Standard"/>
        <w:numPr>
          <w:ilvl w:val="1"/>
          <w:numId w:val="135"/>
        </w:numPr>
        <w:tabs>
          <w:tab w:val="left" w:pos="555"/>
          <w:tab w:val="left" w:pos="1422"/>
          <w:tab w:val="left" w:pos="1560"/>
          <w:tab w:val="left" w:pos="1677"/>
          <w:tab w:val="left" w:pos="1992"/>
          <w:tab w:val="left" w:pos="2247"/>
          <w:tab w:val="left" w:leader="underscore" w:pos="7363"/>
        </w:tabs>
        <w:ind w:left="-6" w:right="-568" w:hanging="11"/>
        <w:jc w:val="both"/>
        <w:rPr>
          <w:rFonts w:cs="Times New Roman"/>
          <w:sz w:val="22"/>
          <w:szCs w:val="22"/>
        </w:rPr>
      </w:pPr>
      <w:r w:rsidRPr="00B84389">
        <w:rPr>
          <w:rFonts w:cs="Times New Roman"/>
          <w:sz w:val="22"/>
          <w:szCs w:val="22"/>
        </w:rPr>
        <w:t>A solução ofertada deverá</w:t>
      </w:r>
      <w:r w:rsidRPr="00B84389">
        <w:rPr>
          <w:rFonts w:cs="Times New Roman"/>
          <w:b/>
          <w:bCs/>
          <w:sz w:val="22"/>
          <w:szCs w:val="22"/>
        </w:rPr>
        <w:t xml:space="preserve"> </w:t>
      </w:r>
      <w:r w:rsidRPr="00B84389">
        <w:rPr>
          <w:rFonts w:cs="Times New Roman"/>
          <w:sz w:val="22"/>
          <w:szCs w:val="22"/>
        </w:rPr>
        <w:t>permitir a utilização de infraestrutura de rede lógica existente, sem a necessidade de instalação de rede paralela, ou a contratação de mais capacidade da banda de internet.</w:t>
      </w:r>
    </w:p>
    <w:p w14:paraId="35538D9E" w14:textId="77777777" w:rsidR="00B307DB" w:rsidRPr="00B84389" w:rsidRDefault="00B307DB" w:rsidP="00B307DB">
      <w:pPr>
        <w:pStyle w:val="Standard"/>
        <w:numPr>
          <w:ilvl w:val="1"/>
          <w:numId w:val="135"/>
        </w:numPr>
        <w:tabs>
          <w:tab w:val="left" w:pos="555"/>
          <w:tab w:val="left" w:pos="1422"/>
          <w:tab w:val="left" w:pos="1560"/>
          <w:tab w:val="left" w:pos="1677"/>
          <w:tab w:val="left" w:pos="1992"/>
          <w:tab w:val="left" w:pos="2247"/>
          <w:tab w:val="left" w:leader="underscore" w:pos="7363"/>
        </w:tabs>
        <w:ind w:left="-6" w:right="-568" w:hanging="11"/>
        <w:jc w:val="both"/>
        <w:rPr>
          <w:rFonts w:cs="Times New Roman"/>
          <w:sz w:val="22"/>
          <w:szCs w:val="22"/>
        </w:rPr>
      </w:pPr>
      <w:r w:rsidRPr="00B84389">
        <w:rPr>
          <w:rFonts w:cs="Times New Roman"/>
          <w:bCs/>
          <w:sz w:val="22"/>
          <w:szCs w:val="22"/>
        </w:rPr>
        <w:t>A aquisição dos itens do presente termo de referência se constitui, no atual cenário, em objeto de comum aquisição por órgãos públicos.</w:t>
      </w:r>
      <w:r w:rsidRPr="00B84389">
        <w:rPr>
          <w:rFonts w:cs="Times New Roman"/>
          <w:sz w:val="22"/>
          <w:szCs w:val="22"/>
        </w:rPr>
        <w:t xml:space="preserve"> </w:t>
      </w:r>
      <w:r w:rsidRPr="00B84389">
        <w:rPr>
          <w:rFonts w:cs="Times New Roman"/>
          <w:bCs/>
          <w:sz w:val="22"/>
          <w:szCs w:val="22"/>
        </w:rPr>
        <w:t xml:space="preserve">Os serviços elencados acima se caracterizam como bens e serviços comuns. </w:t>
      </w:r>
    </w:p>
    <w:p w14:paraId="616CBFB6" w14:textId="77777777" w:rsidR="00B307DB" w:rsidRPr="00B84389" w:rsidRDefault="00D52F36" w:rsidP="00B307DB">
      <w:pPr>
        <w:pStyle w:val="Standard"/>
        <w:tabs>
          <w:tab w:val="left" w:pos="555"/>
          <w:tab w:val="left" w:pos="1422"/>
          <w:tab w:val="left" w:pos="1560"/>
          <w:tab w:val="left" w:pos="1677"/>
          <w:tab w:val="left" w:pos="1992"/>
          <w:tab w:val="left" w:pos="2247"/>
          <w:tab w:val="left" w:leader="underscore" w:pos="7363"/>
        </w:tabs>
        <w:ind w:left="3119" w:right="-568"/>
        <w:jc w:val="both"/>
        <w:rPr>
          <w:rFonts w:cs="Times New Roman"/>
          <w:sz w:val="22"/>
          <w:szCs w:val="22"/>
        </w:rPr>
      </w:pPr>
      <w:hyperlink r:id="rId268" w:history="1">
        <w:r w:rsidR="00B307DB" w:rsidRPr="00B84389">
          <w:rPr>
            <w:rStyle w:val="Hyperlink"/>
            <w:rFonts w:cs="Times New Roman"/>
            <w:bCs/>
            <w:sz w:val="22"/>
            <w:szCs w:val="22"/>
          </w:rPr>
          <w:t>Art. 6º XIII da lei 14.133/21</w:t>
        </w:r>
      </w:hyperlink>
      <w:r w:rsidR="00B307DB" w:rsidRPr="00B84389">
        <w:rPr>
          <w:rFonts w:cs="Times New Roman"/>
          <w:bCs/>
          <w:i/>
          <w:sz w:val="22"/>
          <w:szCs w:val="22"/>
        </w:rPr>
        <w:t xml:space="preserve"> - bens e serviços comuns: aqueles cujos padrões de desempenho e qualidade podem ser objetivamente definidos pelo edital, por meio de especificações usuais de mercado;</w:t>
      </w:r>
    </w:p>
    <w:p w14:paraId="240396BD" w14:textId="77777777" w:rsidR="00B307DB" w:rsidRPr="00B84389" w:rsidRDefault="00B307DB" w:rsidP="00B307DB">
      <w:pPr>
        <w:spacing w:after="0" w:line="240" w:lineRule="auto"/>
        <w:ind w:right="-568"/>
        <w:jc w:val="both"/>
        <w:rPr>
          <w:rStyle w:val="Hyperlink"/>
          <w:rFonts w:ascii="Times New Roman" w:hAnsi="Times New Roman" w:cs="Times New Roman"/>
        </w:rPr>
      </w:pPr>
    </w:p>
    <w:p w14:paraId="38BAA089" w14:textId="77777777" w:rsidR="00B307DB" w:rsidRPr="00B84389" w:rsidRDefault="00B307DB" w:rsidP="00B307DB">
      <w:pPr>
        <w:spacing w:after="0" w:line="240" w:lineRule="auto"/>
        <w:ind w:right="-568"/>
        <w:jc w:val="both"/>
        <w:rPr>
          <w:rFonts w:ascii="Times New Roman" w:hAnsi="Times New Roman" w:cs="Times New Roman"/>
          <w:b/>
        </w:rPr>
      </w:pPr>
      <w:r w:rsidRPr="00B84389">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6AAD735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2.1</w:t>
      </w:r>
      <w:r w:rsidRPr="00B84389">
        <w:rPr>
          <w:rFonts w:ascii="Times New Roman" w:hAnsi="Times New Roman" w:cs="Times New Roman"/>
          <w:b/>
        </w:rPr>
        <w:t xml:space="preserve"> </w:t>
      </w:r>
      <w:r w:rsidRPr="00B84389">
        <w:rPr>
          <w:rFonts w:ascii="Times New Roman" w:hAnsi="Times New Roman" w:cs="Times New Roman"/>
        </w:rPr>
        <w:t>Foi realizada pesquisa no PNCP e os serviços a serem licitados ainda não possuem a padronização. Desta forma, será utilizada a descrição própria do município.</w:t>
      </w:r>
    </w:p>
    <w:p w14:paraId="1B2FE7EB"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highlight w:val="white"/>
        </w:rPr>
        <w:t xml:space="preserve">2.2 </w:t>
      </w:r>
      <w:r w:rsidRPr="00B84389">
        <w:rPr>
          <w:rFonts w:ascii="Times New Roman" w:hAnsi="Times New Roman" w:cs="Times New Roman"/>
          <w:bCs/>
          <w:highlight w:val="white"/>
        </w:rPr>
        <w:t>O detalhamento dos módulos está descrito na tabela baixo:</w:t>
      </w:r>
    </w:p>
    <w:tbl>
      <w:tblPr>
        <w:tblW w:w="9067" w:type="dxa"/>
        <w:tblLayout w:type="fixed"/>
        <w:tblCellMar>
          <w:left w:w="70" w:type="dxa"/>
          <w:right w:w="70" w:type="dxa"/>
        </w:tblCellMar>
        <w:tblLook w:val="04A0" w:firstRow="1" w:lastRow="0" w:firstColumn="1" w:lastColumn="0" w:noHBand="0" w:noVBand="1"/>
      </w:tblPr>
      <w:tblGrid>
        <w:gridCol w:w="704"/>
        <w:gridCol w:w="4111"/>
        <w:gridCol w:w="709"/>
        <w:gridCol w:w="708"/>
        <w:gridCol w:w="1276"/>
        <w:gridCol w:w="1559"/>
      </w:tblGrid>
      <w:tr w:rsidR="00B307DB" w:rsidRPr="00A7764A" w14:paraId="48CE70F3" w14:textId="77777777" w:rsidTr="00B307DB">
        <w:trPr>
          <w:trHeight w:val="288"/>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7E0E523" w14:textId="77777777" w:rsidR="00B307DB" w:rsidRPr="00A7764A" w:rsidRDefault="00B307DB" w:rsidP="00B307D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Item</w:t>
            </w:r>
          </w:p>
        </w:tc>
        <w:tc>
          <w:tcPr>
            <w:tcW w:w="4111" w:type="dxa"/>
            <w:tcBorders>
              <w:top w:val="single" w:sz="4" w:space="0" w:color="auto"/>
              <w:left w:val="nil"/>
              <w:bottom w:val="single" w:sz="4" w:space="0" w:color="auto"/>
              <w:right w:val="single" w:sz="4" w:space="0" w:color="auto"/>
            </w:tcBorders>
            <w:noWrap/>
            <w:vAlign w:val="center"/>
            <w:hideMark/>
          </w:tcPr>
          <w:p w14:paraId="29C31D20" w14:textId="77777777" w:rsidR="00B307DB" w:rsidRPr="00A7764A" w:rsidRDefault="00B307DB" w:rsidP="00B307DB">
            <w:pPr>
              <w:spacing w:after="0" w:line="240" w:lineRule="auto"/>
              <w:rPr>
                <w:rFonts w:ascii="Times New Roman" w:hAnsi="Times New Roman" w:cs="Times New Roman"/>
                <w:b/>
                <w:color w:val="000000"/>
              </w:rPr>
            </w:pPr>
            <w:r w:rsidRPr="00A7764A">
              <w:rPr>
                <w:rFonts w:ascii="Times New Roman" w:hAnsi="Times New Roman" w:cs="Times New Roman"/>
                <w:b/>
                <w:color w:val="000000"/>
              </w:rPr>
              <w:t>Descrição</w:t>
            </w:r>
          </w:p>
        </w:tc>
        <w:tc>
          <w:tcPr>
            <w:tcW w:w="709" w:type="dxa"/>
            <w:tcBorders>
              <w:top w:val="single" w:sz="4" w:space="0" w:color="auto"/>
              <w:left w:val="nil"/>
              <w:bottom w:val="single" w:sz="4" w:space="0" w:color="auto"/>
              <w:right w:val="single" w:sz="4" w:space="0" w:color="auto"/>
            </w:tcBorders>
            <w:noWrap/>
            <w:vAlign w:val="center"/>
            <w:hideMark/>
          </w:tcPr>
          <w:p w14:paraId="3D410AF3" w14:textId="77777777" w:rsidR="00B307DB" w:rsidRPr="00A7764A" w:rsidRDefault="00B307DB" w:rsidP="00B307D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Qtde</w:t>
            </w:r>
          </w:p>
        </w:tc>
        <w:tc>
          <w:tcPr>
            <w:tcW w:w="708" w:type="dxa"/>
            <w:tcBorders>
              <w:top w:val="single" w:sz="4" w:space="0" w:color="auto"/>
              <w:left w:val="nil"/>
              <w:bottom w:val="single" w:sz="4" w:space="0" w:color="auto"/>
              <w:right w:val="single" w:sz="4" w:space="0" w:color="auto"/>
            </w:tcBorders>
            <w:noWrap/>
            <w:vAlign w:val="center"/>
            <w:hideMark/>
          </w:tcPr>
          <w:p w14:paraId="034DDA35" w14:textId="77777777" w:rsidR="00B307DB" w:rsidRPr="00A7764A" w:rsidRDefault="00B307DB" w:rsidP="00B307D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Unid.</w:t>
            </w:r>
          </w:p>
        </w:tc>
        <w:tc>
          <w:tcPr>
            <w:tcW w:w="1276" w:type="dxa"/>
            <w:tcBorders>
              <w:top w:val="single" w:sz="4" w:space="0" w:color="auto"/>
              <w:left w:val="nil"/>
              <w:bottom w:val="single" w:sz="4" w:space="0" w:color="auto"/>
              <w:right w:val="single" w:sz="4" w:space="0" w:color="auto"/>
            </w:tcBorders>
            <w:noWrap/>
            <w:vAlign w:val="center"/>
            <w:hideMark/>
          </w:tcPr>
          <w:p w14:paraId="5CB8D322" w14:textId="77777777" w:rsidR="00B307DB" w:rsidRPr="00A7764A" w:rsidRDefault="00B307DB" w:rsidP="00B307D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Valor médio</w:t>
            </w:r>
          </w:p>
        </w:tc>
        <w:tc>
          <w:tcPr>
            <w:tcW w:w="1559" w:type="dxa"/>
            <w:tcBorders>
              <w:top w:val="single" w:sz="4" w:space="0" w:color="auto"/>
              <w:left w:val="nil"/>
              <w:bottom w:val="single" w:sz="4" w:space="0" w:color="auto"/>
              <w:right w:val="single" w:sz="4" w:space="0" w:color="auto"/>
            </w:tcBorders>
            <w:noWrap/>
            <w:vAlign w:val="center"/>
            <w:hideMark/>
          </w:tcPr>
          <w:p w14:paraId="39889BD1" w14:textId="77777777" w:rsidR="00B307DB" w:rsidRPr="00A7764A" w:rsidRDefault="00B307DB" w:rsidP="00B307DB">
            <w:pPr>
              <w:spacing w:after="0" w:line="240" w:lineRule="auto"/>
              <w:jc w:val="center"/>
              <w:rPr>
                <w:rFonts w:ascii="Times New Roman" w:hAnsi="Times New Roman" w:cs="Times New Roman"/>
                <w:b/>
                <w:color w:val="000000"/>
              </w:rPr>
            </w:pPr>
            <w:r w:rsidRPr="00A7764A">
              <w:rPr>
                <w:rFonts w:ascii="Times New Roman" w:hAnsi="Times New Roman" w:cs="Times New Roman"/>
                <w:b/>
                <w:color w:val="000000"/>
              </w:rPr>
              <w:t>Valor total</w:t>
            </w:r>
          </w:p>
        </w:tc>
      </w:tr>
      <w:tr w:rsidR="00B307DB" w:rsidRPr="00A7764A" w14:paraId="6EC97516" w14:textId="77777777" w:rsidTr="00B307DB">
        <w:trPr>
          <w:trHeight w:val="308"/>
        </w:trPr>
        <w:tc>
          <w:tcPr>
            <w:tcW w:w="9067" w:type="dxa"/>
            <w:gridSpan w:val="6"/>
            <w:tcBorders>
              <w:top w:val="nil"/>
              <w:left w:val="single" w:sz="4" w:space="0" w:color="auto"/>
              <w:bottom w:val="single" w:sz="4" w:space="0" w:color="auto"/>
              <w:right w:val="single" w:sz="4" w:space="0" w:color="auto"/>
            </w:tcBorders>
            <w:noWrap/>
            <w:vAlign w:val="center"/>
            <w:hideMark/>
          </w:tcPr>
          <w:p w14:paraId="32CFF3D1" w14:textId="77777777" w:rsidR="00B307DB" w:rsidRPr="00A7764A" w:rsidRDefault="00B307DB" w:rsidP="00B307DB">
            <w:pPr>
              <w:spacing w:after="0" w:line="240" w:lineRule="auto"/>
              <w:rPr>
                <w:rFonts w:ascii="Times New Roman" w:hAnsi="Times New Roman" w:cs="Times New Roman"/>
                <w:b/>
                <w:color w:val="000000"/>
              </w:rPr>
            </w:pPr>
            <w:r w:rsidRPr="00A7764A">
              <w:rPr>
                <w:rFonts w:ascii="Times New Roman" w:hAnsi="Times New Roman" w:cs="Times New Roman"/>
                <w:b/>
                <w:color w:val="000000"/>
              </w:rPr>
              <w:t>1.1 OBJETO: MÓDULOS PREFEITURA MUNICIPAL DE RIQUEZA</w:t>
            </w:r>
          </w:p>
        </w:tc>
      </w:tr>
      <w:tr w:rsidR="00B307DB" w:rsidRPr="00A7764A" w14:paraId="403306D3"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19DB6D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w:t>
            </w:r>
          </w:p>
        </w:tc>
        <w:tc>
          <w:tcPr>
            <w:tcW w:w="4111" w:type="dxa"/>
            <w:tcBorders>
              <w:top w:val="nil"/>
              <w:left w:val="nil"/>
              <w:bottom w:val="single" w:sz="4" w:space="0" w:color="auto"/>
              <w:right w:val="single" w:sz="4" w:space="0" w:color="auto"/>
            </w:tcBorders>
            <w:noWrap/>
            <w:vAlign w:val="center"/>
            <w:hideMark/>
          </w:tcPr>
          <w:p w14:paraId="5A7D2F73"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Planejamento e Orçamento</w:t>
            </w:r>
          </w:p>
        </w:tc>
        <w:tc>
          <w:tcPr>
            <w:tcW w:w="709" w:type="dxa"/>
            <w:tcBorders>
              <w:top w:val="nil"/>
              <w:left w:val="nil"/>
              <w:bottom w:val="single" w:sz="4" w:space="0" w:color="auto"/>
              <w:right w:val="single" w:sz="4" w:space="0" w:color="auto"/>
            </w:tcBorders>
            <w:noWrap/>
            <w:vAlign w:val="center"/>
            <w:hideMark/>
          </w:tcPr>
          <w:p w14:paraId="0F922F9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76385B0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B098EC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R$ 526,18</w:t>
            </w:r>
          </w:p>
        </w:tc>
        <w:tc>
          <w:tcPr>
            <w:tcW w:w="1559" w:type="dxa"/>
            <w:tcBorders>
              <w:top w:val="nil"/>
              <w:left w:val="nil"/>
              <w:bottom w:val="single" w:sz="4" w:space="0" w:color="auto"/>
              <w:right w:val="single" w:sz="4" w:space="0" w:color="auto"/>
            </w:tcBorders>
            <w:noWrap/>
            <w:vAlign w:val="center"/>
            <w:hideMark/>
          </w:tcPr>
          <w:p w14:paraId="68B699B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6.314,16 </w:t>
            </w:r>
          </w:p>
        </w:tc>
      </w:tr>
      <w:tr w:rsidR="00B307DB" w:rsidRPr="00A7764A" w14:paraId="1A787667"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0099993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w:t>
            </w:r>
          </w:p>
        </w:tc>
        <w:tc>
          <w:tcPr>
            <w:tcW w:w="4111" w:type="dxa"/>
            <w:tcBorders>
              <w:top w:val="nil"/>
              <w:left w:val="nil"/>
              <w:bottom w:val="single" w:sz="4" w:space="0" w:color="auto"/>
              <w:right w:val="single" w:sz="4" w:space="0" w:color="auto"/>
            </w:tcBorders>
            <w:noWrap/>
            <w:vAlign w:val="center"/>
            <w:hideMark/>
          </w:tcPr>
          <w:p w14:paraId="1F983857"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Contábil e Financeira</w:t>
            </w:r>
          </w:p>
        </w:tc>
        <w:tc>
          <w:tcPr>
            <w:tcW w:w="709" w:type="dxa"/>
            <w:tcBorders>
              <w:top w:val="nil"/>
              <w:left w:val="nil"/>
              <w:bottom w:val="single" w:sz="4" w:space="0" w:color="auto"/>
              <w:right w:val="single" w:sz="4" w:space="0" w:color="auto"/>
            </w:tcBorders>
            <w:noWrap/>
            <w:vAlign w:val="center"/>
            <w:hideMark/>
          </w:tcPr>
          <w:p w14:paraId="2DB6152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D5683A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B06416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R$ 1.964,12</w:t>
            </w:r>
          </w:p>
        </w:tc>
        <w:tc>
          <w:tcPr>
            <w:tcW w:w="1559" w:type="dxa"/>
            <w:tcBorders>
              <w:top w:val="nil"/>
              <w:left w:val="nil"/>
              <w:bottom w:val="single" w:sz="4" w:space="0" w:color="auto"/>
              <w:right w:val="single" w:sz="4" w:space="0" w:color="auto"/>
            </w:tcBorders>
            <w:noWrap/>
            <w:vAlign w:val="center"/>
            <w:hideMark/>
          </w:tcPr>
          <w:p w14:paraId="7A07DB64"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 xml:space="preserve"> R$   23.569,44 </w:t>
            </w:r>
          </w:p>
        </w:tc>
      </w:tr>
      <w:tr w:rsidR="00B307DB" w:rsidRPr="00A7764A" w14:paraId="10B2DB68"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1A6316A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1.1.3</w:t>
            </w:r>
          </w:p>
        </w:tc>
        <w:tc>
          <w:tcPr>
            <w:tcW w:w="4111" w:type="dxa"/>
            <w:tcBorders>
              <w:top w:val="nil"/>
              <w:left w:val="nil"/>
              <w:bottom w:val="single" w:sz="4" w:space="0" w:color="auto"/>
              <w:right w:val="single" w:sz="4" w:space="0" w:color="auto"/>
            </w:tcBorders>
            <w:noWrap/>
            <w:vAlign w:val="center"/>
            <w:hideMark/>
          </w:tcPr>
          <w:p w14:paraId="6667BD5B"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Controle interno</w:t>
            </w:r>
          </w:p>
        </w:tc>
        <w:tc>
          <w:tcPr>
            <w:tcW w:w="709" w:type="dxa"/>
            <w:tcBorders>
              <w:top w:val="nil"/>
              <w:left w:val="nil"/>
              <w:bottom w:val="single" w:sz="4" w:space="0" w:color="auto"/>
              <w:right w:val="single" w:sz="4" w:space="0" w:color="auto"/>
            </w:tcBorders>
            <w:noWrap/>
            <w:vAlign w:val="center"/>
            <w:hideMark/>
          </w:tcPr>
          <w:p w14:paraId="34D845F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80102D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9D825A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R$ 552,20</w:t>
            </w:r>
          </w:p>
        </w:tc>
        <w:tc>
          <w:tcPr>
            <w:tcW w:w="1559" w:type="dxa"/>
            <w:tcBorders>
              <w:top w:val="nil"/>
              <w:left w:val="nil"/>
              <w:bottom w:val="single" w:sz="4" w:space="0" w:color="auto"/>
              <w:right w:val="single" w:sz="4" w:space="0" w:color="auto"/>
            </w:tcBorders>
            <w:noWrap/>
            <w:vAlign w:val="center"/>
            <w:hideMark/>
          </w:tcPr>
          <w:p w14:paraId="4429BFE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6.626,40 </w:t>
            </w:r>
          </w:p>
        </w:tc>
      </w:tr>
      <w:tr w:rsidR="00B307DB" w:rsidRPr="00A7764A" w14:paraId="6B84F362"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3897CEE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1.1.4</w:t>
            </w:r>
          </w:p>
        </w:tc>
        <w:tc>
          <w:tcPr>
            <w:tcW w:w="4111" w:type="dxa"/>
            <w:tcBorders>
              <w:top w:val="nil"/>
              <w:left w:val="nil"/>
              <w:bottom w:val="single" w:sz="4" w:space="0" w:color="auto"/>
              <w:right w:val="single" w:sz="4" w:space="0" w:color="auto"/>
            </w:tcBorders>
            <w:noWrap/>
            <w:vAlign w:val="center"/>
            <w:hideMark/>
          </w:tcPr>
          <w:p w14:paraId="32E8DDD1"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Compras e licitações</w:t>
            </w:r>
          </w:p>
        </w:tc>
        <w:tc>
          <w:tcPr>
            <w:tcW w:w="709" w:type="dxa"/>
            <w:tcBorders>
              <w:top w:val="nil"/>
              <w:left w:val="nil"/>
              <w:bottom w:val="single" w:sz="4" w:space="0" w:color="auto"/>
              <w:right w:val="single" w:sz="4" w:space="0" w:color="auto"/>
            </w:tcBorders>
            <w:noWrap/>
            <w:vAlign w:val="center"/>
            <w:hideMark/>
          </w:tcPr>
          <w:p w14:paraId="2A925E5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C3ADB8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905417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R$ 1.017,91</w:t>
            </w:r>
          </w:p>
        </w:tc>
        <w:tc>
          <w:tcPr>
            <w:tcW w:w="1559" w:type="dxa"/>
            <w:tcBorders>
              <w:top w:val="nil"/>
              <w:left w:val="nil"/>
              <w:bottom w:val="single" w:sz="4" w:space="0" w:color="auto"/>
              <w:right w:val="single" w:sz="4" w:space="0" w:color="auto"/>
            </w:tcBorders>
            <w:noWrap/>
            <w:vAlign w:val="center"/>
            <w:hideMark/>
          </w:tcPr>
          <w:p w14:paraId="29ACF6C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12.214,92 </w:t>
            </w:r>
          </w:p>
        </w:tc>
      </w:tr>
      <w:tr w:rsidR="00B307DB" w:rsidRPr="00A7764A" w14:paraId="7E822920"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6679D96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1.1.5</w:t>
            </w:r>
          </w:p>
        </w:tc>
        <w:tc>
          <w:tcPr>
            <w:tcW w:w="4111" w:type="dxa"/>
            <w:tcBorders>
              <w:top w:val="nil"/>
              <w:left w:val="nil"/>
              <w:bottom w:val="single" w:sz="4" w:space="0" w:color="auto"/>
              <w:right w:val="single" w:sz="4" w:space="0" w:color="auto"/>
            </w:tcBorders>
            <w:noWrap/>
            <w:vAlign w:val="center"/>
            <w:hideMark/>
          </w:tcPr>
          <w:p w14:paraId="6B974147"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Almoxarifado</w:t>
            </w:r>
          </w:p>
        </w:tc>
        <w:tc>
          <w:tcPr>
            <w:tcW w:w="709" w:type="dxa"/>
            <w:tcBorders>
              <w:top w:val="nil"/>
              <w:left w:val="nil"/>
              <w:bottom w:val="single" w:sz="4" w:space="0" w:color="auto"/>
              <w:right w:val="single" w:sz="4" w:space="0" w:color="auto"/>
            </w:tcBorders>
            <w:noWrap/>
            <w:vAlign w:val="center"/>
            <w:hideMark/>
          </w:tcPr>
          <w:p w14:paraId="24B0255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495982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9FBF62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R$ 239,82</w:t>
            </w:r>
          </w:p>
        </w:tc>
        <w:tc>
          <w:tcPr>
            <w:tcW w:w="1559" w:type="dxa"/>
            <w:tcBorders>
              <w:top w:val="nil"/>
              <w:left w:val="nil"/>
              <w:bottom w:val="single" w:sz="4" w:space="0" w:color="auto"/>
              <w:right w:val="single" w:sz="4" w:space="0" w:color="auto"/>
            </w:tcBorders>
            <w:noWrap/>
            <w:vAlign w:val="center"/>
            <w:hideMark/>
          </w:tcPr>
          <w:p w14:paraId="621FF18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2.877,84 </w:t>
            </w:r>
          </w:p>
        </w:tc>
      </w:tr>
      <w:tr w:rsidR="00B307DB" w:rsidRPr="00A7764A" w14:paraId="6473B40D"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6270A35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1.1.6</w:t>
            </w:r>
          </w:p>
        </w:tc>
        <w:tc>
          <w:tcPr>
            <w:tcW w:w="4111" w:type="dxa"/>
            <w:tcBorders>
              <w:top w:val="nil"/>
              <w:left w:val="nil"/>
              <w:bottom w:val="single" w:sz="4" w:space="0" w:color="auto"/>
              <w:right w:val="single" w:sz="4" w:space="0" w:color="auto"/>
            </w:tcBorders>
            <w:noWrap/>
            <w:vAlign w:val="center"/>
            <w:hideMark/>
          </w:tcPr>
          <w:p w14:paraId="16371E0B"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Patrimônio</w:t>
            </w:r>
          </w:p>
        </w:tc>
        <w:tc>
          <w:tcPr>
            <w:tcW w:w="709" w:type="dxa"/>
            <w:tcBorders>
              <w:top w:val="nil"/>
              <w:left w:val="nil"/>
              <w:bottom w:val="single" w:sz="4" w:space="0" w:color="auto"/>
              <w:right w:val="single" w:sz="4" w:space="0" w:color="auto"/>
            </w:tcBorders>
            <w:noWrap/>
            <w:vAlign w:val="center"/>
            <w:hideMark/>
          </w:tcPr>
          <w:p w14:paraId="5B8852E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7E0552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142ED99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R$ 437,79</w:t>
            </w:r>
          </w:p>
        </w:tc>
        <w:tc>
          <w:tcPr>
            <w:tcW w:w="1559" w:type="dxa"/>
            <w:tcBorders>
              <w:top w:val="nil"/>
              <w:left w:val="nil"/>
              <w:bottom w:val="single" w:sz="4" w:space="0" w:color="auto"/>
              <w:right w:val="single" w:sz="4" w:space="0" w:color="auto"/>
            </w:tcBorders>
            <w:noWrap/>
            <w:vAlign w:val="center"/>
            <w:hideMark/>
          </w:tcPr>
          <w:p w14:paraId="645D257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5.253,48 </w:t>
            </w:r>
          </w:p>
        </w:tc>
      </w:tr>
      <w:tr w:rsidR="00B307DB" w:rsidRPr="00A7764A" w14:paraId="7BC343CA"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5CF44C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1.1.7</w:t>
            </w:r>
          </w:p>
        </w:tc>
        <w:tc>
          <w:tcPr>
            <w:tcW w:w="4111" w:type="dxa"/>
            <w:tcBorders>
              <w:top w:val="nil"/>
              <w:left w:val="nil"/>
              <w:bottom w:val="single" w:sz="4" w:space="0" w:color="auto"/>
              <w:right w:val="single" w:sz="4" w:space="0" w:color="auto"/>
            </w:tcBorders>
            <w:noWrap/>
            <w:vAlign w:val="center"/>
            <w:hideMark/>
          </w:tcPr>
          <w:p w14:paraId="3B8EF311"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Frota</w:t>
            </w:r>
          </w:p>
        </w:tc>
        <w:tc>
          <w:tcPr>
            <w:tcW w:w="709" w:type="dxa"/>
            <w:tcBorders>
              <w:top w:val="nil"/>
              <w:left w:val="nil"/>
              <w:bottom w:val="single" w:sz="4" w:space="0" w:color="auto"/>
              <w:right w:val="single" w:sz="4" w:space="0" w:color="auto"/>
            </w:tcBorders>
            <w:noWrap/>
            <w:vAlign w:val="center"/>
            <w:hideMark/>
          </w:tcPr>
          <w:p w14:paraId="760FAC6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256452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2A80A0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R$ 421,73</w:t>
            </w:r>
          </w:p>
        </w:tc>
        <w:tc>
          <w:tcPr>
            <w:tcW w:w="1559" w:type="dxa"/>
            <w:tcBorders>
              <w:top w:val="nil"/>
              <w:left w:val="nil"/>
              <w:bottom w:val="single" w:sz="4" w:space="0" w:color="auto"/>
              <w:right w:val="single" w:sz="4" w:space="0" w:color="auto"/>
            </w:tcBorders>
            <w:noWrap/>
            <w:vAlign w:val="center"/>
            <w:hideMark/>
          </w:tcPr>
          <w:p w14:paraId="1395FAC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5.060,76 </w:t>
            </w:r>
          </w:p>
        </w:tc>
      </w:tr>
      <w:tr w:rsidR="00B307DB" w:rsidRPr="00A7764A" w14:paraId="0458EF58"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0D0C9AD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1.1.8</w:t>
            </w:r>
          </w:p>
        </w:tc>
        <w:tc>
          <w:tcPr>
            <w:tcW w:w="4111" w:type="dxa"/>
            <w:tcBorders>
              <w:top w:val="nil"/>
              <w:left w:val="nil"/>
              <w:bottom w:val="single" w:sz="4" w:space="0" w:color="auto"/>
              <w:right w:val="single" w:sz="4" w:space="0" w:color="auto"/>
            </w:tcBorders>
            <w:noWrap/>
            <w:vAlign w:val="center"/>
            <w:hideMark/>
          </w:tcPr>
          <w:p w14:paraId="379DDB24"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Folha de Pagamento</w:t>
            </w:r>
          </w:p>
        </w:tc>
        <w:tc>
          <w:tcPr>
            <w:tcW w:w="709" w:type="dxa"/>
            <w:tcBorders>
              <w:top w:val="nil"/>
              <w:left w:val="nil"/>
              <w:bottom w:val="single" w:sz="4" w:space="0" w:color="auto"/>
              <w:right w:val="single" w:sz="4" w:space="0" w:color="auto"/>
            </w:tcBorders>
            <w:noWrap/>
            <w:vAlign w:val="center"/>
            <w:hideMark/>
          </w:tcPr>
          <w:p w14:paraId="3DECB92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D8845D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FED25A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R$ 1.671,44</w:t>
            </w:r>
          </w:p>
        </w:tc>
        <w:tc>
          <w:tcPr>
            <w:tcW w:w="1559" w:type="dxa"/>
            <w:tcBorders>
              <w:top w:val="nil"/>
              <w:left w:val="nil"/>
              <w:bottom w:val="single" w:sz="4" w:space="0" w:color="auto"/>
              <w:right w:val="single" w:sz="4" w:space="0" w:color="auto"/>
            </w:tcBorders>
            <w:noWrap/>
            <w:vAlign w:val="center"/>
            <w:hideMark/>
          </w:tcPr>
          <w:p w14:paraId="37CB110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20.057,28 </w:t>
            </w:r>
          </w:p>
        </w:tc>
      </w:tr>
      <w:tr w:rsidR="00B307DB" w:rsidRPr="00A7764A" w14:paraId="0CC61A70"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62E2C67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1.1.9</w:t>
            </w:r>
          </w:p>
        </w:tc>
        <w:tc>
          <w:tcPr>
            <w:tcW w:w="4111" w:type="dxa"/>
            <w:tcBorders>
              <w:top w:val="nil"/>
              <w:left w:val="nil"/>
              <w:bottom w:val="single" w:sz="4" w:space="0" w:color="auto"/>
              <w:right w:val="single" w:sz="4" w:space="0" w:color="auto"/>
            </w:tcBorders>
            <w:noWrap/>
            <w:vAlign w:val="center"/>
            <w:hideMark/>
          </w:tcPr>
          <w:p w14:paraId="30E52969"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Avaliação de Desempenho</w:t>
            </w:r>
          </w:p>
        </w:tc>
        <w:tc>
          <w:tcPr>
            <w:tcW w:w="709" w:type="dxa"/>
            <w:tcBorders>
              <w:top w:val="nil"/>
              <w:left w:val="nil"/>
              <w:bottom w:val="single" w:sz="4" w:space="0" w:color="auto"/>
              <w:right w:val="single" w:sz="4" w:space="0" w:color="auto"/>
            </w:tcBorders>
            <w:noWrap/>
            <w:vAlign w:val="center"/>
            <w:hideMark/>
          </w:tcPr>
          <w:p w14:paraId="62727AF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CE4E73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48728B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R$ 356,68</w:t>
            </w:r>
          </w:p>
        </w:tc>
        <w:tc>
          <w:tcPr>
            <w:tcW w:w="1559" w:type="dxa"/>
            <w:tcBorders>
              <w:top w:val="nil"/>
              <w:left w:val="nil"/>
              <w:bottom w:val="single" w:sz="4" w:space="0" w:color="auto"/>
              <w:right w:val="single" w:sz="4" w:space="0" w:color="auto"/>
            </w:tcBorders>
            <w:noWrap/>
            <w:vAlign w:val="center"/>
            <w:hideMark/>
          </w:tcPr>
          <w:p w14:paraId="6032828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4.280,16 </w:t>
            </w:r>
          </w:p>
        </w:tc>
      </w:tr>
      <w:tr w:rsidR="00B307DB" w:rsidRPr="00A7764A" w14:paraId="3B208A35"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6F0E04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1.1.10</w:t>
            </w:r>
          </w:p>
        </w:tc>
        <w:tc>
          <w:tcPr>
            <w:tcW w:w="4111" w:type="dxa"/>
            <w:tcBorders>
              <w:top w:val="nil"/>
              <w:left w:val="nil"/>
              <w:bottom w:val="single" w:sz="4" w:space="0" w:color="auto"/>
              <w:right w:val="single" w:sz="4" w:space="0" w:color="auto"/>
            </w:tcBorders>
            <w:noWrap/>
            <w:vAlign w:val="center"/>
            <w:hideMark/>
          </w:tcPr>
          <w:p w14:paraId="01D9CADC"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Segurança e Medicina do Trabalho</w:t>
            </w:r>
          </w:p>
        </w:tc>
        <w:tc>
          <w:tcPr>
            <w:tcW w:w="709" w:type="dxa"/>
            <w:tcBorders>
              <w:top w:val="nil"/>
              <w:left w:val="nil"/>
              <w:bottom w:val="single" w:sz="4" w:space="0" w:color="auto"/>
              <w:right w:val="single" w:sz="4" w:space="0" w:color="auto"/>
            </w:tcBorders>
            <w:noWrap/>
            <w:vAlign w:val="center"/>
            <w:hideMark/>
          </w:tcPr>
          <w:p w14:paraId="1B48081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56ABCE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ADE18B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R$ 304,07</w:t>
            </w:r>
          </w:p>
        </w:tc>
        <w:tc>
          <w:tcPr>
            <w:tcW w:w="1559" w:type="dxa"/>
            <w:tcBorders>
              <w:top w:val="nil"/>
              <w:left w:val="nil"/>
              <w:bottom w:val="single" w:sz="4" w:space="0" w:color="auto"/>
              <w:right w:val="single" w:sz="4" w:space="0" w:color="auto"/>
            </w:tcBorders>
            <w:noWrap/>
            <w:vAlign w:val="center"/>
            <w:hideMark/>
          </w:tcPr>
          <w:p w14:paraId="1567687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3.648,84 </w:t>
            </w:r>
          </w:p>
        </w:tc>
      </w:tr>
      <w:tr w:rsidR="00B307DB" w:rsidRPr="00A7764A" w14:paraId="7D1BDD84"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6A62E45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1.1.11</w:t>
            </w:r>
          </w:p>
        </w:tc>
        <w:tc>
          <w:tcPr>
            <w:tcW w:w="4111" w:type="dxa"/>
            <w:tcBorders>
              <w:top w:val="nil"/>
              <w:left w:val="nil"/>
              <w:bottom w:val="single" w:sz="4" w:space="0" w:color="auto"/>
              <w:right w:val="single" w:sz="4" w:space="0" w:color="auto"/>
            </w:tcBorders>
            <w:noWrap/>
            <w:vAlign w:val="center"/>
            <w:hideMark/>
          </w:tcPr>
          <w:p w14:paraId="6EDE3285"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Ponto Eletrônico</w:t>
            </w:r>
          </w:p>
        </w:tc>
        <w:tc>
          <w:tcPr>
            <w:tcW w:w="709" w:type="dxa"/>
            <w:tcBorders>
              <w:top w:val="nil"/>
              <w:left w:val="nil"/>
              <w:bottom w:val="single" w:sz="4" w:space="0" w:color="auto"/>
              <w:right w:val="single" w:sz="4" w:space="0" w:color="auto"/>
            </w:tcBorders>
            <w:noWrap/>
            <w:vAlign w:val="center"/>
            <w:hideMark/>
          </w:tcPr>
          <w:p w14:paraId="5D45078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C3DF55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FFA191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R$ 587,43</w:t>
            </w:r>
          </w:p>
        </w:tc>
        <w:tc>
          <w:tcPr>
            <w:tcW w:w="1559" w:type="dxa"/>
            <w:tcBorders>
              <w:top w:val="nil"/>
              <w:left w:val="nil"/>
              <w:bottom w:val="single" w:sz="4" w:space="0" w:color="auto"/>
              <w:right w:val="single" w:sz="4" w:space="0" w:color="auto"/>
            </w:tcBorders>
            <w:noWrap/>
            <w:vAlign w:val="center"/>
            <w:hideMark/>
          </w:tcPr>
          <w:p w14:paraId="28A2802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7.049,16 </w:t>
            </w:r>
          </w:p>
        </w:tc>
      </w:tr>
      <w:tr w:rsidR="00B307DB" w:rsidRPr="00A7764A" w14:paraId="2C3E9EBC"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310E005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1.1.12</w:t>
            </w:r>
          </w:p>
        </w:tc>
        <w:tc>
          <w:tcPr>
            <w:tcW w:w="4111" w:type="dxa"/>
            <w:tcBorders>
              <w:top w:val="nil"/>
              <w:left w:val="nil"/>
              <w:bottom w:val="single" w:sz="4" w:space="0" w:color="auto"/>
              <w:right w:val="single" w:sz="4" w:space="0" w:color="auto"/>
            </w:tcBorders>
            <w:noWrap/>
            <w:vAlign w:val="center"/>
            <w:hideMark/>
          </w:tcPr>
          <w:p w14:paraId="01311A40"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IPTU e Taxas</w:t>
            </w:r>
          </w:p>
        </w:tc>
        <w:tc>
          <w:tcPr>
            <w:tcW w:w="709" w:type="dxa"/>
            <w:tcBorders>
              <w:top w:val="nil"/>
              <w:left w:val="nil"/>
              <w:bottom w:val="single" w:sz="4" w:space="0" w:color="auto"/>
              <w:right w:val="single" w:sz="4" w:space="0" w:color="auto"/>
            </w:tcBorders>
            <w:noWrap/>
            <w:vAlign w:val="center"/>
            <w:hideMark/>
          </w:tcPr>
          <w:p w14:paraId="53C8C5A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8530DD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547515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R$ 583,65</w:t>
            </w:r>
          </w:p>
        </w:tc>
        <w:tc>
          <w:tcPr>
            <w:tcW w:w="1559" w:type="dxa"/>
            <w:tcBorders>
              <w:top w:val="nil"/>
              <w:left w:val="nil"/>
              <w:bottom w:val="single" w:sz="4" w:space="0" w:color="auto"/>
              <w:right w:val="single" w:sz="4" w:space="0" w:color="auto"/>
            </w:tcBorders>
            <w:noWrap/>
            <w:vAlign w:val="center"/>
            <w:hideMark/>
          </w:tcPr>
          <w:p w14:paraId="1C094F9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7.003,80 </w:t>
            </w:r>
          </w:p>
        </w:tc>
      </w:tr>
      <w:tr w:rsidR="00B307DB" w:rsidRPr="00A7764A" w14:paraId="6B04E118"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795C4E1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1.1.13</w:t>
            </w:r>
          </w:p>
        </w:tc>
        <w:tc>
          <w:tcPr>
            <w:tcW w:w="4111" w:type="dxa"/>
            <w:tcBorders>
              <w:top w:val="nil"/>
              <w:left w:val="nil"/>
              <w:bottom w:val="single" w:sz="4" w:space="0" w:color="auto"/>
              <w:right w:val="single" w:sz="4" w:space="0" w:color="auto"/>
            </w:tcBorders>
            <w:noWrap/>
            <w:vAlign w:val="center"/>
            <w:hideMark/>
          </w:tcPr>
          <w:p w14:paraId="652CA03F"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ISSQN e Taxas</w:t>
            </w:r>
          </w:p>
        </w:tc>
        <w:tc>
          <w:tcPr>
            <w:tcW w:w="709" w:type="dxa"/>
            <w:tcBorders>
              <w:top w:val="nil"/>
              <w:left w:val="nil"/>
              <w:bottom w:val="single" w:sz="4" w:space="0" w:color="auto"/>
              <w:right w:val="single" w:sz="4" w:space="0" w:color="auto"/>
            </w:tcBorders>
            <w:noWrap/>
            <w:vAlign w:val="center"/>
            <w:hideMark/>
          </w:tcPr>
          <w:p w14:paraId="7C0C6D4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03C8EED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E7FBB3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R$ 584,77</w:t>
            </w:r>
          </w:p>
        </w:tc>
        <w:tc>
          <w:tcPr>
            <w:tcW w:w="1559" w:type="dxa"/>
            <w:tcBorders>
              <w:top w:val="nil"/>
              <w:left w:val="nil"/>
              <w:bottom w:val="single" w:sz="4" w:space="0" w:color="auto"/>
              <w:right w:val="single" w:sz="4" w:space="0" w:color="auto"/>
            </w:tcBorders>
            <w:noWrap/>
            <w:vAlign w:val="center"/>
            <w:hideMark/>
          </w:tcPr>
          <w:p w14:paraId="153D482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7.017,24 </w:t>
            </w:r>
          </w:p>
        </w:tc>
      </w:tr>
      <w:tr w:rsidR="00B307DB" w:rsidRPr="00A7764A" w14:paraId="278E24EA"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353C3E0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1.1.14</w:t>
            </w:r>
          </w:p>
        </w:tc>
        <w:tc>
          <w:tcPr>
            <w:tcW w:w="4111" w:type="dxa"/>
            <w:tcBorders>
              <w:top w:val="nil"/>
              <w:left w:val="nil"/>
              <w:bottom w:val="single" w:sz="4" w:space="0" w:color="auto"/>
              <w:right w:val="single" w:sz="4" w:space="0" w:color="auto"/>
            </w:tcBorders>
            <w:noWrap/>
            <w:vAlign w:val="center"/>
            <w:hideMark/>
          </w:tcPr>
          <w:p w14:paraId="632419A9"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ITBI e Taxas</w:t>
            </w:r>
          </w:p>
        </w:tc>
        <w:tc>
          <w:tcPr>
            <w:tcW w:w="709" w:type="dxa"/>
            <w:tcBorders>
              <w:top w:val="nil"/>
              <w:left w:val="nil"/>
              <w:bottom w:val="single" w:sz="4" w:space="0" w:color="auto"/>
              <w:right w:val="single" w:sz="4" w:space="0" w:color="auto"/>
            </w:tcBorders>
            <w:noWrap/>
            <w:vAlign w:val="center"/>
            <w:hideMark/>
          </w:tcPr>
          <w:p w14:paraId="7AF94C0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8E7588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E3C09B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R$ 441,19</w:t>
            </w:r>
          </w:p>
        </w:tc>
        <w:tc>
          <w:tcPr>
            <w:tcW w:w="1559" w:type="dxa"/>
            <w:tcBorders>
              <w:top w:val="nil"/>
              <w:left w:val="nil"/>
              <w:bottom w:val="single" w:sz="4" w:space="0" w:color="auto"/>
              <w:right w:val="single" w:sz="4" w:space="0" w:color="auto"/>
            </w:tcBorders>
            <w:noWrap/>
            <w:vAlign w:val="center"/>
            <w:hideMark/>
          </w:tcPr>
          <w:p w14:paraId="104E513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5.294,28 </w:t>
            </w:r>
          </w:p>
        </w:tc>
      </w:tr>
      <w:tr w:rsidR="00B307DB" w:rsidRPr="00A7764A" w14:paraId="503D430F"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132AE38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1.1.15</w:t>
            </w:r>
          </w:p>
        </w:tc>
        <w:tc>
          <w:tcPr>
            <w:tcW w:w="4111" w:type="dxa"/>
            <w:tcBorders>
              <w:top w:val="nil"/>
              <w:left w:val="nil"/>
              <w:bottom w:val="single" w:sz="4" w:space="0" w:color="auto"/>
              <w:right w:val="single" w:sz="4" w:space="0" w:color="auto"/>
            </w:tcBorders>
            <w:noWrap/>
            <w:vAlign w:val="center"/>
            <w:hideMark/>
          </w:tcPr>
          <w:p w14:paraId="6F666BB5"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Receitas Diversas</w:t>
            </w:r>
          </w:p>
        </w:tc>
        <w:tc>
          <w:tcPr>
            <w:tcW w:w="709" w:type="dxa"/>
            <w:tcBorders>
              <w:top w:val="nil"/>
              <w:left w:val="nil"/>
              <w:bottom w:val="single" w:sz="4" w:space="0" w:color="auto"/>
              <w:right w:val="single" w:sz="4" w:space="0" w:color="auto"/>
            </w:tcBorders>
            <w:noWrap/>
            <w:vAlign w:val="center"/>
            <w:hideMark/>
          </w:tcPr>
          <w:p w14:paraId="473EE02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22A63D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F449B2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R$ 170,82</w:t>
            </w:r>
          </w:p>
        </w:tc>
        <w:tc>
          <w:tcPr>
            <w:tcW w:w="1559" w:type="dxa"/>
            <w:tcBorders>
              <w:top w:val="nil"/>
              <w:left w:val="nil"/>
              <w:bottom w:val="single" w:sz="4" w:space="0" w:color="auto"/>
              <w:right w:val="single" w:sz="4" w:space="0" w:color="auto"/>
            </w:tcBorders>
            <w:noWrap/>
            <w:vAlign w:val="center"/>
            <w:hideMark/>
          </w:tcPr>
          <w:p w14:paraId="4601DB0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2.049,84 </w:t>
            </w:r>
          </w:p>
        </w:tc>
      </w:tr>
      <w:tr w:rsidR="00B307DB" w:rsidRPr="00A7764A" w14:paraId="55343E5D"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9427F4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1.1.16</w:t>
            </w:r>
          </w:p>
        </w:tc>
        <w:tc>
          <w:tcPr>
            <w:tcW w:w="4111" w:type="dxa"/>
            <w:tcBorders>
              <w:top w:val="nil"/>
              <w:left w:val="nil"/>
              <w:bottom w:val="single" w:sz="4" w:space="0" w:color="auto"/>
              <w:right w:val="single" w:sz="4" w:space="0" w:color="auto"/>
            </w:tcBorders>
            <w:noWrap/>
            <w:vAlign w:val="center"/>
            <w:hideMark/>
          </w:tcPr>
          <w:p w14:paraId="67197EB0"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Dívida Ativa</w:t>
            </w:r>
          </w:p>
        </w:tc>
        <w:tc>
          <w:tcPr>
            <w:tcW w:w="709" w:type="dxa"/>
            <w:tcBorders>
              <w:top w:val="nil"/>
              <w:left w:val="nil"/>
              <w:bottom w:val="single" w:sz="4" w:space="0" w:color="auto"/>
              <w:right w:val="single" w:sz="4" w:space="0" w:color="auto"/>
            </w:tcBorders>
            <w:noWrap/>
            <w:vAlign w:val="center"/>
            <w:hideMark/>
          </w:tcPr>
          <w:p w14:paraId="581E131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4CFE59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6A802E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R$ 590,07</w:t>
            </w:r>
          </w:p>
        </w:tc>
        <w:tc>
          <w:tcPr>
            <w:tcW w:w="1559" w:type="dxa"/>
            <w:tcBorders>
              <w:top w:val="nil"/>
              <w:left w:val="nil"/>
              <w:bottom w:val="single" w:sz="4" w:space="0" w:color="auto"/>
              <w:right w:val="single" w:sz="4" w:space="0" w:color="auto"/>
            </w:tcBorders>
            <w:noWrap/>
            <w:vAlign w:val="center"/>
            <w:hideMark/>
          </w:tcPr>
          <w:p w14:paraId="768486C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7.080,84 </w:t>
            </w:r>
          </w:p>
        </w:tc>
      </w:tr>
      <w:tr w:rsidR="00B307DB" w:rsidRPr="00A7764A" w14:paraId="4A8F541F"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049522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lastRenderedPageBreak/>
              <w:t>1.1.17</w:t>
            </w:r>
          </w:p>
        </w:tc>
        <w:tc>
          <w:tcPr>
            <w:tcW w:w="4111" w:type="dxa"/>
            <w:tcBorders>
              <w:top w:val="nil"/>
              <w:left w:val="nil"/>
              <w:bottom w:val="single" w:sz="4" w:space="0" w:color="auto"/>
              <w:right w:val="single" w:sz="4" w:space="0" w:color="auto"/>
            </w:tcBorders>
            <w:noWrap/>
            <w:vAlign w:val="center"/>
            <w:hideMark/>
          </w:tcPr>
          <w:p w14:paraId="27E23A67"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Starter</w:t>
            </w:r>
          </w:p>
        </w:tc>
        <w:tc>
          <w:tcPr>
            <w:tcW w:w="709" w:type="dxa"/>
            <w:tcBorders>
              <w:top w:val="nil"/>
              <w:left w:val="nil"/>
              <w:bottom w:val="single" w:sz="4" w:space="0" w:color="auto"/>
              <w:right w:val="single" w:sz="4" w:space="0" w:color="auto"/>
            </w:tcBorders>
            <w:noWrap/>
            <w:vAlign w:val="center"/>
            <w:hideMark/>
          </w:tcPr>
          <w:p w14:paraId="2CE741C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ED3709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0944AD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R$ 979,85</w:t>
            </w:r>
          </w:p>
        </w:tc>
        <w:tc>
          <w:tcPr>
            <w:tcW w:w="1559" w:type="dxa"/>
            <w:tcBorders>
              <w:top w:val="nil"/>
              <w:left w:val="nil"/>
              <w:bottom w:val="single" w:sz="4" w:space="0" w:color="auto"/>
              <w:right w:val="single" w:sz="4" w:space="0" w:color="auto"/>
            </w:tcBorders>
            <w:noWrap/>
            <w:vAlign w:val="center"/>
            <w:hideMark/>
          </w:tcPr>
          <w:p w14:paraId="64090EF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11.758,20 </w:t>
            </w:r>
          </w:p>
        </w:tc>
      </w:tr>
      <w:tr w:rsidR="00B307DB" w:rsidRPr="00A7764A" w14:paraId="233CA164"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779B0CE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1.1.18</w:t>
            </w:r>
          </w:p>
        </w:tc>
        <w:tc>
          <w:tcPr>
            <w:tcW w:w="4111" w:type="dxa"/>
            <w:tcBorders>
              <w:top w:val="nil"/>
              <w:left w:val="nil"/>
              <w:bottom w:val="single" w:sz="4" w:space="0" w:color="auto"/>
              <w:right w:val="single" w:sz="4" w:space="0" w:color="auto"/>
            </w:tcBorders>
            <w:noWrap/>
            <w:vAlign w:val="center"/>
            <w:hideMark/>
          </w:tcPr>
          <w:p w14:paraId="124B5D2E"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Procuradoria</w:t>
            </w:r>
          </w:p>
        </w:tc>
        <w:tc>
          <w:tcPr>
            <w:tcW w:w="709" w:type="dxa"/>
            <w:tcBorders>
              <w:top w:val="nil"/>
              <w:left w:val="nil"/>
              <w:bottom w:val="single" w:sz="4" w:space="0" w:color="auto"/>
              <w:right w:val="single" w:sz="4" w:space="0" w:color="auto"/>
            </w:tcBorders>
            <w:noWrap/>
            <w:vAlign w:val="center"/>
            <w:hideMark/>
          </w:tcPr>
          <w:p w14:paraId="70425E0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D1E858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6F5EC2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R$ 687,03</w:t>
            </w:r>
          </w:p>
        </w:tc>
        <w:tc>
          <w:tcPr>
            <w:tcW w:w="1559" w:type="dxa"/>
            <w:tcBorders>
              <w:top w:val="nil"/>
              <w:left w:val="nil"/>
              <w:bottom w:val="single" w:sz="4" w:space="0" w:color="auto"/>
              <w:right w:val="single" w:sz="4" w:space="0" w:color="auto"/>
            </w:tcBorders>
            <w:noWrap/>
            <w:vAlign w:val="center"/>
            <w:hideMark/>
          </w:tcPr>
          <w:p w14:paraId="3371790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8.244,36 </w:t>
            </w:r>
          </w:p>
        </w:tc>
      </w:tr>
      <w:tr w:rsidR="00B307DB" w:rsidRPr="00A7764A" w14:paraId="7AAF1042"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6808345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1.1.19</w:t>
            </w:r>
          </w:p>
        </w:tc>
        <w:tc>
          <w:tcPr>
            <w:tcW w:w="4111" w:type="dxa"/>
            <w:tcBorders>
              <w:top w:val="nil"/>
              <w:left w:val="nil"/>
              <w:bottom w:val="single" w:sz="4" w:space="0" w:color="auto"/>
              <w:right w:val="single" w:sz="4" w:space="0" w:color="auto"/>
            </w:tcBorders>
            <w:noWrap/>
            <w:vAlign w:val="center"/>
            <w:hideMark/>
          </w:tcPr>
          <w:p w14:paraId="1DCDFF73"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Obras e Posturas</w:t>
            </w:r>
          </w:p>
        </w:tc>
        <w:tc>
          <w:tcPr>
            <w:tcW w:w="709" w:type="dxa"/>
            <w:tcBorders>
              <w:top w:val="nil"/>
              <w:left w:val="nil"/>
              <w:bottom w:val="single" w:sz="4" w:space="0" w:color="auto"/>
              <w:right w:val="single" w:sz="4" w:space="0" w:color="auto"/>
            </w:tcBorders>
            <w:noWrap/>
            <w:vAlign w:val="center"/>
            <w:hideMark/>
          </w:tcPr>
          <w:p w14:paraId="02CD979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43CB01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73CBD2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R$ 388,03</w:t>
            </w:r>
          </w:p>
        </w:tc>
        <w:tc>
          <w:tcPr>
            <w:tcW w:w="1559" w:type="dxa"/>
            <w:tcBorders>
              <w:top w:val="nil"/>
              <w:left w:val="nil"/>
              <w:bottom w:val="single" w:sz="4" w:space="0" w:color="auto"/>
              <w:right w:val="single" w:sz="4" w:space="0" w:color="auto"/>
            </w:tcBorders>
            <w:noWrap/>
            <w:vAlign w:val="center"/>
            <w:hideMark/>
          </w:tcPr>
          <w:p w14:paraId="0031344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4.656,36 </w:t>
            </w:r>
          </w:p>
        </w:tc>
      </w:tr>
      <w:tr w:rsidR="00B307DB" w:rsidRPr="00A7764A" w14:paraId="2CA6C93E"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90FA1F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1.1.20</w:t>
            </w:r>
          </w:p>
        </w:tc>
        <w:tc>
          <w:tcPr>
            <w:tcW w:w="4111" w:type="dxa"/>
            <w:tcBorders>
              <w:top w:val="nil"/>
              <w:left w:val="nil"/>
              <w:bottom w:val="single" w:sz="4" w:space="0" w:color="auto"/>
              <w:right w:val="single" w:sz="4" w:space="0" w:color="auto"/>
            </w:tcBorders>
            <w:noWrap/>
            <w:vAlign w:val="center"/>
            <w:hideMark/>
          </w:tcPr>
          <w:p w14:paraId="57C5A832"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Protocolo e Processo Digital</w:t>
            </w:r>
          </w:p>
        </w:tc>
        <w:tc>
          <w:tcPr>
            <w:tcW w:w="709" w:type="dxa"/>
            <w:tcBorders>
              <w:top w:val="nil"/>
              <w:left w:val="nil"/>
              <w:bottom w:val="single" w:sz="4" w:space="0" w:color="auto"/>
              <w:right w:val="single" w:sz="4" w:space="0" w:color="auto"/>
            </w:tcBorders>
            <w:noWrap/>
            <w:vAlign w:val="center"/>
            <w:hideMark/>
          </w:tcPr>
          <w:p w14:paraId="54D25EB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588FA3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12F4A28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R$ 1.292,74</w:t>
            </w:r>
          </w:p>
        </w:tc>
        <w:tc>
          <w:tcPr>
            <w:tcW w:w="1559" w:type="dxa"/>
            <w:tcBorders>
              <w:top w:val="nil"/>
              <w:left w:val="nil"/>
              <w:bottom w:val="single" w:sz="4" w:space="0" w:color="auto"/>
              <w:right w:val="single" w:sz="4" w:space="0" w:color="auto"/>
            </w:tcBorders>
            <w:noWrap/>
            <w:vAlign w:val="center"/>
            <w:hideMark/>
          </w:tcPr>
          <w:p w14:paraId="4E0B902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15.512,88 </w:t>
            </w:r>
          </w:p>
        </w:tc>
      </w:tr>
      <w:tr w:rsidR="00B307DB" w:rsidRPr="00A7764A" w14:paraId="34FE101A"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1583208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1.1.21</w:t>
            </w:r>
          </w:p>
        </w:tc>
        <w:tc>
          <w:tcPr>
            <w:tcW w:w="4111" w:type="dxa"/>
            <w:tcBorders>
              <w:top w:val="nil"/>
              <w:left w:val="nil"/>
              <w:bottom w:val="single" w:sz="4" w:space="0" w:color="auto"/>
              <w:right w:val="single" w:sz="4" w:space="0" w:color="auto"/>
            </w:tcBorders>
            <w:noWrap/>
            <w:vAlign w:val="center"/>
            <w:hideMark/>
          </w:tcPr>
          <w:p w14:paraId="628375B7"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APP</w:t>
            </w:r>
          </w:p>
        </w:tc>
        <w:tc>
          <w:tcPr>
            <w:tcW w:w="709" w:type="dxa"/>
            <w:tcBorders>
              <w:top w:val="nil"/>
              <w:left w:val="nil"/>
              <w:bottom w:val="single" w:sz="4" w:space="0" w:color="auto"/>
              <w:right w:val="single" w:sz="4" w:space="0" w:color="auto"/>
            </w:tcBorders>
            <w:noWrap/>
            <w:vAlign w:val="center"/>
            <w:hideMark/>
          </w:tcPr>
          <w:p w14:paraId="6847E0C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887BA7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A0A391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R$ 575,13</w:t>
            </w:r>
          </w:p>
        </w:tc>
        <w:tc>
          <w:tcPr>
            <w:tcW w:w="1559" w:type="dxa"/>
            <w:tcBorders>
              <w:top w:val="nil"/>
              <w:left w:val="nil"/>
              <w:bottom w:val="single" w:sz="4" w:space="0" w:color="auto"/>
              <w:right w:val="single" w:sz="4" w:space="0" w:color="auto"/>
            </w:tcBorders>
            <w:noWrap/>
            <w:vAlign w:val="center"/>
            <w:hideMark/>
          </w:tcPr>
          <w:p w14:paraId="753CB52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6.901,56 </w:t>
            </w:r>
          </w:p>
        </w:tc>
      </w:tr>
      <w:tr w:rsidR="00B307DB" w:rsidRPr="00A7764A" w14:paraId="7D8E5839"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11BC903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1.1.22</w:t>
            </w:r>
          </w:p>
        </w:tc>
        <w:tc>
          <w:tcPr>
            <w:tcW w:w="4111" w:type="dxa"/>
            <w:tcBorders>
              <w:top w:val="nil"/>
              <w:left w:val="nil"/>
              <w:bottom w:val="single" w:sz="4" w:space="0" w:color="auto"/>
              <w:right w:val="single" w:sz="4" w:space="0" w:color="auto"/>
            </w:tcBorders>
            <w:noWrap/>
            <w:vAlign w:val="center"/>
            <w:hideMark/>
          </w:tcPr>
          <w:p w14:paraId="09F433A5"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e-Comunica</w:t>
            </w:r>
          </w:p>
        </w:tc>
        <w:tc>
          <w:tcPr>
            <w:tcW w:w="709" w:type="dxa"/>
            <w:tcBorders>
              <w:top w:val="nil"/>
              <w:left w:val="nil"/>
              <w:bottom w:val="single" w:sz="4" w:space="0" w:color="auto"/>
              <w:right w:val="single" w:sz="4" w:space="0" w:color="auto"/>
            </w:tcBorders>
            <w:noWrap/>
            <w:vAlign w:val="center"/>
            <w:hideMark/>
          </w:tcPr>
          <w:p w14:paraId="786DE8E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B8BD27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E15C0B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R$ 778,48</w:t>
            </w:r>
          </w:p>
        </w:tc>
        <w:tc>
          <w:tcPr>
            <w:tcW w:w="1559" w:type="dxa"/>
            <w:tcBorders>
              <w:top w:val="nil"/>
              <w:left w:val="nil"/>
              <w:bottom w:val="single" w:sz="4" w:space="0" w:color="auto"/>
              <w:right w:val="single" w:sz="4" w:space="0" w:color="auto"/>
            </w:tcBorders>
            <w:noWrap/>
            <w:vAlign w:val="center"/>
            <w:hideMark/>
          </w:tcPr>
          <w:p w14:paraId="138F5A7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9.341,76 </w:t>
            </w:r>
          </w:p>
        </w:tc>
      </w:tr>
      <w:tr w:rsidR="00B307DB" w:rsidRPr="00A7764A" w14:paraId="6EF19D5C"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8DB907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1.1.23</w:t>
            </w:r>
          </w:p>
        </w:tc>
        <w:tc>
          <w:tcPr>
            <w:tcW w:w="4111" w:type="dxa"/>
            <w:tcBorders>
              <w:top w:val="nil"/>
              <w:left w:val="nil"/>
              <w:bottom w:val="single" w:sz="4" w:space="0" w:color="auto"/>
              <w:right w:val="single" w:sz="4" w:space="0" w:color="auto"/>
            </w:tcBorders>
            <w:noWrap/>
            <w:vAlign w:val="center"/>
            <w:hideMark/>
          </w:tcPr>
          <w:p w14:paraId="7A423EE8"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Portal de Autoatendimento</w:t>
            </w:r>
          </w:p>
        </w:tc>
        <w:tc>
          <w:tcPr>
            <w:tcW w:w="709" w:type="dxa"/>
            <w:tcBorders>
              <w:top w:val="nil"/>
              <w:left w:val="nil"/>
              <w:bottom w:val="single" w:sz="4" w:space="0" w:color="auto"/>
              <w:right w:val="single" w:sz="4" w:space="0" w:color="auto"/>
            </w:tcBorders>
            <w:noWrap/>
            <w:vAlign w:val="center"/>
            <w:hideMark/>
          </w:tcPr>
          <w:p w14:paraId="5A74390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7BC870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693F37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R$ 580,24</w:t>
            </w:r>
          </w:p>
        </w:tc>
        <w:tc>
          <w:tcPr>
            <w:tcW w:w="1559" w:type="dxa"/>
            <w:tcBorders>
              <w:top w:val="nil"/>
              <w:left w:val="nil"/>
              <w:bottom w:val="single" w:sz="4" w:space="0" w:color="auto"/>
              <w:right w:val="single" w:sz="4" w:space="0" w:color="auto"/>
            </w:tcBorders>
            <w:noWrap/>
            <w:vAlign w:val="center"/>
            <w:hideMark/>
          </w:tcPr>
          <w:p w14:paraId="04EF649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6.962,88 </w:t>
            </w:r>
          </w:p>
        </w:tc>
      </w:tr>
      <w:tr w:rsidR="00B307DB" w:rsidRPr="00A7764A" w14:paraId="3284BD45"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62EC35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1.1.24</w:t>
            </w:r>
          </w:p>
        </w:tc>
        <w:tc>
          <w:tcPr>
            <w:tcW w:w="4111" w:type="dxa"/>
            <w:tcBorders>
              <w:top w:val="nil"/>
              <w:left w:val="nil"/>
              <w:bottom w:val="single" w:sz="4" w:space="0" w:color="auto"/>
              <w:right w:val="single" w:sz="4" w:space="0" w:color="auto"/>
            </w:tcBorders>
            <w:noWrap/>
            <w:vAlign w:val="center"/>
            <w:hideMark/>
          </w:tcPr>
          <w:p w14:paraId="0B08B042"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Portal da Transparência</w:t>
            </w:r>
          </w:p>
        </w:tc>
        <w:tc>
          <w:tcPr>
            <w:tcW w:w="709" w:type="dxa"/>
            <w:tcBorders>
              <w:top w:val="nil"/>
              <w:left w:val="nil"/>
              <w:bottom w:val="single" w:sz="4" w:space="0" w:color="auto"/>
              <w:right w:val="single" w:sz="4" w:space="0" w:color="auto"/>
            </w:tcBorders>
            <w:noWrap/>
            <w:vAlign w:val="center"/>
            <w:hideMark/>
          </w:tcPr>
          <w:p w14:paraId="675E8AA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0FAD94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26D544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R$ 656,10</w:t>
            </w:r>
          </w:p>
        </w:tc>
        <w:tc>
          <w:tcPr>
            <w:tcW w:w="1559" w:type="dxa"/>
            <w:tcBorders>
              <w:top w:val="nil"/>
              <w:left w:val="nil"/>
              <w:bottom w:val="single" w:sz="4" w:space="0" w:color="auto"/>
              <w:right w:val="single" w:sz="4" w:space="0" w:color="auto"/>
            </w:tcBorders>
            <w:noWrap/>
            <w:vAlign w:val="center"/>
            <w:hideMark/>
          </w:tcPr>
          <w:p w14:paraId="5745F99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7.873,20 </w:t>
            </w:r>
          </w:p>
        </w:tc>
      </w:tr>
      <w:tr w:rsidR="00B307DB" w:rsidRPr="00A7764A" w14:paraId="0B9D0BA2"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95DC86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1.1.25</w:t>
            </w:r>
          </w:p>
        </w:tc>
        <w:tc>
          <w:tcPr>
            <w:tcW w:w="4111" w:type="dxa"/>
            <w:tcBorders>
              <w:top w:val="nil"/>
              <w:left w:val="nil"/>
              <w:bottom w:val="single" w:sz="4" w:space="0" w:color="auto"/>
              <w:right w:val="single" w:sz="4" w:space="0" w:color="auto"/>
            </w:tcBorders>
            <w:noWrap/>
            <w:vAlign w:val="center"/>
            <w:hideMark/>
          </w:tcPr>
          <w:p w14:paraId="0DDCC938"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Portal institucional</w:t>
            </w:r>
          </w:p>
        </w:tc>
        <w:tc>
          <w:tcPr>
            <w:tcW w:w="709" w:type="dxa"/>
            <w:tcBorders>
              <w:top w:val="nil"/>
              <w:left w:val="nil"/>
              <w:bottom w:val="single" w:sz="4" w:space="0" w:color="auto"/>
              <w:right w:val="single" w:sz="4" w:space="0" w:color="auto"/>
            </w:tcBorders>
            <w:noWrap/>
            <w:vAlign w:val="center"/>
            <w:hideMark/>
          </w:tcPr>
          <w:p w14:paraId="6A20219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DB66DA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0A9AB0C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R$ 576,67</w:t>
            </w:r>
          </w:p>
        </w:tc>
        <w:tc>
          <w:tcPr>
            <w:tcW w:w="1559" w:type="dxa"/>
            <w:tcBorders>
              <w:top w:val="nil"/>
              <w:left w:val="nil"/>
              <w:bottom w:val="single" w:sz="4" w:space="0" w:color="auto"/>
              <w:right w:val="single" w:sz="4" w:space="0" w:color="auto"/>
            </w:tcBorders>
            <w:noWrap/>
            <w:vAlign w:val="center"/>
            <w:hideMark/>
          </w:tcPr>
          <w:p w14:paraId="6B7BE8C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6.920,04 </w:t>
            </w:r>
          </w:p>
        </w:tc>
      </w:tr>
      <w:tr w:rsidR="00B307DB" w:rsidRPr="00A7764A" w14:paraId="3C3AADCE"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2D3FF5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1.1.26</w:t>
            </w:r>
          </w:p>
        </w:tc>
        <w:tc>
          <w:tcPr>
            <w:tcW w:w="4111" w:type="dxa"/>
            <w:tcBorders>
              <w:top w:val="nil"/>
              <w:left w:val="nil"/>
              <w:bottom w:val="single" w:sz="4" w:space="0" w:color="auto"/>
              <w:right w:val="single" w:sz="4" w:space="0" w:color="auto"/>
            </w:tcBorders>
            <w:noWrap/>
            <w:vAlign w:val="center"/>
            <w:hideMark/>
          </w:tcPr>
          <w:p w14:paraId="39F6D2D8"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Nota Fiscal Eletrônica</w:t>
            </w:r>
          </w:p>
        </w:tc>
        <w:tc>
          <w:tcPr>
            <w:tcW w:w="709" w:type="dxa"/>
            <w:tcBorders>
              <w:top w:val="nil"/>
              <w:left w:val="nil"/>
              <w:bottom w:val="single" w:sz="4" w:space="0" w:color="auto"/>
              <w:right w:val="single" w:sz="4" w:space="0" w:color="auto"/>
            </w:tcBorders>
            <w:noWrap/>
            <w:vAlign w:val="center"/>
            <w:hideMark/>
          </w:tcPr>
          <w:p w14:paraId="4D036B1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72FCA7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1F76F5C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R$ 1.673,12</w:t>
            </w:r>
          </w:p>
        </w:tc>
        <w:tc>
          <w:tcPr>
            <w:tcW w:w="1559" w:type="dxa"/>
            <w:tcBorders>
              <w:top w:val="nil"/>
              <w:left w:val="nil"/>
              <w:bottom w:val="single" w:sz="4" w:space="0" w:color="auto"/>
              <w:right w:val="single" w:sz="4" w:space="0" w:color="auto"/>
            </w:tcBorders>
            <w:noWrap/>
            <w:vAlign w:val="center"/>
            <w:hideMark/>
          </w:tcPr>
          <w:p w14:paraId="31C0604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20.077,44 </w:t>
            </w:r>
          </w:p>
        </w:tc>
      </w:tr>
      <w:tr w:rsidR="00B307DB" w:rsidRPr="00A7764A" w14:paraId="4C239D6A"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322A972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1.1.27</w:t>
            </w:r>
          </w:p>
        </w:tc>
        <w:tc>
          <w:tcPr>
            <w:tcW w:w="4111" w:type="dxa"/>
            <w:tcBorders>
              <w:top w:val="nil"/>
              <w:left w:val="nil"/>
              <w:bottom w:val="single" w:sz="4" w:space="0" w:color="auto"/>
              <w:right w:val="single" w:sz="4" w:space="0" w:color="auto"/>
            </w:tcBorders>
            <w:noWrap/>
            <w:vAlign w:val="center"/>
            <w:hideMark/>
          </w:tcPr>
          <w:p w14:paraId="26F54215"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Escrita Fiscal</w:t>
            </w:r>
          </w:p>
        </w:tc>
        <w:tc>
          <w:tcPr>
            <w:tcW w:w="709" w:type="dxa"/>
            <w:tcBorders>
              <w:top w:val="nil"/>
              <w:left w:val="nil"/>
              <w:bottom w:val="single" w:sz="4" w:space="0" w:color="auto"/>
              <w:right w:val="single" w:sz="4" w:space="0" w:color="auto"/>
            </w:tcBorders>
            <w:noWrap/>
            <w:vAlign w:val="center"/>
            <w:hideMark/>
          </w:tcPr>
          <w:p w14:paraId="29F4D8B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12B1AC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DAF41D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R$ 817,81</w:t>
            </w:r>
          </w:p>
        </w:tc>
        <w:tc>
          <w:tcPr>
            <w:tcW w:w="1559" w:type="dxa"/>
            <w:tcBorders>
              <w:top w:val="nil"/>
              <w:left w:val="nil"/>
              <w:bottom w:val="single" w:sz="4" w:space="0" w:color="auto"/>
              <w:right w:val="single" w:sz="4" w:space="0" w:color="auto"/>
            </w:tcBorders>
            <w:noWrap/>
            <w:vAlign w:val="center"/>
            <w:hideMark/>
          </w:tcPr>
          <w:p w14:paraId="277EF25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9.813,72 </w:t>
            </w:r>
          </w:p>
        </w:tc>
      </w:tr>
      <w:tr w:rsidR="00B307DB" w:rsidRPr="00A7764A" w14:paraId="31528A54"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0D5AD2F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1.1.28</w:t>
            </w:r>
          </w:p>
        </w:tc>
        <w:tc>
          <w:tcPr>
            <w:tcW w:w="4111" w:type="dxa"/>
            <w:tcBorders>
              <w:top w:val="nil"/>
              <w:left w:val="nil"/>
              <w:bottom w:val="single" w:sz="4" w:space="0" w:color="auto"/>
              <w:right w:val="single" w:sz="4" w:space="0" w:color="auto"/>
            </w:tcBorders>
            <w:noWrap/>
            <w:vAlign w:val="center"/>
            <w:hideMark/>
          </w:tcPr>
          <w:p w14:paraId="705CE177"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Simples Nacional</w:t>
            </w:r>
          </w:p>
        </w:tc>
        <w:tc>
          <w:tcPr>
            <w:tcW w:w="709" w:type="dxa"/>
            <w:tcBorders>
              <w:top w:val="nil"/>
              <w:left w:val="nil"/>
              <w:bottom w:val="single" w:sz="4" w:space="0" w:color="auto"/>
              <w:right w:val="single" w:sz="4" w:space="0" w:color="auto"/>
            </w:tcBorders>
            <w:noWrap/>
            <w:vAlign w:val="center"/>
            <w:hideMark/>
          </w:tcPr>
          <w:p w14:paraId="36427CD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FBCA35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2D2386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R$ 490,87</w:t>
            </w:r>
          </w:p>
        </w:tc>
        <w:tc>
          <w:tcPr>
            <w:tcW w:w="1559" w:type="dxa"/>
            <w:tcBorders>
              <w:top w:val="nil"/>
              <w:left w:val="nil"/>
              <w:bottom w:val="single" w:sz="4" w:space="0" w:color="auto"/>
              <w:right w:val="single" w:sz="4" w:space="0" w:color="auto"/>
            </w:tcBorders>
            <w:noWrap/>
            <w:vAlign w:val="center"/>
            <w:hideMark/>
          </w:tcPr>
          <w:p w14:paraId="05C9FF4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5.890,44 </w:t>
            </w:r>
          </w:p>
        </w:tc>
      </w:tr>
      <w:tr w:rsidR="00B307DB" w:rsidRPr="00A7764A" w14:paraId="22FED4F4"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6917BF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1.1.29</w:t>
            </w:r>
          </w:p>
        </w:tc>
        <w:tc>
          <w:tcPr>
            <w:tcW w:w="4111" w:type="dxa"/>
            <w:tcBorders>
              <w:top w:val="nil"/>
              <w:left w:val="nil"/>
              <w:bottom w:val="single" w:sz="4" w:space="0" w:color="auto"/>
              <w:right w:val="single" w:sz="4" w:space="0" w:color="auto"/>
            </w:tcBorders>
            <w:noWrap/>
            <w:vAlign w:val="center"/>
            <w:hideMark/>
          </w:tcPr>
          <w:p w14:paraId="564D0566"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Fiscalização fazendária</w:t>
            </w:r>
          </w:p>
        </w:tc>
        <w:tc>
          <w:tcPr>
            <w:tcW w:w="709" w:type="dxa"/>
            <w:tcBorders>
              <w:top w:val="nil"/>
              <w:left w:val="nil"/>
              <w:bottom w:val="single" w:sz="4" w:space="0" w:color="auto"/>
              <w:right w:val="single" w:sz="4" w:space="0" w:color="auto"/>
            </w:tcBorders>
            <w:noWrap/>
            <w:vAlign w:val="center"/>
            <w:hideMark/>
          </w:tcPr>
          <w:p w14:paraId="63D4F80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7C3B82B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1213DCA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R$ 448,98</w:t>
            </w:r>
          </w:p>
        </w:tc>
        <w:tc>
          <w:tcPr>
            <w:tcW w:w="1559" w:type="dxa"/>
            <w:tcBorders>
              <w:top w:val="nil"/>
              <w:left w:val="nil"/>
              <w:bottom w:val="single" w:sz="4" w:space="0" w:color="auto"/>
              <w:right w:val="single" w:sz="4" w:space="0" w:color="auto"/>
            </w:tcBorders>
            <w:noWrap/>
            <w:vAlign w:val="center"/>
            <w:hideMark/>
          </w:tcPr>
          <w:p w14:paraId="1F05223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5.387,76 </w:t>
            </w:r>
          </w:p>
        </w:tc>
      </w:tr>
      <w:tr w:rsidR="00B307DB" w:rsidRPr="00A7764A" w14:paraId="34AB3716"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53C4BD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1.1.30</w:t>
            </w:r>
          </w:p>
        </w:tc>
        <w:tc>
          <w:tcPr>
            <w:tcW w:w="4111" w:type="dxa"/>
            <w:tcBorders>
              <w:top w:val="nil"/>
              <w:left w:val="nil"/>
              <w:bottom w:val="single" w:sz="4" w:space="0" w:color="auto"/>
              <w:right w:val="single" w:sz="4" w:space="0" w:color="auto"/>
            </w:tcBorders>
            <w:noWrap/>
            <w:vAlign w:val="center"/>
            <w:hideMark/>
          </w:tcPr>
          <w:p w14:paraId="1537321B"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Agricultura</w:t>
            </w:r>
          </w:p>
        </w:tc>
        <w:tc>
          <w:tcPr>
            <w:tcW w:w="709" w:type="dxa"/>
            <w:tcBorders>
              <w:top w:val="nil"/>
              <w:left w:val="nil"/>
              <w:bottom w:val="single" w:sz="4" w:space="0" w:color="auto"/>
              <w:right w:val="single" w:sz="4" w:space="0" w:color="auto"/>
            </w:tcBorders>
            <w:noWrap/>
            <w:vAlign w:val="center"/>
            <w:hideMark/>
          </w:tcPr>
          <w:p w14:paraId="018A00F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653BE5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5B951A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R$ 799,85</w:t>
            </w:r>
          </w:p>
        </w:tc>
        <w:tc>
          <w:tcPr>
            <w:tcW w:w="1559" w:type="dxa"/>
            <w:tcBorders>
              <w:top w:val="nil"/>
              <w:left w:val="nil"/>
              <w:bottom w:val="single" w:sz="4" w:space="0" w:color="auto"/>
              <w:right w:val="single" w:sz="4" w:space="0" w:color="auto"/>
            </w:tcBorders>
            <w:noWrap/>
            <w:vAlign w:val="center"/>
            <w:hideMark/>
          </w:tcPr>
          <w:p w14:paraId="617DDD9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9.598,20 </w:t>
            </w:r>
          </w:p>
        </w:tc>
      </w:tr>
      <w:tr w:rsidR="00B307DB" w:rsidRPr="00A7764A" w14:paraId="1DC59D41" w14:textId="77777777" w:rsidTr="00B307D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276D0E2D" w14:textId="77777777" w:rsidR="00B307DB" w:rsidRPr="00A7764A" w:rsidRDefault="00B307DB" w:rsidP="00B307DB">
            <w:pPr>
              <w:spacing w:after="0" w:line="240" w:lineRule="auto"/>
              <w:rPr>
                <w:rFonts w:ascii="Times New Roman" w:hAnsi="Times New Roman" w:cs="Times New Roman"/>
                <w:b/>
                <w:color w:val="000000"/>
              </w:rPr>
            </w:pPr>
            <w:r w:rsidRPr="00A7764A">
              <w:rPr>
                <w:rFonts w:ascii="Times New Roman" w:hAnsi="Times New Roman" w:cs="Times New Roman"/>
                <w:b/>
                <w:color w:val="000000"/>
              </w:rPr>
              <w:t>1.2 OBJETO: MÓDULOS FUNDO MUNICIPAL DE SAÚDE</w:t>
            </w:r>
          </w:p>
        </w:tc>
      </w:tr>
      <w:tr w:rsidR="00B307DB" w:rsidRPr="00A7764A" w14:paraId="50119EB9"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12E965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1.2.1</w:t>
            </w:r>
          </w:p>
        </w:tc>
        <w:tc>
          <w:tcPr>
            <w:tcW w:w="4111" w:type="dxa"/>
            <w:tcBorders>
              <w:top w:val="nil"/>
              <w:left w:val="nil"/>
              <w:bottom w:val="single" w:sz="4" w:space="0" w:color="auto"/>
              <w:right w:val="single" w:sz="4" w:space="0" w:color="auto"/>
            </w:tcBorders>
            <w:noWrap/>
            <w:vAlign w:val="center"/>
            <w:hideMark/>
          </w:tcPr>
          <w:p w14:paraId="334A4546"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Planejamento e orçamento</w:t>
            </w:r>
          </w:p>
        </w:tc>
        <w:tc>
          <w:tcPr>
            <w:tcW w:w="709" w:type="dxa"/>
            <w:tcBorders>
              <w:top w:val="nil"/>
              <w:left w:val="nil"/>
              <w:bottom w:val="single" w:sz="4" w:space="0" w:color="auto"/>
              <w:right w:val="single" w:sz="4" w:space="0" w:color="auto"/>
            </w:tcBorders>
            <w:noWrap/>
            <w:vAlign w:val="center"/>
            <w:hideMark/>
          </w:tcPr>
          <w:p w14:paraId="435054B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7BCEB27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3A2669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R$ 149,12</w:t>
            </w:r>
          </w:p>
        </w:tc>
        <w:tc>
          <w:tcPr>
            <w:tcW w:w="1559" w:type="dxa"/>
            <w:tcBorders>
              <w:top w:val="nil"/>
              <w:left w:val="nil"/>
              <w:bottom w:val="single" w:sz="4" w:space="0" w:color="auto"/>
              <w:right w:val="single" w:sz="4" w:space="0" w:color="auto"/>
            </w:tcBorders>
            <w:noWrap/>
            <w:vAlign w:val="center"/>
            <w:hideMark/>
          </w:tcPr>
          <w:p w14:paraId="4846680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1.789,44 </w:t>
            </w:r>
          </w:p>
        </w:tc>
      </w:tr>
      <w:tr w:rsidR="00B307DB" w:rsidRPr="00A7764A" w14:paraId="7B678C83"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F02F24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1.2.2</w:t>
            </w:r>
          </w:p>
        </w:tc>
        <w:tc>
          <w:tcPr>
            <w:tcW w:w="4111" w:type="dxa"/>
            <w:tcBorders>
              <w:top w:val="nil"/>
              <w:left w:val="nil"/>
              <w:bottom w:val="single" w:sz="4" w:space="0" w:color="auto"/>
              <w:right w:val="single" w:sz="4" w:space="0" w:color="auto"/>
            </w:tcBorders>
            <w:noWrap/>
            <w:vAlign w:val="center"/>
            <w:hideMark/>
          </w:tcPr>
          <w:p w14:paraId="3F165EAC"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contábil e financeira</w:t>
            </w:r>
          </w:p>
        </w:tc>
        <w:tc>
          <w:tcPr>
            <w:tcW w:w="709" w:type="dxa"/>
            <w:tcBorders>
              <w:top w:val="nil"/>
              <w:left w:val="nil"/>
              <w:bottom w:val="single" w:sz="4" w:space="0" w:color="auto"/>
              <w:right w:val="single" w:sz="4" w:space="0" w:color="auto"/>
            </w:tcBorders>
            <w:noWrap/>
            <w:vAlign w:val="center"/>
            <w:hideMark/>
          </w:tcPr>
          <w:p w14:paraId="583AB92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FDD469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6E9BE4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R$ 430,33</w:t>
            </w:r>
          </w:p>
        </w:tc>
        <w:tc>
          <w:tcPr>
            <w:tcW w:w="1559" w:type="dxa"/>
            <w:tcBorders>
              <w:top w:val="nil"/>
              <w:left w:val="nil"/>
              <w:bottom w:val="single" w:sz="4" w:space="0" w:color="auto"/>
              <w:right w:val="single" w:sz="4" w:space="0" w:color="auto"/>
            </w:tcBorders>
            <w:noWrap/>
            <w:vAlign w:val="center"/>
            <w:hideMark/>
          </w:tcPr>
          <w:p w14:paraId="1035CF8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5.163,96 </w:t>
            </w:r>
          </w:p>
        </w:tc>
      </w:tr>
      <w:tr w:rsidR="00B307DB" w:rsidRPr="00A7764A" w14:paraId="207B1453"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E86844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1.2.3</w:t>
            </w:r>
          </w:p>
        </w:tc>
        <w:tc>
          <w:tcPr>
            <w:tcW w:w="4111" w:type="dxa"/>
            <w:tcBorders>
              <w:top w:val="nil"/>
              <w:left w:val="nil"/>
              <w:bottom w:val="single" w:sz="4" w:space="0" w:color="auto"/>
              <w:right w:val="single" w:sz="4" w:space="0" w:color="auto"/>
            </w:tcBorders>
            <w:noWrap/>
            <w:vAlign w:val="center"/>
            <w:hideMark/>
          </w:tcPr>
          <w:p w14:paraId="198EBB52"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de compras, licitações e contratos</w:t>
            </w:r>
          </w:p>
        </w:tc>
        <w:tc>
          <w:tcPr>
            <w:tcW w:w="709" w:type="dxa"/>
            <w:tcBorders>
              <w:top w:val="nil"/>
              <w:left w:val="nil"/>
              <w:bottom w:val="single" w:sz="4" w:space="0" w:color="auto"/>
              <w:right w:val="single" w:sz="4" w:space="0" w:color="auto"/>
            </w:tcBorders>
            <w:noWrap/>
            <w:vAlign w:val="center"/>
            <w:hideMark/>
          </w:tcPr>
          <w:p w14:paraId="13B4EC7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EE15DF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6DF7FF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R$ 302,76</w:t>
            </w:r>
          </w:p>
        </w:tc>
        <w:tc>
          <w:tcPr>
            <w:tcW w:w="1559" w:type="dxa"/>
            <w:tcBorders>
              <w:top w:val="nil"/>
              <w:left w:val="nil"/>
              <w:bottom w:val="single" w:sz="4" w:space="0" w:color="auto"/>
              <w:right w:val="single" w:sz="4" w:space="0" w:color="auto"/>
            </w:tcBorders>
            <w:noWrap/>
            <w:vAlign w:val="center"/>
            <w:hideMark/>
          </w:tcPr>
          <w:p w14:paraId="073BE98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3.633,12 </w:t>
            </w:r>
          </w:p>
        </w:tc>
      </w:tr>
      <w:tr w:rsidR="00B307DB" w:rsidRPr="00A7764A" w14:paraId="7092C955"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CC768A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1.2.4</w:t>
            </w:r>
          </w:p>
        </w:tc>
        <w:tc>
          <w:tcPr>
            <w:tcW w:w="4111" w:type="dxa"/>
            <w:tcBorders>
              <w:top w:val="nil"/>
              <w:left w:val="nil"/>
              <w:bottom w:val="single" w:sz="4" w:space="0" w:color="auto"/>
              <w:right w:val="single" w:sz="4" w:space="0" w:color="auto"/>
            </w:tcBorders>
            <w:noWrap/>
            <w:vAlign w:val="center"/>
            <w:hideMark/>
          </w:tcPr>
          <w:p w14:paraId="79079B59"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Folha de pagamento</w:t>
            </w:r>
          </w:p>
        </w:tc>
        <w:tc>
          <w:tcPr>
            <w:tcW w:w="709" w:type="dxa"/>
            <w:tcBorders>
              <w:top w:val="nil"/>
              <w:left w:val="nil"/>
              <w:bottom w:val="single" w:sz="4" w:space="0" w:color="auto"/>
              <w:right w:val="single" w:sz="4" w:space="0" w:color="auto"/>
            </w:tcBorders>
            <w:noWrap/>
            <w:vAlign w:val="center"/>
            <w:hideMark/>
          </w:tcPr>
          <w:p w14:paraId="33DF91C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2E76CA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340572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R$ 638,00</w:t>
            </w:r>
          </w:p>
        </w:tc>
        <w:tc>
          <w:tcPr>
            <w:tcW w:w="1559" w:type="dxa"/>
            <w:tcBorders>
              <w:top w:val="nil"/>
              <w:left w:val="nil"/>
              <w:bottom w:val="single" w:sz="4" w:space="0" w:color="auto"/>
              <w:right w:val="single" w:sz="4" w:space="0" w:color="auto"/>
            </w:tcBorders>
            <w:noWrap/>
            <w:vAlign w:val="center"/>
            <w:hideMark/>
          </w:tcPr>
          <w:p w14:paraId="765D33A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7.656,00 </w:t>
            </w:r>
          </w:p>
        </w:tc>
      </w:tr>
      <w:tr w:rsidR="00B307DB" w:rsidRPr="00A7764A" w14:paraId="7EBA7B73"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A42A8E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1.2.5</w:t>
            </w:r>
          </w:p>
        </w:tc>
        <w:tc>
          <w:tcPr>
            <w:tcW w:w="4111" w:type="dxa"/>
            <w:tcBorders>
              <w:top w:val="nil"/>
              <w:left w:val="nil"/>
              <w:bottom w:val="single" w:sz="4" w:space="0" w:color="auto"/>
              <w:right w:val="single" w:sz="4" w:space="0" w:color="auto"/>
            </w:tcBorders>
            <w:noWrap/>
            <w:vAlign w:val="center"/>
            <w:hideMark/>
          </w:tcPr>
          <w:p w14:paraId="7A569CD3"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Segurança e medicina do trabalho</w:t>
            </w:r>
          </w:p>
        </w:tc>
        <w:tc>
          <w:tcPr>
            <w:tcW w:w="709" w:type="dxa"/>
            <w:tcBorders>
              <w:top w:val="nil"/>
              <w:left w:val="nil"/>
              <w:bottom w:val="single" w:sz="4" w:space="0" w:color="auto"/>
              <w:right w:val="single" w:sz="4" w:space="0" w:color="auto"/>
            </w:tcBorders>
            <w:noWrap/>
            <w:vAlign w:val="center"/>
            <w:hideMark/>
          </w:tcPr>
          <w:p w14:paraId="67CB54F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7E8793E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24298C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R$ 182,00</w:t>
            </w:r>
          </w:p>
        </w:tc>
        <w:tc>
          <w:tcPr>
            <w:tcW w:w="1559" w:type="dxa"/>
            <w:tcBorders>
              <w:top w:val="nil"/>
              <w:left w:val="nil"/>
              <w:bottom w:val="single" w:sz="4" w:space="0" w:color="auto"/>
              <w:right w:val="single" w:sz="4" w:space="0" w:color="auto"/>
            </w:tcBorders>
            <w:noWrap/>
            <w:vAlign w:val="center"/>
            <w:hideMark/>
          </w:tcPr>
          <w:p w14:paraId="3FECE92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2.184,00 </w:t>
            </w:r>
          </w:p>
        </w:tc>
      </w:tr>
      <w:tr w:rsidR="00B307DB" w:rsidRPr="00A7764A" w14:paraId="70619859"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31EE0A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1.2.6</w:t>
            </w:r>
          </w:p>
        </w:tc>
        <w:tc>
          <w:tcPr>
            <w:tcW w:w="4111" w:type="dxa"/>
            <w:tcBorders>
              <w:top w:val="nil"/>
              <w:left w:val="nil"/>
              <w:bottom w:val="single" w:sz="4" w:space="0" w:color="auto"/>
              <w:right w:val="single" w:sz="4" w:space="0" w:color="auto"/>
            </w:tcBorders>
            <w:noWrap/>
            <w:vAlign w:val="center"/>
            <w:hideMark/>
          </w:tcPr>
          <w:p w14:paraId="629CC2C7"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Ponto Eletrônico</w:t>
            </w:r>
          </w:p>
        </w:tc>
        <w:tc>
          <w:tcPr>
            <w:tcW w:w="709" w:type="dxa"/>
            <w:tcBorders>
              <w:top w:val="nil"/>
              <w:left w:val="nil"/>
              <w:bottom w:val="single" w:sz="4" w:space="0" w:color="auto"/>
              <w:right w:val="single" w:sz="4" w:space="0" w:color="auto"/>
            </w:tcBorders>
            <w:noWrap/>
            <w:vAlign w:val="center"/>
            <w:hideMark/>
          </w:tcPr>
          <w:p w14:paraId="32E925E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560186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29559E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R$ 295,00</w:t>
            </w:r>
          </w:p>
        </w:tc>
        <w:tc>
          <w:tcPr>
            <w:tcW w:w="1559" w:type="dxa"/>
            <w:tcBorders>
              <w:top w:val="nil"/>
              <w:left w:val="nil"/>
              <w:bottom w:val="single" w:sz="4" w:space="0" w:color="auto"/>
              <w:right w:val="single" w:sz="4" w:space="0" w:color="auto"/>
            </w:tcBorders>
            <w:noWrap/>
            <w:vAlign w:val="center"/>
            <w:hideMark/>
          </w:tcPr>
          <w:p w14:paraId="76A699A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3.540,00 </w:t>
            </w:r>
          </w:p>
        </w:tc>
      </w:tr>
      <w:tr w:rsidR="00B307DB" w:rsidRPr="00A7764A" w14:paraId="09FF212E" w14:textId="77777777" w:rsidTr="00B307D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6B1E71C2" w14:textId="77777777" w:rsidR="00B307DB" w:rsidRPr="00A7764A" w:rsidRDefault="00B307DB" w:rsidP="00B307DB">
            <w:pPr>
              <w:spacing w:after="0" w:line="240" w:lineRule="auto"/>
              <w:rPr>
                <w:rFonts w:ascii="Times New Roman" w:hAnsi="Times New Roman" w:cs="Times New Roman"/>
                <w:b/>
                <w:color w:val="000000"/>
              </w:rPr>
            </w:pPr>
            <w:r w:rsidRPr="00A7764A">
              <w:rPr>
                <w:rFonts w:ascii="Times New Roman" w:hAnsi="Times New Roman" w:cs="Times New Roman"/>
                <w:b/>
                <w:color w:val="000000"/>
              </w:rPr>
              <w:t>1.3 OBJETO: MÓDULOS CÂMARA MUNICIPAL DE RIQUEZA</w:t>
            </w:r>
          </w:p>
        </w:tc>
      </w:tr>
      <w:tr w:rsidR="00B307DB" w:rsidRPr="00A7764A" w14:paraId="73F2BB4B"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1BA8A56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1.3.1</w:t>
            </w:r>
          </w:p>
        </w:tc>
        <w:tc>
          <w:tcPr>
            <w:tcW w:w="4111" w:type="dxa"/>
            <w:tcBorders>
              <w:top w:val="nil"/>
              <w:left w:val="nil"/>
              <w:bottom w:val="single" w:sz="4" w:space="0" w:color="auto"/>
              <w:right w:val="single" w:sz="4" w:space="0" w:color="auto"/>
            </w:tcBorders>
            <w:noWrap/>
            <w:vAlign w:val="center"/>
            <w:hideMark/>
          </w:tcPr>
          <w:p w14:paraId="2FDD082D"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Planejamento e orçamento</w:t>
            </w:r>
          </w:p>
        </w:tc>
        <w:tc>
          <w:tcPr>
            <w:tcW w:w="709" w:type="dxa"/>
            <w:tcBorders>
              <w:top w:val="nil"/>
              <w:left w:val="nil"/>
              <w:bottom w:val="single" w:sz="4" w:space="0" w:color="auto"/>
              <w:right w:val="single" w:sz="4" w:space="0" w:color="auto"/>
            </w:tcBorders>
            <w:noWrap/>
            <w:vAlign w:val="center"/>
            <w:hideMark/>
          </w:tcPr>
          <w:p w14:paraId="4D8F77F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3F9515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EB2229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R$ 234,93</w:t>
            </w:r>
          </w:p>
        </w:tc>
        <w:tc>
          <w:tcPr>
            <w:tcW w:w="1559" w:type="dxa"/>
            <w:tcBorders>
              <w:top w:val="nil"/>
              <w:left w:val="nil"/>
              <w:bottom w:val="single" w:sz="4" w:space="0" w:color="auto"/>
              <w:right w:val="single" w:sz="4" w:space="0" w:color="auto"/>
            </w:tcBorders>
            <w:noWrap/>
            <w:vAlign w:val="center"/>
            <w:hideMark/>
          </w:tcPr>
          <w:p w14:paraId="72E5C63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2.819,16 </w:t>
            </w:r>
          </w:p>
        </w:tc>
      </w:tr>
      <w:tr w:rsidR="00B307DB" w:rsidRPr="00A7764A" w14:paraId="6FA5E656"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20821C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1.3.2</w:t>
            </w:r>
          </w:p>
        </w:tc>
        <w:tc>
          <w:tcPr>
            <w:tcW w:w="4111" w:type="dxa"/>
            <w:tcBorders>
              <w:top w:val="nil"/>
              <w:left w:val="nil"/>
              <w:bottom w:val="single" w:sz="4" w:space="0" w:color="auto"/>
              <w:right w:val="single" w:sz="4" w:space="0" w:color="auto"/>
            </w:tcBorders>
            <w:noWrap/>
            <w:vAlign w:val="center"/>
            <w:hideMark/>
          </w:tcPr>
          <w:p w14:paraId="4D05DBE3"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contábil e financeira</w:t>
            </w:r>
          </w:p>
        </w:tc>
        <w:tc>
          <w:tcPr>
            <w:tcW w:w="709" w:type="dxa"/>
            <w:tcBorders>
              <w:top w:val="nil"/>
              <w:left w:val="nil"/>
              <w:bottom w:val="single" w:sz="4" w:space="0" w:color="auto"/>
              <w:right w:val="single" w:sz="4" w:space="0" w:color="auto"/>
            </w:tcBorders>
            <w:noWrap/>
            <w:vAlign w:val="center"/>
            <w:hideMark/>
          </w:tcPr>
          <w:p w14:paraId="74D17D8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3CADEF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8D7B77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R$ 679,75</w:t>
            </w:r>
          </w:p>
        </w:tc>
        <w:tc>
          <w:tcPr>
            <w:tcW w:w="1559" w:type="dxa"/>
            <w:tcBorders>
              <w:top w:val="nil"/>
              <w:left w:val="nil"/>
              <w:bottom w:val="single" w:sz="4" w:space="0" w:color="auto"/>
              <w:right w:val="single" w:sz="4" w:space="0" w:color="auto"/>
            </w:tcBorders>
            <w:noWrap/>
            <w:vAlign w:val="center"/>
            <w:hideMark/>
          </w:tcPr>
          <w:p w14:paraId="46A629F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8.157,00 </w:t>
            </w:r>
          </w:p>
        </w:tc>
      </w:tr>
      <w:tr w:rsidR="00B307DB" w:rsidRPr="00A7764A" w14:paraId="45EF83F2"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A82751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1.3.3</w:t>
            </w:r>
          </w:p>
        </w:tc>
        <w:tc>
          <w:tcPr>
            <w:tcW w:w="4111" w:type="dxa"/>
            <w:tcBorders>
              <w:top w:val="nil"/>
              <w:left w:val="nil"/>
              <w:bottom w:val="single" w:sz="4" w:space="0" w:color="auto"/>
              <w:right w:val="single" w:sz="4" w:space="0" w:color="auto"/>
            </w:tcBorders>
            <w:noWrap/>
            <w:vAlign w:val="center"/>
            <w:hideMark/>
          </w:tcPr>
          <w:p w14:paraId="09D3CDC1"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Controle interno</w:t>
            </w:r>
          </w:p>
        </w:tc>
        <w:tc>
          <w:tcPr>
            <w:tcW w:w="709" w:type="dxa"/>
            <w:tcBorders>
              <w:top w:val="nil"/>
              <w:left w:val="nil"/>
              <w:bottom w:val="single" w:sz="4" w:space="0" w:color="auto"/>
              <w:right w:val="single" w:sz="4" w:space="0" w:color="auto"/>
            </w:tcBorders>
            <w:noWrap/>
            <w:vAlign w:val="center"/>
            <w:hideMark/>
          </w:tcPr>
          <w:p w14:paraId="1D890E0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DEBDCC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C8103D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R$ 259,00</w:t>
            </w:r>
          </w:p>
        </w:tc>
        <w:tc>
          <w:tcPr>
            <w:tcW w:w="1559" w:type="dxa"/>
            <w:tcBorders>
              <w:top w:val="nil"/>
              <w:left w:val="nil"/>
              <w:bottom w:val="single" w:sz="4" w:space="0" w:color="auto"/>
              <w:right w:val="single" w:sz="4" w:space="0" w:color="auto"/>
            </w:tcBorders>
            <w:noWrap/>
            <w:vAlign w:val="center"/>
            <w:hideMark/>
          </w:tcPr>
          <w:p w14:paraId="0C7D81F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3.108,00 </w:t>
            </w:r>
          </w:p>
        </w:tc>
      </w:tr>
      <w:tr w:rsidR="00B307DB" w:rsidRPr="00A7764A" w14:paraId="7C8A1C70"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10A5C2F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1.3.4</w:t>
            </w:r>
          </w:p>
        </w:tc>
        <w:tc>
          <w:tcPr>
            <w:tcW w:w="4111" w:type="dxa"/>
            <w:tcBorders>
              <w:top w:val="nil"/>
              <w:left w:val="nil"/>
              <w:bottom w:val="single" w:sz="4" w:space="0" w:color="auto"/>
              <w:right w:val="single" w:sz="4" w:space="0" w:color="auto"/>
            </w:tcBorders>
            <w:noWrap/>
            <w:vAlign w:val="center"/>
            <w:hideMark/>
          </w:tcPr>
          <w:p w14:paraId="42364937"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Compras e licitações</w:t>
            </w:r>
          </w:p>
        </w:tc>
        <w:tc>
          <w:tcPr>
            <w:tcW w:w="709" w:type="dxa"/>
            <w:tcBorders>
              <w:top w:val="nil"/>
              <w:left w:val="nil"/>
              <w:bottom w:val="single" w:sz="4" w:space="0" w:color="auto"/>
              <w:right w:val="single" w:sz="4" w:space="0" w:color="auto"/>
            </w:tcBorders>
            <w:noWrap/>
            <w:vAlign w:val="center"/>
            <w:hideMark/>
          </w:tcPr>
          <w:p w14:paraId="37A38CA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185711E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F565F5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R$ 483,07</w:t>
            </w:r>
          </w:p>
        </w:tc>
        <w:tc>
          <w:tcPr>
            <w:tcW w:w="1559" w:type="dxa"/>
            <w:tcBorders>
              <w:top w:val="nil"/>
              <w:left w:val="nil"/>
              <w:bottom w:val="single" w:sz="4" w:space="0" w:color="auto"/>
              <w:right w:val="single" w:sz="4" w:space="0" w:color="auto"/>
            </w:tcBorders>
            <w:noWrap/>
            <w:vAlign w:val="center"/>
            <w:hideMark/>
          </w:tcPr>
          <w:p w14:paraId="0F95AFE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5.796,84 </w:t>
            </w:r>
          </w:p>
        </w:tc>
      </w:tr>
      <w:tr w:rsidR="00B307DB" w:rsidRPr="00A7764A" w14:paraId="1F45D96C"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971E7A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1.3.5</w:t>
            </w:r>
          </w:p>
        </w:tc>
        <w:tc>
          <w:tcPr>
            <w:tcW w:w="4111" w:type="dxa"/>
            <w:tcBorders>
              <w:top w:val="nil"/>
              <w:left w:val="nil"/>
              <w:bottom w:val="single" w:sz="4" w:space="0" w:color="auto"/>
              <w:right w:val="single" w:sz="4" w:space="0" w:color="auto"/>
            </w:tcBorders>
            <w:noWrap/>
            <w:vAlign w:val="center"/>
            <w:hideMark/>
          </w:tcPr>
          <w:p w14:paraId="01CFD78B"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Almoxarifado</w:t>
            </w:r>
          </w:p>
        </w:tc>
        <w:tc>
          <w:tcPr>
            <w:tcW w:w="709" w:type="dxa"/>
            <w:tcBorders>
              <w:top w:val="nil"/>
              <w:left w:val="nil"/>
              <w:bottom w:val="single" w:sz="4" w:space="0" w:color="auto"/>
              <w:right w:val="single" w:sz="4" w:space="0" w:color="auto"/>
            </w:tcBorders>
            <w:noWrap/>
            <w:vAlign w:val="center"/>
            <w:hideMark/>
          </w:tcPr>
          <w:p w14:paraId="1D8CB0F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96E83F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5FC8C7E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R$ 261,00</w:t>
            </w:r>
          </w:p>
        </w:tc>
        <w:tc>
          <w:tcPr>
            <w:tcW w:w="1559" w:type="dxa"/>
            <w:tcBorders>
              <w:top w:val="nil"/>
              <w:left w:val="nil"/>
              <w:bottom w:val="single" w:sz="4" w:space="0" w:color="auto"/>
              <w:right w:val="single" w:sz="4" w:space="0" w:color="auto"/>
            </w:tcBorders>
            <w:noWrap/>
            <w:vAlign w:val="center"/>
            <w:hideMark/>
          </w:tcPr>
          <w:p w14:paraId="34AB00A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3.132,00 </w:t>
            </w:r>
          </w:p>
        </w:tc>
      </w:tr>
      <w:tr w:rsidR="00B307DB" w:rsidRPr="00A7764A" w14:paraId="4848A8B2"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5B2BF4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1.3.6</w:t>
            </w:r>
          </w:p>
        </w:tc>
        <w:tc>
          <w:tcPr>
            <w:tcW w:w="4111" w:type="dxa"/>
            <w:tcBorders>
              <w:top w:val="nil"/>
              <w:left w:val="nil"/>
              <w:bottom w:val="single" w:sz="4" w:space="0" w:color="auto"/>
              <w:right w:val="single" w:sz="4" w:space="0" w:color="auto"/>
            </w:tcBorders>
            <w:noWrap/>
            <w:vAlign w:val="center"/>
            <w:hideMark/>
          </w:tcPr>
          <w:p w14:paraId="4560E5BA"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Patrimônio</w:t>
            </w:r>
          </w:p>
        </w:tc>
        <w:tc>
          <w:tcPr>
            <w:tcW w:w="709" w:type="dxa"/>
            <w:tcBorders>
              <w:top w:val="nil"/>
              <w:left w:val="nil"/>
              <w:bottom w:val="single" w:sz="4" w:space="0" w:color="auto"/>
              <w:right w:val="single" w:sz="4" w:space="0" w:color="auto"/>
            </w:tcBorders>
            <w:noWrap/>
            <w:vAlign w:val="center"/>
            <w:hideMark/>
          </w:tcPr>
          <w:p w14:paraId="3159EFB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24EA6A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E5B7C8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R$ 267,51</w:t>
            </w:r>
          </w:p>
        </w:tc>
        <w:tc>
          <w:tcPr>
            <w:tcW w:w="1559" w:type="dxa"/>
            <w:tcBorders>
              <w:top w:val="nil"/>
              <w:left w:val="nil"/>
              <w:bottom w:val="single" w:sz="4" w:space="0" w:color="auto"/>
              <w:right w:val="single" w:sz="4" w:space="0" w:color="auto"/>
            </w:tcBorders>
            <w:noWrap/>
            <w:vAlign w:val="center"/>
            <w:hideMark/>
          </w:tcPr>
          <w:p w14:paraId="16C6160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3.210,12 </w:t>
            </w:r>
          </w:p>
        </w:tc>
      </w:tr>
      <w:tr w:rsidR="00B307DB" w:rsidRPr="00A7764A" w14:paraId="7D0453DD"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67C827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1.3.7</w:t>
            </w:r>
          </w:p>
        </w:tc>
        <w:tc>
          <w:tcPr>
            <w:tcW w:w="4111" w:type="dxa"/>
            <w:tcBorders>
              <w:top w:val="nil"/>
              <w:left w:val="nil"/>
              <w:bottom w:val="single" w:sz="4" w:space="0" w:color="auto"/>
              <w:right w:val="single" w:sz="4" w:space="0" w:color="auto"/>
            </w:tcBorders>
            <w:noWrap/>
            <w:vAlign w:val="center"/>
            <w:hideMark/>
          </w:tcPr>
          <w:p w14:paraId="11A4F15C"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Folha de Pagamento</w:t>
            </w:r>
          </w:p>
        </w:tc>
        <w:tc>
          <w:tcPr>
            <w:tcW w:w="709" w:type="dxa"/>
            <w:tcBorders>
              <w:top w:val="nil"/>
              <w:left w:val="nil"/>
              <w:bottom w:val="single" w:sz="4" w:space="0" w:color="auto"/>
              <w:right w:val="single" w:sz="4" w:space="0" w:color="auto"/>
            </w:tcBorders>
            <w:noWrap/>
            <w:vAlign w:val="center"/>
            <w:hideMark/>
          </w:tcPr>
          <w:p w14:paraId="7FCC14C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3455B7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6D31AA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R$ 658,27</w:t>
            </w:r>
          </w:p>
        </w:tc>
        <w:tc>
          <w:tcPr>
            <w:tcW w:w="1559" w:type="dxa"/>
            <w:tcBorders>
              <w:top w:val="nil"/>
              <w:left w:val="nil"/>
              <w:bottom w:val="single" w:sz="4" w:space="0" w:color="auto"/>
              <w:right w:val="single" w:sz="4" w:space="0" w:color="auto"/>
            </w:tcBorders>
            <w:noWrap/>
            <w:vAlign w:val="center"/>
            <w:hideMark/>
          </w:tcPr>
          <w:p w14:paraId="0BB36A5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7.899,24 </w:t>
            </w:r>
          </w:p>
        </w:tc>
      </w:tr>
      <w:tr w:rsidR="00B307DB" w:rsidRPr="00A7764A" w14:paraId="1F5D0F13"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A123C9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1.3.8</w:t>
            </w:r>
          </w:p>
        </w:tc>
        <w:tc>
          <w:tcPr>
            <w:tcW w:w="4111" w:type="dxa"/>
            <w:tcBorders>
              <w:top w:val="nil"/>
              <w:left w:val="nil"/>
              <w:bottom w:val="single" w:sz="4" w:space="0" w:color="auto"/>
              <w:right w:val="single" w:sz="4" w:space="0" w:color="auto"/>
            </w:tcBorders>
            <w:noWrap/>
            <w:vAlign w:val="center"/>
            <w:hideMark/>
          </w:tcPr>
          <w:p w14:paraId="18AA8D79"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Segurança e Medicina do Trabalho</w:t>
            </w:r>
          </w:p>
        </w:tc>
        <w:tc>
          <w:tcPr>
            <w:tcW w:w="709" w:type="dxa"/>
            <w:tcBorders>
              <w:top w:val="nil"/>
              <w:left w:val="nil"/>
              <w:bottom w:val="single" w:sz="4" w:space="0" w:color="auto"/>
              <w:right w:val="single" w:sz="4" w:space="0" w:color="auto"/>
            </w:tcBorders>
            <w:noWrap/>
            <w:vAlign w:val="center"/>
            <w:hideMark/>
          </w:tcPr>
          <w:p w14:paraId="62022C0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085FF6E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49037D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R$ 122,69</w:t>
            </w:r>
          </w:p>
        </w:tc>
        <w:tc>
          <w:tcPr>
            <w:tcW w:w="1559" w:type="dxa"/>
            <w:tcBorders>
              <w:top w:val="nil"/>
              <w:left w:val="nil"/>
              <w:bottom w:val="single" w:sz="4" w:space="0" w:color="auto"/>
              <w:right w:val="single" w:sz="4" w:space="0" w:color="auto"/>
            </w:tcBorders>
            <w:noWrap/>
            <w:vAlign w:val="center"/>
            <w:hideMark/>
          </w:tcPr>
          <w:p w14:paraId="0BBAFBD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1.472,28 </w:t>
            </w:r>
          </w:p>
        </w:tc>
      </w:tr>
      <w:tr w:rsidR="00B307DB" w:rsidRPr="00A7764A" w14:paraId="3CFF6EB7"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01811C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1.3.9</w:t>
            </w:r>
          </w:p>
        </w:tc>
        <w:tc>
          <w:tcPr>
            <w:tcW w:w="4111" w:type="dxa"/>
            <w:tcBorders>
              <w:top w:val="nil"/>
              <w:left w:val="nil"/>
              <w:bottom w:val="single" w:sz="4" w:space="0" w:color="auto"/>
              <w:right w:val="single" w:sz="4" w:space="0" w:color="auto"/>
            </w:tcBorders>
            <w:noWrap/>
            <w:vAlign w:val="center"/>
            <w:hideMark/>
          </w:tcPr>
          <w:p w14:paraId="46701E19"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Ponto Eletrônico</w:t>
            </w:r>
          </w:p>
        </w:tc>
        <w:tc>
          <w:tcPr>
            <w:tcW w:w="709" w:type="dxa"/>
            <w:tcBorders>
              <w:top w:val="nil"/>
              <w:left w:val="nil"/>
              <w:bottom w:val="single" w:sz="4" w:space="0" w:color="auto"/>
              <w:right w:val="single" w:sz="4" w:space="0" w:color="auto"/>
            </w:tcBorders>
            <w:noWrap/>
            <w:vAlign w:val="center"/>
            <w:hideMark/>
          </w:tcPr>
          <w:p w14:paraId="563F6E2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A71126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EDAC8A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R$ 342,00</w:t>
            </w:r>
          </w:p>
        </w:tc>
        <w:tc>
          <w:tcPr>
            <w:tcW w:w="1559" w:type="dxa"/>
            <w:tcBorders>
              <w:top w:val="nil"/>
              <w:left w:val="nil"/>
              <w:bottom w:val="single" w:sz="4" w:space="0" w:color="auto"/>
              <w:right w:val="single" w:sz="4" w:space="0" w:color="auto"/>
            </w:tcBorders>
            <w:noWrap/>
            <w:vAlign w:val="center"/>
            <w:hideMark/>
          </w:tcPr>
          <w:p w14:paraId="6A50E8C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4.104,00 </w:t>
            </w:r>
          </w:p>
        </w:tc>
      </w:tr>
      <w:tr w:rsidR="00B307DB" w:rsidRPr="00A7764A" w14:paraId="3B5DC864"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E473A7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1.3.10</w:t>
            </w:r>
          </w:p>
        </w:tc>
        <w:tc>
          <w:tcPr>
            <w:tcW w:w="4111" w:type="dxa"/>
            <w:tcBorders>
              <w:top w:val="nil"/>
              <w:left w:val="nil"/>
              <w:bottom w:val="single" w:sz="4" w:space="0" w:color="auto"/>
              <w:right w:val="single" w:sz="4" w:space="0" w:color="auto"/>
            </w:tcBorders>
            <w:noWrap/>
            <w:vAlign w:val="center"/>
            <w:hideMark/>
          </w:tcPr>
          <w:p w14:paraId="7D9A0AB1"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Portal da Transparência</w:t>
            </w:r>
          </w:p>
        </w:tc>
        <w:tc>
          <w:tcPr>
            <w:tcW w:w="709" w:type="dxa"/>
            <w:tcBorders>
              <w:top w:val="nil"/>
              <w:left w:val="nil"/>
              <w:bottom w:val="single" w:sz="4" w:space="0" w:color="auto"/>
              <w:right w:val="single" w:sz="4" w:space="0" w:color="auto"/>
            </w:tcBorders>
            <w:noWrap/>
            <w:vAlign w:val="center"/>
            <w:hideMark/>
          </w:tcPr>
          <w:p w14:paraId="19991BF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21D3A42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F4C836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R$ 280,74</w:t>
            </w:r>
          </w:p>
        </w:tc>
        <w:tc>
          <w:tcPr>
            <w:tcW w:w="1559" w:type="dxa"/>
            <w:tcBorders>
              <w:top w:val="nil"/>
              <w:left w:val="nil"/>
              <w:bottom w:val="single" w:sz="4" w:space="0" w:color="auto"/>
              <w:right w:val="single" w:sz="4" w:space="0" w:color="auto"/>
            </w:tcBorders>
            <w:noWrap/>
            <w:vAlign w:val="center"/>
            <w:hideMark/>
          </w:tcPr>
          <w:p w14:paraId="455A7C4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3.368,88 </w:t>
            </w:r>
          </w:p>
        </w:tc>
      </w:tr>
      <w:tr w:rsidR="00B307DB" w:rsidRPr="00A7764A" w14:paraId="292C730D" w14:textId="77777777" w:rsidTr="00B307D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17DD8B0F" w14:textId="77777777" w:rsidR="00B307DB" w:rsidRPr="00A7764A" w:rsidRDefault="00B307DB" w:rsidP="00B307DB">
            <w:pPr>
              <w:spacing w:after="0" w:line="240" w:lineRule="auto"/>
              <w:rPr>
                <w:rFonts w:ascii="Times New Roman" w:hAnsi="Times New Roman" w:cs="Times New Roman"/>
                <w:b/>
                <w:color w:val="000000"/>
              </w:rPr>
            </w:pPr>
            <w:r w:rsidRPr="00A7764A">
              <w:rPr>
                <w:rFonts w:ascii="Times New Roman" w:hAnsi="Times New Roman" w:cs="Times New Roman"/>
                <w:b/>
                <w:color w:val="000000"/>
              </w:rPr>
              <w:t>1.4 OBJETO: MÓDULOS PARA USO DA SECRETARIA MUNICIPAL DE SAÚDE</w:t>
            </w:r>
          </w:p>
        </w:tc>
      </w:tr>
      <w:tr w:rsidR="00B307DB" w:rsidRPr="00A7764A" w14:paraId="432BAAA4"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94680D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1.4.1</w:t>
            </w:r>
          </w:p>
        </w:tc>
        <w:tc>
          <w:tcPr>
            <w:tcW w:w="4111" w:type="dxa"/>
            <w:tcBorders>
              <w:top w:val="nil"/>
              <w:left w:val="nil"/>
              <w:bottom w:val="single" w:sz="4" w:space="0" w:color="auto"/>
              <w:right w:val="single" w:sz="4" w:space="0" w:color="auto"/>
            </w:tcBorders>
            <w:noWrap/>
            <w:vAlign w:val="center"/>
            <w:hideMark/>
          </w:tcPr>
          <w:p w14:paraId="10C92D52"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Gestão da Saúde (Cadastros nacionais)</w:t>
            </w:r>
          </w:p>
        </w:tc>
        <w:tc>
          <w:tcPr>
            <w:tcW w:w="709" w:type="dxa"/>
            <w:tcBorders>
              <w:top w:val="nil"/>
              <w:left w:val="nil"/>
              <w:bottom w:val="single" w:sz="4" w:space="0" w:color="auto"/>
              <w:right w:val="single" w:sz="4" w:space="0" w:color="auto"/>
            </w:tcBorders>
            <w:noWrap/>
            <w:vAlign w:val="center"/>
            <w:hideMark/>
          </w:tcPr>
          <w:p w14:paraId="10DC504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F004AB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93F650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R$ 1.049,03</w:t>
            </w:r>
          </w:p>
        </w:tc>
        <w:tc>
          <w:tcPr>
            <w:tcW w:w="1559" w:type="dxa"/>
            <w:tcBorders>
              <w:top w:val="nil"/>
              <w:left w:val="nil"/>
              <w:bottom w:val="single" w:sz="4" w:space="0" w:color="auto"/>
              <w:right w:val="single" w:sz="4" w:space="0" w:color="auto"/>
            </w:tcBorders>
            <w:noWrap/>
            <w:vAlign w:val="center"/>
            <w:hideMark/>
          </w:tcPr>
          <w:p w14:paraId="1012FAC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12.588,36 </w:t>
            </w:r>
          </w:p>
        </w:tc>
      </w:tr>
      <w:tr w:rsidR="00B307DB" w:rsidRPr="00A7764A" w14:paraId="7C6E17E2"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7D3E233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1.4.2</w:t>
            </w:r>
          </w:p>
        </w:tc>
        <w:tc>
          <w:tcPr>
            <w:tcW w:w="4111" w:type="dxa"/>
            <w:tcBorders>
              <w:top w:val="nil"/>
              <w:left w:val="nil"/>
              <w:bottom w:val="single" w:sz="4" w:space="0" w:color="auto"/>
              <w:right w:val="single" w:sz="4" w:space="0" w:color="auto"/>
            </w:tcBorders>
            <w:noWrap/>
            <w:vAlign w:val="center"/>
            <w:hideMark/>
          </w:tcPr>
          <w:p w14:paraId="53D9629F"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Faturamento (Faturamento, TFT, AIH, APAC)</w:t>
            </w:r>
          </w:p>
        </w:tc>
        <w:tc>
          <w:tcPr>
            <w:tcW w:w="709" w:type="dxa"/>
            <w:tcBorders>
              <w:top w:val="nil"/>
              <w:left w:val="nil"/>
              <w:bottom w:val="single" w:sz="4" w:space="0" w:color="auto"/>
              <w:right w:val="single" w:sz="4" w:space="0" w:color="auto"/>
            </w:tcBorders>
            <w:noWrap/>
            <w:vAlign w:val="center"/>
            <w:hideMark/>
          </w:tcPr>
          <w:p w14:paraId="55A95AC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5D0C8F8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5EA5AC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R$ 1.189,79</w:t>
            </w:r>
          </w:p>
        </w:tc>
        <w:tc>
          <w:tcPr>
            <w:tcW w:w="1559" w:type="dxa"/>
            <w:tcBorders>
              <w:top w:val="nil"/>
              <w:left w:val="nil"/>
              <w:bottom w:val="single" w:sz="4" w:space="0" w:color="auto"/>
              <w:right w:val="single" w:sz="4" w:space="0" w:color="auto"/>
            </w:tcBorders>
            <w:noWrap/>
            <w:vAlign w:val="center"/>
            <w:hideMark/>
          </w:tcPr>
          <w:p w14:paraId="4AAA258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14.277,48 </w:t>
            </w:r>
          </w:p>
        </w:tc>
      </w:tr>
      <w:tr w:rsidR="00B307DB" w:rsidRPr="00A7764A" w14:paraId="703AD1B7"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6973EA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1.4.3</w:t>
            </w:r>
          </w:p>
        </w:tc>
        <w:tc>
          <w:tcPr>
            <w:tcW w:w="4111" w:type="dxa"/>
            <w:tcBorders>
              <w:top w:val="nil"/>
              <w:left w:val="nil"/>
              <w:bottom w:val="single" w:sz="4" w:space="0" w:color="auto"/>
              <w:right w:val="single" w:sz="4" w:space="0" w:color="auto"/>
            </w:tcBorders>
            <w:noWrap/>
            <w:vAlign w:val="center"/>
            <w:hideMark/>
          </w:tcPr>
          <w:p w14:paraId="134A4DFB"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Atenção Primaria (E-SUS AB, Imunizações, ACS Mobile Offine)</w:t>
            </w:r>
          </w:p>
        </w:tc>
        <w:tc>
          <w:tcPr>
            <w:tcW w:w="709" w:type="dxa"/>
            <w:tcBorders>
              <w:top w:val="nil"/>
              <w:left w:val="nil"/>
              <w:bottom w:val="single" w:sz="4" w:space="0" w:color="auto"/>
              <w:right w:val="single" w:sz="4" w:space="0" w:color="auto"/>
            </w:tcBorders>
            <w:noWrap/>
            <w:vAlign w:val="center"/>
            <w:hideMark/>
          </w:tcPr>
          <w:p w14:paraId="249E3F1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5E75C4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77CCD4F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R$ 623,48</w:t>
            </w:r>
          </w:p>
        </w:tc>
        <w:tc>
          <w:tcPr>
            <w:tcW w:w="1559" w:type="dxa"/>
            <w:tcBorders>
              <w:top w:val="nil"/>
              <w:left w:val="nil"/>
              <w:bottom w:val="single" w:sz="4" w:space="0" w:color="auto"/>
              <w:right w:val="single" w:sz="4" w:space="0" w:color="auto"/>
            </w:tcBorders>
            <w:noWrap/>
            <w:vAlign w:val="center"/>
            <w:hideMark/>
          </w:tcPr>
          <w:p w14:paraId="0813875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7.481,76 </w:t>
            </w:r>
          </w:p>
        </w:tc>
      </w:tr>
      <w:tr w:rsidR="00B307DB" w:rsidRPr="00A7764A" w14:paraId="6F263D2E"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1B8C488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1.4.4</w:t>
            </w:r>
          </w:p>
        </w:tc>
        <w:tc>
          <w:tcPr>
            <w:tcW w:w="4111" w:type="dxa"/>
            <w:tcBorders>
              <w:top w:val="nil"/>
              <w:left w:val="nil"/>
              <w:bottom w:val="single" w:sz="4" w:space="0" w:color="auto"/>
              <w:right w:val="single" w:sz="4" w:space="0" w:color="auto"/>
            </w:tcBorders>
            <w:noWrap/>
            <w:vAlign w:val="center"/>
            <w:hideMark/>
          </w:tcPr>
          <w:p w14:paraId="6FC71E02"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Assistência à Saúde (Ambulatório, prontuário médico, Prontuário Odontológico)</w:t>
            </w:r>
          </w:p>
        </w:tc>
        <w:tc>
          <w:tcPr>
            <w:tcW w:w="709" w:type="dxa"/>
            <w:tcBorders>
              <w:top w:val="nil"/>
              <w:left w:val="nil"/>
              <w:bottom w:val="single" w:sz="4" w:space="0" w:color="auto"/>
              <w:right w:val="single" w:sz="4" w:space="0" w:color="auto"/>
            </w:tcBorders>
            <w:noWrap/>
            <w:vAlign w:val="center"/>
            <w:hideMark/>
          </w:tcPr>
          <w:p w14:paraId="44D7310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0E81C98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41CA83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R$ 773,69</w:t>
            </w:r>
          </w:p>
        </w:tc>
        <w:tc>
          <w:tcPr>
            <w:tcW w:w="1559" w:type="dxa"/>
            <w:tcBorders>
              <w:top w:val="nil"/>
              <w:left w:val="nil"/>
              <w:bottom w:val="single" w:sz="4" w:space="0" w:color="auto"/>
              <w:right w:val="single" w:sz="4" w:space="0" w:color="auto"/>
            </w:tcBorders>
            <w:noWrap/>
            <w:vAlign w:val="center"/>
            <w:hideMark/>
          </w:tcPr>
          <w:p w14:paraId="7A6E28F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9.284,28 </w:t>
            </w:r>
          </w:p>
        </w:tc>
      </w:tr>
      <w:tr w:rsidR="00B307DB" w:rsidRPr="00A7764A" w14:paraId="3AD3BDBD"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906096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1.4.5</w:t>
            </w:r>
          </w:p>
        </w:tc>
        <w:tc>
          <w:tcPr>
            <w:tcW w:w="4111" w:type="dxa"/>
            <w:tcBorders>
              <w:top w:val="nil"/>
              <w:left w:val="nil"/>
              <w:bottom w:val="single" w:sz="4" w:space="0" w:color="auto"/>
              <w:right w:val="single" w:sz="4" w:space="0" w:color="auto"/>
            </w:tcBorders>
            <w:noWrap/>
            <w:vAlign w:val="center"/>
            <w:hideMark/>
          </w:tcPr>
          <w:p w14:paraId="67A42383"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Assistência Farmacêutica (Farmácia)</w:t>
            </w:r>
          </w:p>
        </w:tc>
        <w:tc>
          <w:tcPr>
            <w:tcW w:w="709" w:type="dxa"/>
            <w:tcBorders>
              <w:top w:val="nil"/>
              <w:left w:val="nil"/>
              <w:bottom w:val="single" w:sz="4" w:space="0" w:color="auto"/>
              <w:right w:val="single" w:sz="4" w:space="0" w:color="auto"/>
            </w:tcBorders>
            <w:noWrap/>
            <w:vAlign w:val="center"/>
            <w:hideMark/>
          </w:tcPr>
          <w:p w14:paraId="1EF34A0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766BEEE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5B8A6C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R$ 1.272,21</w:t>
            </w:r>
          </w:p>
        </w:tc>
        <w:tc>
          <w:tcPr>
            <w:tcW w:w="1559" w:type="dxa"/>
            <w:tcBorders>
              <w:top w:val="nil"/>
              <w:left w:val="nil"/>
              <w:bottom w:val="single" w:sz="4" w:space="0" w:color="auto"/>
              <w:right w:val="single" w:sz="4" w:space="0" w:color="auto"/>
            </w:tcBorders>
            <w:noWrap/>
            <w:vAlign w:val="center"/>
            <w:hideMark/>
          </w:tcPr>
          <w:p w14:paraId="37E3D79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15.266,52 </w:t>
            </w:r>
          </w:p>
        </w:tc>
      </w:tr>
      <w:tr w:rsidR="00B307DB" w:rsidRPr="00A7764A" w14:paraId="7B59160E"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6822C05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1.4.6</w:t>
            </w:r>
          </w:p>
        </w:tc>
        <w:tc>
          <w:tcPr>
            <w:tcW w:w="4111" w:type="dxa"/>
            <w:tcBorders>
              <w:top w:val="nil"/>
              <w:left w:val="nil"/>
              <w:bottom w:val="single" w:sz="4" w:space="0" w:color="auto"/>
              <w:right w:val="single" w:sz="4" w:space="0" w:color="auto"/>
            </w:tcBorders>
            <w:noWrap/>
            <w:vAlign w:val="center"/>
            <w:hideMark/>
          </w:tcPr>
          <w:p w14:paraId="183AC5A5"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Diagnóstico (Radiodiagnóstico, Laboratório, Ecografia, Interfaceamento com laboratórios)</w:t>
            </w:r>
          </w:p>
        </w:tc>
        <w:tc>
          <w:tcPr>
            <w:tcW w:w="709" w:type="dxa"/>
            <w:tcBorders>
              <w:top w:val="nil"/>
              <w:left w:val="nil"/>
              <w:bottom w:val="single" w:sz="4" w:space="0" w:color="auto"/>
              <w:right w:val="single" w:sz="4" w:space="0" w:color="auto"/>
            </w:tcBorders>
            <w:noWrap/>
            <w:vAlign w:val="center"/>
            <w:hideMark/>
          </w:tcPr>
          <w:p w14:paraId="21BD093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C170DE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B7DDE2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R$ 523,77</w:t>
            </w:r>
          </w:p>
        </w:tc>
        <w:tc>
          <w:tcPr>
            <w:tcW w:w="1559" w:type="dxa"/>
            <w:tcBorders>
              <w:top w:val="nil"/>
              <w:left w:val="nil"/>
              <w:bottom w:val="single" w:sz="4" w:space="0" w:color="auto"/>
              <w:right w:val="single" w:sz="4" w:space="0" w:color="auto"/>
            </w:tcBorders>
            <w:noWrap/>
            <w:vAlign w:val="center"/>
            <w:hideMark/>
          </w:tcPr>
          <w:p w14:paraId="36BFE8F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6.285,24 </w:t>
            </w:r>
          </w:p>
        </w:tc>
      </w:tr>
      <w:tr w:rsidR="00B307DB" w:rsidRPr="00A7764A" w14:paraId="368E3737" w14:textId="77777777" w:rsidTr="00B307D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23B01E7C" w14:textId="77777777" w:rsidR="00B307DB" w:rsidRPr="00A7764A" w:rsidRDefault="00B307DB" w:rsidP="00B307DB">
            <w:pPr>
              <w:spacing w:after="0" w:line="240" w:lineRule="auto"/>
              <w:rPr>
                <w:rFonts w:ascii="Times New Roman" w:hAnsi="Times New Roman" w:cs="Times New Roman"/>
                <w:b/>
                <w:color w:val="000000"/>
              </w:rPr>
            </w:pPr>
            <w:r w:rsidRPr="00A7764A">
              <w:rPr>
                <w:rFonts w:ascii="Times New Roman" w:hAnsi="Times New Roman" w:cs="Times New Roman"/>
                <w:b/>
                <w:color w:val="000000"/>
              </w:rPr>
              <w:t>1.5 OBJETO: MÓDULOS PARA USO DA SECRETARIA DA EDUCAÇÃO</w:t>
            </w:r>
          </w:p>
        </w:tc>
      </w:tr>
      <w:tr w:rsidR="00B307DB" w:rsidRPr="00A7764A" w14:paraId="700FB37A"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08E90D5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1.5.1</w:t>
            </w:r>
          </w:p>
        </w:tc>
        <w:tc>
          <w:tcPr>
            <w:tcW w:w="4111" w:type="dxa"/>
            <w:tcBorders>
              <w:top w:val="nil"/>
              <w:left w:val="nil"/>
              <w:bottom w:val="single" w:sz="4" w:space="0" w:color="auto"/>
              <w:right w:val="single" w:sz="4" w:space="0" w:color="auto"/>
            </w:tcBorders>
            <w:noWrap/>
            <w:vAlign w:val="center"/>
            <w:hideMark/>
          </w:tcPr>
          <w:p w14:paraId="6FB1FD66"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 xml:space="preserve">Gestão da Educação (Gestão Administrativa Escolar, Gestão Calendário Escolar, Gestão </w:t>
            </w:r>
            <w:r w:rsidRPr="00A7764A">
              <w:rPr>
                <w:rFonts w:ascii="Times New Roman" w:hAnsi="Times New Roman" w:cs="Times New Roman"/>
                <w:color w:val="000000"/>
              </w:rPr>
              <w:lastRenderedPageBreak/>
              <w:t>Pedagógica, Secretaria escolar, Gestão do Professor)</w:t>
            </w:r>
          </w:p>
        </w:tc>
        <w:tc>
          <w:tcPr>
            <w:tcW w:w="709" w:type="dxa"/>
            <w:tcBorders>
              <w:top w:val="nil"/>
              <w:left w:val="nil"/>
              <w:bottom w:val="single" w:sz="4" w:space="0" w:color="auto"/>
              <w:right w:val="single" w:sz="4" w:space="0" w:color="auto"/>
            </w:tcBorders>
            <w:noWrap/>
            <w:vAlign w:val="center"/>
            <w:hideMark/>
          </w:tcPr>
          <w:p w14:paraId="1A532BB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lastRenderedPageBreak/>
              <w:t>12</w:t>
            </w:r>
          </w:p>
        </w:tc>
        <w:tc>
          <w:tcPr>
            <w:tcW w:w="708" w:type="dxa"/>
            <w:tcBorders>
              <w:top w:val="nil"/>
              <w:left w:val="nil"/>
              <w:bottom w:val="single" w:sz="4" w:space="0" w:color="auto"/>
              <w:right w:val="single" w:sz="4" w:space="0" w:color="auto"/>
            </w:tcBorders>
            <w:noWrap/>
            <w:vAlign w:val="center"/>
            <w:hideMark/>
          </w:tcPr>
          <w:p w14:paraId="03C1CAE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3C91C03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R$ 3.981,62</w:t>
            </w:r>
          </w:p>
        </w:tc>
        <w:tc>
          <w:tcPr>
            <w:tcW w:w="1559" w:type="dxa"/>
            <w:tcBorders>
              <w:top w:val="nil"/>
              <w:left w:val="nil"/>
              <w:bottom w:val="single" w:sz="4" w:space="0" w:color="auto"/>
              <w:right w:val="single" w:sz="4" w:space="0" w:color="auto"/>
            </w:tcBorders>
            <w:noWrap/>
            <w:vAlign w:val="center"/>
            <w:hideMark/>
          </w:tcPr>
          <w:p w14:paraId="3E87854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47.779,44 </w:t>
            </w:r>
          </w:p>
        </w:tc>
      </w:tr>
      <w:tr w:rsidR="00B307DB" w:rsidRPr="00A7764A" w14:paraId="3E15BD32"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565373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1.5.2</w:t>
            </w:r>
          </w:p>
        </w:tc>
        <w:tc>
          <w:tcPr>
            <w:tcW w:w="4111" w:type="dxa"/>
            <w:tcBorders>
              <w:top w:val="nil"/>
              <w:left w:val="nil"/>
              <w:bottom w:val="single" w:sz="4" w:space="0" w:color="auto"/>
              <w:right w:val="single" w:sz="4" w:space="0" w:color="auto"/>
            </w:tcBorders>
            <w:noWrap/>
            <w:vAlign w:val="center"/>
            <w:hideMark/>
          </w:tcPr>
          <w:p w14:paraId="37054354"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Censo Escolar</w:t>
            </w:r>
          </w:p>
        </w:tc>
        <w:tc>
          <w:tcPr>
            <w:tcW w:w="709" w:type="dxa"/>
            <w:tcBorders>
              <w:top w:val="nil"/>
              <w:left w:val="nil"/>
              <w:bottom w:val="single" w:sz="4" w:space="0" w:color="auto"/>
              <w:right w:val="single" w:sz="4" w:space="0" w:color="auto"/>
            </w:tcBorders>
            <w:noWrap/>
            <w:vAlign w:val="center"/>
            <w:hideMark/>
          </w:tcPr>
          <w:p w14:paraId="5FF4C66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C6B616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4E84E1B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R$ 647,77</w:t>
            </w:r>
          </w:p>
        </w:tc>
        <w:tc>
          <w:tcPr>
            <w:tcW w:w="1559" w:type="dxa"/>
            <w:tcBorders>
              <w:top w:val="nil"/>
              <w:left w:val="nil"/>
              <w:bottom w:val="single" w:sz="4" w:space="0" w:color="auto"/>
              <w:right w:val="single" w:sz="4" w:space="0" w:color="auto"/>
            </w:tcBorders>
            <w:noWrap/>
            <w:vAlign w:val="center"/>
            <w:hideMark/>
          </w:tcPr>
          <w:p w14:paraId="5AD525B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7.773,24 </w:t>
            </w:r>
          </w:p>
        </w:tc>
      </w:tr>
      <w:tr w:rsidR="00B307DB" w:rsidRPr="00A7764A" w14:paraId="64375360"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6307F27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1.5.3</w:t>
            </w:r>
          </w:p>
        </w:tc>
        <w:tc>
          <w:tcPr>
            <w:tcW w:w="4111" w:type="dxa"/>
            <w:tcBorders>
              <w:top w:val="nil"/>
              <w:left w:val="nil"/>
              <w:bottom w:val="single" w:sz="4" w:space="0" w:color="auto"/>
              <w:right w:val="single" w:sz="4" w:space="0" w:color="auto"/>
            </w:tcBorders>
            <w:noWrap/>
            <w:vAlign w:val="center"/>
            <w:hideMark/>
          </w:tcPr>
          <w:p w14:paraId="42EDAE20"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Transporte Escolar</w:t>
            </w:r>
          </w:p>
        </w:tc>
        <w:tc>
          <w:tcPr>
            <w:tcW w:w="709" w:type="dxa"/>
            <w:tcBorders>
              <w:top w:val="nil"/>
              <w:left w:val="nil"/>
              <w:bottom w:val="single" w:sz="4" w:space="0" w:color="auto"/>
              <w:right w:val="single" w:sz="4" w:space="0" w:color="auto"/>
            </w:tcBorders>
            <w:noWrap/>
            <w:vAlign w:val="center"/>
            <w:hideMark/>
          </w:tcPr>
          <w:p w14:paraId="333DD4D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661C414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650151E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R$ 255,38</w:t>
            </w:r>
          </w:p>
        </w:tc>
        <w:tc>
          <w:tcPr>
            <w:tcW w:w="1559" w:type="dxa"/>
            <w:tcBorders>
              <w:top w:val="nil"/>
              <w:left w:val="nil"/>
              <w:bottom w:val="single" w:sz="4" w:space="0" w:color="auto"/>
              <w:right w:val="single" w:sz="4" w:space="0" w:color="auto"/>
            </w:tcBorders>
            <w:noWrap/>
            <w:vAlign w:val="center"/>
            <w:hideMark/>
          </w:tcPr>
          <w:p w14:paraId="7EB0EB1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3.064,56 </w:t>
            </w:r>
          </w:p>
        </w:tc>
      </w:tr>
      <w:tr w:rsidR="00B307DB" w:rsidRPr="00A7764A" w14:paraId="35F30CFD"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3986867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1.5.4</w:t>
            </w:r>
          </w:p>
        </w:tc>
        <w:tc>
          <w:tcPr>
            <w:tcW w:w="4111" w:type="dxa"/>
            <w:tcBorders>
              <w:top w:val="nil"/>
              <w:left w:val="nil"/>
              <w:bottom w:val="single" w:sz="4" w:space="0" w:color="auto"/>
              <w:right w:val="single" w:sz="4" w:space="0" w:color="auto"/>
            </w:tcBorders>
            <w:noWrap/>
            <w:vAlign w:val="center"/>
            <w:hideMark/>
          </w:tcPr>
          <w:p w14:paraId="78E1F924"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APP Professor</w:t>
            </w:r>
          </w:p>
        </w:tc>
        <w:tc>
          <w:tcPr>
            <w:tcW w:w="709" w:type="dxa"/>
            <w:tcBorders>
              <w:top w:val="nil"/>
              <w:left w:val="nil"/>
              <w:bottom w:val="single" w:sz="4" w:space="0" w:color="auto"/>
              <w:right w:val="single" w:sz="4" w:space="0" w:color="auto"/>
            </w:tcBorders>
            <w:noWrap/>
            <w:vAlign w:val="center"/>
            <w:hideMark/>
          </w:tcPr>
          <w:p w14:paraId="101FDFD4"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31DA845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713933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R$ 533,21</w:t>
            </w:r>
          </w:p>
        </w:tc>
        <w:tc>
          <w:tcPr>
            <w:tcW w:w="1559" w:type="dxa"/>
            <w:tcBorders>
              <w:top w:val="nil"/>
              <w:left w:val="nil"/>
              <w:bottom w:val="single" w:sz="4" w:space="0" w:color="auto"/>
              <w:right w:val="single" w:sz="4" w:space="0" w:color="auto"/>
            </w:tcBorders>
            <w:noWrap/>
            <w:vAlign w:val="center"/>
            <w:hideMark/>
          </w:tcPr>
          <w:p w14:paraId="350257E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6.398,52 </w:t>
            </w:r>
          </w:p>
        </w:tc>
      </w:tr>
      <w:tr w:rsidR="00B307DB" w:rsidRPr="00A7764A" w14:paraId="4417A79D" w14:textId="77777777" w:rsidTr="00B307D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4846181B" w14:textId="77777777" w:rsidR="00B307DB" w:rsidRPr="00A7764A" w:rsidRDefault="00B307DB" w:rsidP="00B307DB">
            <w:pPr>
              <w:spacing w:after="0" w:line="240" w:lineRule="auto"/>
              <w:rPr>
                <w:rFonts w:ascii="Times New Roman" w:hAnsi="Times New Roman" w:cs="Times New Roman"/>
                <w:b/>
                <w:color w:val="000000"/>
              </w:rPr>
            </w:pPr>
            <w:r w:rsidRPr="00A7764A">
              <w:rPr>
                <w:rFonts w:ascii="Times New Roman" w:hAnsi="Times New Roman" w:cs="Times New Roman"/>
                <w:b/>
                <w:color w:val="000000"/>
              </w:rPr>
              <w:t>1.6 OBJETO: MÓDULOS PARA USO DA SECRETARIA DE ASSISTÊNCIA SOCIAL</w:t>
            </w:r>
          </w:p>
        </w:tc>
      </w:tr>
      <w:tr w:rsidR="00B307DB" w:rsidRPr="00A7764A" w14:paraId="21AB2CCC"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A8609C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1.6.1</w:t>
            </w:r>
          </w:p>
        </w:tc>
        <w:tc>
          <w:tcPr>
            <w:tcW w:w="4111" w:type="dxa"/>
            <w:tcBorders>
              <w:top w:val="nil"/>
              <w:left w:val="nil"/>
              <w:bottom w:val="single" w:sz="4" w:space="0" w:color="auto"/>
              <w:right w:val="single" w:sz="4" w:space="0" w:color="auto"/>
            </w:tcBorders>
            <w:noWrap/>
            <w:vAlign w:val="center"/>
            <w:hideMark/>
          </w:tcPr>
          <w:p w14:paraId="6331E5AB"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rPr>
              <w:t>Gestão da Assistência Social</w:t>
            </w:r>
          </w:p>
        </w:tc>
        <w:tc>
          <w:tcPr>
            <w:tcW w:w="709" w:type="dxa"/>
            <w:tcBorders>
              <w:top w:val="nil"/>
              <w:left w:val="nil"/>
              <w:bottom w:val="single" w:sz="4" w:space="0" w:color="auto"/>
              <w:right w:val="single" w:sz="4" w:space="0" w:color="auto"/>
            </w:tcBorders>
            <w:noWrap/>
            <w:vAlign w:val="center"/>
            <w:hideMark/>
          </w:tcPr>
          <w:p w14:paraId="0C44AAD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12</w:t>
            </w:r>
          </w:p>
        </w:tc>
        <w:tc>
          <w:tcPr>
            <w:tcW w:w="708" w:type="dxa"/>
            <w:tcBorders>
              <w:top w:val="nil"/>
              <w:left w:val="nil"/>
              <w:bottom w:val="single" w:sz="4" w:space="0" w:color="auto"/>
              <w:right w:val="single" w:sz="4" w:space="0" w:color="auto"/>
            </w:tcBorders>
            <w:noWrap/>
            <w:vAlign w:val="center"/>
            <w:hideMark/>
          </w:tcPr>
          <w:p w14:paraId="4159B14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Meses</w:t>
            </w:r>
          </w:p>
        </w:tc>
        <w:tc>
          <w:tcPr>
            <w:tcW w:w="1276" w:type="dxa"/>
            <w:tcBorders>
              <w:top w:val="nil"/>
              <w:left w:val="nil"/>
              <w:bottom w:val="single" w:sz="4" w:space="0" w:color="auto"/>
              <w:right w:val="single" w:sz="4" w:space="0" w:color="auto"/>
            </w:tcBorders>
            <w:noWrap/>
            <w:vAlign w:val="center"/>
            <w:hideMark/>
          </w:tcPr>
          <w:p w14:paraId="28F3923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R$ 1.412,00</w:t>
            </w:r>
          </w:p>
        </w:tc>
        <w:tc>
          <w:tcPr>
            <w:tcW w:w="1559" w:type="dxa"/>
            <w:tcBorders>
              <w:top w:val="nil"/>
              <w:left w:val="nil"/>
              <w:bottom w:val="single" w:sz="4" w:space="0" w:color="auto"/>
              <w:right w:val="single" w:sz="4" w:space="0" w:color="auto"/>
            </w:tcBorders>
            <w:noWrap/>
            <w:vAlign w:val="center"/>
            <w:hideMark/>
          </w:tcPr>
          <w:p w14:paraId="233E220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R$ 16.944,00</w:t>
            </w:r>
          </w:p>
        </w:tc>
      </w:tr>
      <w:tr w:rsidR="00B307DB" w:rsidRPr="00A7764A" w14:paraId="0D1419F7" w14:textId="77777777" w:rsidTr="00B307D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3EE25CEF" w14:textId="77777777" w:rsidR="00B307DB" w:rsidRPr="00A7764A" w:rsidRDefault="00B307DB" w:rsidP="00B307DB">
            <w:pPr>
              <w:spacing w:after="0" w:line="240" w:lineRule="auto"/>
              <w:rPr>
                <w:rFonts w:ascii="Times New Roman" w:hAnsi="Times New Roman" w:cs="Times New Roman"/>
                <w:b/>
                <w:color w:val="000000"/>
              </w:rPr>
            </w:pPr>
            <w:r w:rsidRPr="00A7764A">
              <w:rPr>
                <w:rFonts w:ascii="Times New Roman" w:hAnsi="Times New Roman" w:cs="Times New Roman"/>
                <w:b/>
                <w:color w:val="000000"/>
              </w:rPr>
              <w:t>2 OBJETO: MIGRAÇÃO DE DADOS </w:t>
            </w:r>
          </w:p>
        </w:tc>
      </w:tr>
      <w:tr w:rsidR="00B307DB" w:rsidRPr="00A7764A" w14:paraId="16FF7428"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734C3B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2.1</w:t>
            </w:r>
          </w:p>
        </w:tc>
        <w:tc>
          <w:tcPr>
            <w:tcW w:w="4111" w:type="dxa"/>
            <w:tcBorders>
              <w:top w:val="nil"/>
              <w:left w:val="nil"/>
              <w:bottom w:val="single" w:sz="4" w:space="0" w:color="auto"/>
              <w:right w:val="single" w:sz="4" w:space="0" w:color="auto"/>
            </w:tcBorders>
            <w:noWrap/>
            <w:vAlign w:val="center"/>
            <w:hideMark/>
          </w:tcPr>
          <w:p w14:paraId="1E460D8B" w14:textId="77777777" w:rsidR="00B307DB" w:rsidRPr="00A7764A" w:rsidRDefault="00B307DB" w:rsidP="00B307DB">
            <w:pPr>
              <w:spacing w:after="0" w:line="240" w:lineRule="auto"/>
              <w:jc w:val="both"/>
              <w:rPr>
                <w:rFonts w:ascii="Times New Roman" w:hAnsi="Times New Roman" w:cs="Times New Roman"/>
                <w:color w:val="000000"/>
              </w:rPr>
            </w:pPr>
            <w:r w:rsidRPr="00A7764A">
              <w:rPr>
                <w:rFonts w:ascii="Times New Roman" w:hAnsi="Times New Roman" w:cs="Times New Roman"/>
                <w:color w:val="000000"/>
              </w:rPr>
              <w:t>Serviços de diagnóstico, migração de dados, configuração, habilitação e treinamento de usuários: MUNICÍPIO RIQUEZA, FUNDOS MUNICIPAIS CÂMARA DE VEREADORES SECRETARIA DE EDUCAÇÃO SECRETARIA DE SAÚDE E ASSISTÊNCIA SOCIAL</w:t>
            </w:r>
          </w:p>
        </w:tc>
        <w:tc>
          <w:tcPr>
            <w:tcW w:w="709" w:type="dxa"/>
            <w:tcBorders>
              <w:top w:val="nil"/>
              <w:left w:val="nil"/>
              <w:bottom w:val="single" w:sz="4" w:space="0" w:color="auto"/>
              <w:right w:val="single" w:sz="4" w:space="0" w:color="auto"/>
            </w:tcBorders>
            <w:noWrap/>
            <w:vAlign w:val="center"/>
            <w:hideMark/>
          </w:tcPr>
          <w:p w14:paraId="008245D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noWrap/>
            <w:vAlign w:val="center"/>
            <w:hideMark/>
          </w:tcPr>
          <w:p w14:paraId="20BE39B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Serv</w:t>
            </w:r>
          </w:p>
        </w:tc>
        <w:tc>
          <w:tcPr>
            <w:tcW w:w="1276" w:type="dxa"/>
            <w:tcBorders>
              <w:top w:val="nil"/>
              <w:left w:val="nil"/>
              <w:bottom w:val="single" w:sz="4" w:space="0" w:color="auto"/>
              <w:right w:val="single" w:sz="4" w:space="0" w:color="auto"/>
            </w:tcBorders>
            <w:noWrap/>
            <w:vAlign w:val="center"/>
            <w:hideMark/>
          </w:tcPr>
          <w:p w14:paraId="3CB9484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R$ 63.584,42</w:t>
            </w:r>
          </w:p>
        </w:tc>
        <w:tc>
          <w:tcPr>
            <w:tcW w:w="1559" w:type="dxa"/>
            <w:tcBorders>
              <w:top w:val="nil"/>
              <w:left w:val="nil"/>
              <w:bottom w:val="single" w:sz="4" w:space="0" w:color="auto"/>
              <w:right w:val="single" w:sz="4" w:space="0" w:color="auto"/>
            </w:tcBorders>
            <w:noWrap/>
            <w:vAlign w:val="center"/>
            <w:hideMark/>
          </w:tcPr>
          <w:p w14:paraId="2B16712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R$ 63.584,42</w:t>
            </w:r>
          </w:p>
        </w:tc>
      </w:tr>
      <w:tr w:rsidR="00B307DB" w:rsidRPr="00A7764A" w14:paraId="6C5CC6AB" w14:textId="77777777" w:rsidTr="00B307DB">
        <w:trPr>
          <w:trHeight w:val="288"/>
        </w:trPr>
        <w:tc>
          <w:tcPr>
            <w:tcW w:w="9067" w:type="dxa"/>
            <w:gridSpan w:val="6"/>
            <w:tcBorders>
              <w:top w:val="nil"/>
              <w:left w:val="single" w:sz="4" w:space="0" w:color="auto"/>
              <w:bottom w:val="single" w:sz="4" w:space="0" w:color="auto"/>
              <w:right w:val="single" w:sz="4" w:space="0" w:color="auto"/>
            </w:tcBorders>
            <w:noWrap/>
            <w:vAlign w:val="center"/>
            <w:hideMark/>
          </w:tcPr>
          <w:p w14:paraId="6117E298" w14:textId="77777777" w:rsidR="00B307DB" w:rsidRPr="00A7764A" w:rsidRDefault="00B307DB" w:rsidP="00B307DB">
            <w:pPr>
              <w:spacing w:after="0" w:line="240" w:lineRule="auto"/>
              <w:rPr>
                <w:rFonts w:ascii="Times New Roman" w:hAnsi="Times New Roman" w:cs="Times New Roman"/>
                <w:b/>
                <w:color w:val="000000"/>
              </w:rPr>
            </w:pPr>
            <w:r w:rsidRPr="00A7764A">
              <w:rPr>
                <w:rFonts w:ascii="Times New Roman" w:hAnsi="Times New Roman" w:cs="Times New Roman"/>
                <w:b/>
                <w:color w:val="000000"/>
              </w:rPr>
              <w:t>3 SERVIÇOS ADICIONAIS</w:t>
            </w:r>
          </w:p>
        </w:tc>
      </w:tr>
      <w:tr w:rsidR="00B307DB" w:rsidRPr="00A7764A" w14:paraId="6CBE65E5"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3E3E8C1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3.1</w:t>
            </w:r>
          </w:p>
        </w:tc>
        <w:tc>
          <w:tcPr>
            <w:tcW w:w="4111" w:type="dxa"/>
            <w:tcBorders>
              <w:top w:val="nil"/>
              <w:left w:val="nil"/>
              <w:bottom w:val="single" w:sz="4" w:space="0" w:color="auto"/>
              <w:right w:val="single" w:sz="4" w:space="0" w:color="auto"/>
            </w:tcBorders>
            <w:noWrap/>
            <w:vAlign w:val="center"/>
            <w:hideMark/>
          </w:tcPr>
          <w:p w14:paraId="00909BC8"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Atendimento técnico presencial</w:t>
            </w:r>
          </w:p>
        </w:tc>
        <w:tc>
          <w:tcPr>
            <w:tcW w:w="709" w:type="dxa"/>
            <w:tcBorders>
              <w:top w:val="nil"/>
              <w:left w:val="nil"/>
              <w:bottom w:val="single" w:sz="4" w:space="0" w:color="auto"/>
              <w:right w:val="single" w:sz="4" w:space="0" w:color="auto"/>
            </w:tcBorders>
            <w:noWrap/>
            <w:vAlign w:val="center"/>
            <w:hideMark/>
          </w:tcPr>
          <w:p w14:paraId="46B50A3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2A54DF0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14FD040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R$ 213,51</w:t>
            </w:r>
          </w:p>
        </w:tc>
        <w:tc>
          <w:tcPr>
            <w:tcW w:w="1559" w:type="dxa"/>
            <w:tcBorders>
              <w:top w:val="nil"/>
              <w:left w:val="nil"/>
              <w:bottom w:val="single" w:sz="4" w:space="0" w:color="auto"/>
              <w:right w:val="single" w:sz="4" w:space="0" w:color="auto"/>
            </w:tcBorders>
            <w:noWrap/>
            <w:vAlign w:val="center"/>
            <w:hideMark/>
          </w:tcPr>
          <w:p w14:paraId="4991783C"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5.337,75 </w:t>
            </w:r>
          </w:p>
        </w:tc>
      </w:tr>
      <w:tr w:rsidR="00B307DB" w:rsidRPr="00A7764A" w14:paraId="588CD2C6"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5F57E2B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3.2</w:t>
            </w:r>
          </w:p>
        </w:tc>
        <w:tc>
          <w:tcPr>
            <w:tcW w:w="4111" w:type="dxa"/>
            <w:tcBorders>
              <w:top w:val="nil"/>
              <w:left w:val="nil"/>
              <w:bottom w:val="single" w:sz="4" w:space="0" w:color="auto"/>
              <w:right w:val="single" w:sz="4" w:space="0" w:color="auto"/>
            </w:tcBorders>
            <w:noWrap/>
            <w:vAlign w:val="center"/>
            <w:hideMark/>
          </w:tcPr>
          <w:p w14:paraId="49A0C511"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Atendimento técnico remoto</w:t>
            </w:r>
          </w:p>
        </w:tc>
        <w:tc>
          <w:tcPr>
            <w:tcW w:w="709" w:type="dxa"/>
            <w:tcBorders>
              <w:top w:val="nil"/>
              <w:left w:val="nil"/>
              <w:bottom w:val="single" w:sz="4" w:space="0" w:color="auto"/>
              <w:right w:val="single" w:sz="4" w:space="0" w:color="auto"/>
            </w:tcBorders>
            <w:noWrap/>
            <w:vAlign w:val="center"/>
            <w:hideMark/>
          </w:tcPr>
          <w:p w14:paraId="37B5076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36EAA9C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63810911"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R$ 145,29</w:t>
            </w:r>
          </w:p>
        </w:tc>
        <w:tc>
          <w:tcPr>
            <w:tcW w:w="1559" w:type="dxa"/>
            <w:tcBorders>
              <w:top w:val="nil"/>
              <w:left w:val="nil"/>
              <w:bottom w:val="single" w:sz="4" w:space="0" w:color="auto"/>
              <w:right w:val="single" w:sz="4" w:space="0" w:color="auto"/>
            </w:tcBorders>
            <w:noWrap/>
            <w:vAlign w:val="center"/>
            <w:hideMark/>
          </w:tcPr>
          <w:p w14:paraId="6845CB1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3.632,25 </w:t>
            </w:r>
          </w:p>
        </w:tc>
      </w:tr>
      <w:tr w:rsidR="00B307DB" w:rsidRPr="00A7764A" w14:paraId="7927339C"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2D7ED03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3.3</w:t>
            </w:r>
          </w:p>
        </w:tc>
        <w:tc>
          <w:tcPr>
            <w:tcW w:w="4111" w:type="dxa"/>
            <w:tcBorders>
              <w:top w:val="nil"/>
              <w:left w:val="nil"/>
              <w:bottom w:val="single" w:sz="4" w:space="0" w:color="auto"/>
              <w:right w:val="single" w:sz="4" w:space="0" w:color="auto"/>
            </w:tcBorders>
            <w:noWrap/>
            <w:vAlign w:val="center"/>
            <w:hideMark/>
          </w:tcPr>
          <w:p w14:paraId="7506C976"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 xml:space="preserve">Configurações </w:t>
            </w:r>
          </w:p>
        </w:tc>
        <w:tc>
          <w:tcPr>
            <w:tcW w:w="709" w:type="dxa"/>
            <w:tcBorders>
              <w:top w:val="nil"/>
              <w:left w:val="nil"/>
              <w:bottom w:val="single" w:sz="4" w:space="0" w:color="auto"/>
              <w:right w:val="single" w:sz="4" w:space="0" w:color="auto"/>
            </w:tcBorders>
            <w:noWrap/>
            <w:vAlign w:val="center"/>
            <w:hideMark/>
          </w:tcPr>
          <w:p w14:paraId="206B9AE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5B2213B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455C1D9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R$ 248,50</w:t>
            </w:r>
          </w:p>
        </w:tc>
        <w:tc>
          <w:tcPr>
            <w:tcW w:w="1559" w:type="dxa"/>
            <w:tcBorders>
              <w:top w:val="nil"/>
              <w:left w:val="nil"/>
              <w:bottom w:val="single" w:sz="4" w:space="0" w:color="auto"/>
              <w:right w:val="single" w:sz="4" w:space="0" w:color="auto"/>
            </w:tcBorders>
            <w:noWrap/>
            <w:vAlign w:val="center"/>
            <w:hideMark/>
          </w:tcPr>
          <w:p w14:paraId="79E8F5B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6.212,50 </w:t>
            </w:r>
          </w:p>
        </w:tc>
      </w:tr>
      <w:tr w:rsidR="00B307DB" w:rsidRPr="00A7764A" w14:paraId="696418D5"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6FF3E87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3.4</w:t>
            </w:r>
          </w:p>
        </w:tc>
        <w:tc>
          <w:tcPr>
            <w:tcW w:w="4111" w:type="dxa"/>
            <w:tcBorders>
              <w:top w:val="nil"/>
              <w:left w:val="nil"/>
              <w:bottom w:val="single" w:sz="4" w:space="0" w:color="auto"/>
              <w:right w:val="single" w:sz="4" w:space="0" w:color="auto"/>
            </w:tcBorders>
            <w:noWrap/>
            <w:vAlign w:val="center"/>
            <w:hideMark/>
          </w:tcPr>
          <w:p w14:paraId="7B2A4D15"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Personalização de Relatórios</w:t>
            </w:r>
          </w:p>
        </w:tc>
        <w:tc>
          <w:tcPr>
            <w:tcW w:w="709" w:type="dxa"/>
            <w:tcBorders>
              <w:top w:val="nil"/>
              <w:left w:val="nil"/>
              <w:bottom w:val="single" w:sz="4" w:space="0" w:color="auto"/>
              <w:right w:val="single" w:sz="4" w:space="0" w:color="auto"/>
            </w:tcBorders>
            <w:noWrap/>
            <w:vAlign w:val="center"/>
            <w:hideMark/>
          </w:tcPr>
          <w:p w14:paraId="20DC2AD2"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39638E6F"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3B5C117D"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R$ 178,00</w:t>
            </w:r>
          </w:p>
        </w:tc>
        <w:tc>
          <w:tcPr>
            <w:tcW w:w="1559" w:type="dxa"/>
            <w:tcBorders>
              <w:top w:val="nil"/>
              <w:left w:val="nil"/>
              <w:bottom w:val="single" w:sz="4" w:space="0" w:color="auto"/>
              <w:right w:val="single" w:sz="4" w:space="0" w:color="auto"/>
            </w:tcBorders>
            <w:noWrap/>
            <w:vAlign w:val="center"/>
            <w:hideMark/>
          </w:tcPr>
          <w:p w14:paraId="5617C81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4.450,00 </w:t>
            </w:r>
          </w:p>
        </w:tc>
      </w:tr>
      <w:tr w:rsidR="00B307DB" w:rsidRPr="00A7764A" w14:paraId="536FF2E7"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4019949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3.5</w:t>
            </w:r>
          </w:p>
        </w:tc>
        <w:tc>
          <w:tcPr>
            <w:tcW w:w="4111" w:type="dxa"/>
            <w:tcBorders>
              <w:top w:val="nil"/>
              <w:left w:val="nil"/>
              <w:bottom w:val="single" w:sz="4" w:space="0" w:color="auto"/>
              <w:right w:val="single" w:sz="4" w:space="0" w:color="auto"/>
            </w:tcBorders>
            <w:noWrap/>
            <w:vAlign w:val="center"/>
            <w:hideMark/>
          </w:tcPr>
          <w:p w14:paraId="306676AB"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Customizações</w:t>
            </w:r>
          </w:p>
        </w:tc>
        <w:tc>
          <w:tcPr>
            <w:tcW w:w="709" w:type="dxa"/>
            <w:tcBorders>
              <w:top w:val="nil"/>
              <w:left w:val="nil"/>
              <w:bottom w:val="single" w:sz="4" w:space="0" w:color="auto"/>
              <w:right w:val="single" w:sz="4" w:space="0" w:color="auto"/>
            </w:tcBorders>
            <w:noWrap/>
            <w:vAlign w:val="center"/>
            <w:hideMark/>
          </w:tcPr>
          <w:p w14:paraId="65E343B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5AAA2CF5"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4D8B8C8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R$ 353,20</w:t>
            </w:r>
          </w:p>
        </w:tc>
        <w:tc>
          <w:tcPr>
            <w:tcW w:w="1559" w:type="dxa"/>
            <w:tcBorders>
              <w:top w:val="nil"/>
              <w:left w:val="nil"/>
              <w:bottom w:val="single" w:sz="4" w:space="0" w:color="auto"/>
              <w:right w:val="single" w:sz="4" w:space="0" w:color="auto"/>
            </w:tcBorders>
            <w:noWrap/>
            <w:vAlign w:val="center"/>
            <w:hideMark/>
          </w:tcPr>
          <w:p w14:paraId="7D9B8CA8"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8.830,00 </w:t>
            </w:r>
          </w:p>
        </w:tc>
      </w:tr>
      <w:tr w:rsidR="00B307DB" w:rsidRPr="00A7764A" w14:paraId="1D4204B9"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08C67B16"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3.6</w:t>
            </w:r>
          </w:p>
        </w:tc>
        <w:tc>
          <w:tcPr>
            <w:tcW w:w="4111" w:type="dxa"/>
            <w:tcBorders>
              <w:top w:val="nil"/>
              <w:left w:val="nil"/>
              <w:bottom w:val="single" w:sz="4" w:space="0" w:color="auto"/>
              <w:right w:val="single" w:sz="4" w:space="0" w:color="auto"/>
            </w:tcBorders>
            <w:noWrap/>
            <w:vAlign w:val="center"/>
            <w:hideMark/>
          </w:tcPr>
          <w:p w14:paraId="416CB570"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Consultorias Complexas</w:t>
            </w:r>
          </w:p>
        </w:tc>
        <w:tc>
          <w:tcPr>
            <w:tcW w:w="709" w:type="dxa"/>
            <w:tcBorders>
              <w:top w:val="nil"/>
              <w:left w:val="nil"/>
              <w:bottom w:val="single" w:sz="4" w:space="0" w:color="auto"/>
              <w:right w:val="single" w:sz="4" w:space="0" w:color="auto"/>
            </w:tcBorders>
            <w:noWrap/>
            <w:vAlign w:val="center"/>
            <w:hideMark/>
          </w:tcPr>
          <w:p w14:paraId="0279573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041498E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253B86CE"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R$ 232,50</w:t>
            </w:r>
          </w:p>
        </w:tc>
        <w:tc>
          <w:tcPr>
            <w:tcW w:w="1559" w:type="dxa"/>
            <w:tcBorders>
              <w:top w:val="nil"/>
              <w:left w:val="nil"/>
              <w:bottom w:val="single" w:sz="4" w:space="0" w:color="auto"/>
              <w:right w:val="single" w:sz="4" w:space="0" w:color="auto"/>
            </w:tcBorders>
            <w:noWrap/>
            <w:vAlign w:val="center"/>
            <w:hideMark/>
          </w:tcPr>
          <w:p w14:paraId="77AF5AF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5.812,50 </w:t>
            </w:r>
          </w:p>
        </w:tc>
      </w:tr>
      <w:tr w:rsidR="00B307DB" w:rsidRPr="00A7764A" w14:paraId="0D7ABFE4"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08BBEBA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3.7</w:t>
            </w:r>
          </w:p>
        </w:tc>
        <w:tc>
          <w:tcPr>
            <w:tcW w:w="4111" w:type="dxa"/>
            <w:tcBorders>
              <w:top w:val="nil"/>
              <w:left w:val="nil"/>
              <w:bottom w:val="single" w:sz="4" w:space="0" w:color="auto"/>
              <w:right w:val="single" w:sz="4" w:space="0" w:color="auto"/>
            </w:tcBorders>
            <w:noWrap/>
            <w:vAlign w:val="center"/>
            <w:hideMark/>
          </w:tcPr>
          <w:p w14:paraId="2C4B185E"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Mapeamento de Processos</w:t>
            </w:r>
          </w:p>
        </w:tc>
        <w:tc>
          <w:tcPr>
            <w:tcW w:w="709" w:type="dxa"/>
            <w:tcBorders>
              <w:top w:val="nil"/>
              <w:left w:val="nil"/>
              <w:bottom w:val="single" w:sz="4" w:space="0" w:color="auto"/>
              <w:right w:val="single" w:sz="4" w:space="0" w:color="auto"/>
            </w:tcBorders>
            <w:noWrap/>
            <w:vAlign w:val="center"/>
            <w:hideMark/>
          </w:tcPr>
          <w:p w14:paraId="57F28D5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0F2414A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7637FA70"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R$ 248,50</w:t>
            </w:r>
          </w:p>
        </w:tc>
        <w:tc>
          <w:tcPr>
            <w:tcW w:w="1559" w:type="dxa"/>
            <w:tcBorders>
              <w:top w:val="nil"/>
              <w:left w:val="nil"/>
              <w:bottom w:val="single" w:sz="4" w:space="0" w:color="auto"/>
              <w:right w:val="single" w:sz="4" w:space="0" w:color="auto"/>
            </w:tcBorders>
            <w:noWrap/>
            <w:vAlign w:val="center"/>
            <w:hideMark/>
          </w:tcPr>
          <w:p w14:paraId="5C8FA35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6.212,50 </w:t>
            </w:r>
          </w:p>
        </w:tc>
      </w:tr>
      <w:tr w:rsidR="00B307DB" w:rsidRPr="00A7764A" w14:paraId="0550FCF9" w14:textId="77777777" w:rsidTr="00B307DB">
        <w:trPr>
          <w:trHeight w:val="288"/>
        </w:trPr>
        <w:tc>
          <w:tcPr>
            <w:tcW w:w="704" w:type="dxa"/>
            <w:tcBorders>
              <w:top w:val="nil"/>
              <w:left w:val="single" w:sz="4" w:space="0" w:color="auto"/>
              <w:bottom w:val="single" w:sz="4" w:space="0" w:color="auto"/>
              <w:right w:val="single" w:sz="4" w:space="0" w:color="auto"/>
            </w:tcBorders>
            <w:noWrap/>
            <w:vAlign w:val="center"/>
            <w:hideMark/>
          </w:tcPr>
          <w:p w14:paraId="39203B89"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3.8</w:t>
            </w:r>
          </w:p>
        </w:tc>
        <w:tc>
          <w:tcPr>
            <w:tcW w:w="4111" w:type="dxa"/>
            <w:tcBorders>
              <w:top w:val="nil"/>
              <w:left w:val="nil"/>
              <w:bottom w:val="single" w:sz="4" w:space="0" w:color="auto"/>
              <w:right w:val="single" w:sz="4" w:space="0" w:color="auto"/>
            </w:tcBorders>
            <w:noWrap/>
            <w:vAlign w:val="center"/>
            <w:hideMark/>
          </w:tcPr>
          <w:p w14:paraId="2498C8F8" w14:textId="77777777" w:rsidR="00B307DB" w:rsidRPr="00A7764A" w:rsidRDefault="00B307DB" w:rsidP="00B307DB">
            <w:pPr>
              <w:spacing w:after="0" w:line="240" w:lineRule="auto"/>
              <w:rPr>
                <w:rFonts w:ascii="Times New Roman" w:hAnsi="Times New Roman" w:cs="Times New Roman"/>
                <w:color w:val="000000"/>
              </w:rPr>
            </w:pPr>
            <w:r w:rsidRPr="00A7764A">
              <w:rPr>
                <w:rFonts w:ascii="Times New Roman" w:hAnsi="Times New Roman" w:cs="Times New Roman"/>
                <w:color w:val="000000"/>
              </w:rPr>
              <w:t>Técnico Residente</w:t>
            </w:r>
          </w:p>
        </w:tc>
        <w:tc>
          <w:tcPr>
            <w:tcW w:w="709" w:type="dxa"/>
            <w:tcBorders>
              <w:top w:val="nil"/>
              <w:left w:val="nil"/>
              <w:bottom w:val="single" w:sz="4" w:space="0" w:color="auto"/>
              <w:right w:val="single" w:sz="4" w:space="0" w:color="auto"/>
            </w:tcBorders>
            <w:noWrap/>
            <w:vAlign w:val="center"/>
            <w:hideMark/>
          </w:tcPr>
          <w:p w14:paraId="14628F8A"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25</w:t>
            </w:r>
          </w:p>
        </w:tc>
        <w:tc>
          <w:tcPr>
            <w:tcW w:w="708" w:type="dxa"/>
            <w:tcBorders>
              <w:top w:val="nil"/>
              <w:left w:val="nil"/>
              <w:bottom w:val="single" w:sz="4" w:space="0" w:color="auto"/>
              <w:right w:val="single" w:sz="4" w:space="0" w:color="auto"/>
            </w:tcBorders>
            <w:noWrap/>
            <w:vAlign w:val="center"/>
            <w:hideMark/>
          </w:tcPr>
          <w:p w14:paraId="24295283"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Hora</w:t>
            </w:r>
          </w:p>
        </w:tc>
        <w:tc>
          <w:tcPr>
            <w:tcW w:w="1276" w:type="dxa"/>
            <w:tcBorders>
              <w:top w:val="nil"/>
              <w:left w:val="nil"/>
              <w:bottom w:val="single" w:sz="4" w:space="0" w:color="auto"/>
              <w:right w:val="single" w:sz="4" w:space="0" w:color="auto"/>
            </w:tcBorders>
            <w:noWrap/>
            <w:vAlign w:val="center"/>
            <w:hideMark/>
          </w:tcPr>
          <w:p w14:paraId="604F39F7"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R$ 85,00</w:t>
            </w:r>
          </w:p>
        </w:tc>
        <w:tc>
          <w:tcPr>
            <w:tcW w:w="1559" w:type="dxa"/>
            <w:tcBorders>
              <w:top w:val="nil"/>
              <w:left w:val="nil"/>
              <w:bottom w:val="single" w:sz="4" w:space="0" w:color="auto"/>
              <w:right w:val="single" w:sz="4" w:space="0" w:color="auto"/>
            </w:tcBorders>
            <w:noWrap/>
            <w:vAlign w:val="center"/>
            <w:hideMark/>
          </w:tcPr>
          <w:p w14:paraId="5A6F926B" w14:textId="77777777" w:rsidR="00B307DB" w:rsidRPr="00A7764A" w:rsidRDefault="00B307DB" w:rsidP="00B307DB">
            <w:pPr>
              <w:spacing w:after="0" w:line="240" w:lineRule="auto"/>
              <w:jc w:val="center"/>
              <w:rPr>
                <w:rFonts w:ascii="Times New Roman" w:hAnsi="Times New Roman" w:cs="Times New Roman"/>
                <w:color w:val="000000"/>
              </w:rPr>
            </w:pPr>
            <w:r w:rsidRPr="00A7764A">
              <w:rPr>
                <w:rFonts w:ascii="Times New Roman" w:hAnsi="Times New Roman" w:cs="Times New Roman"/>
                <w:color w:val="000000"/>
              </w:rPr>
              <w:t xml:space="preserve"> R$     2.125,00 </w:t>
            </w:r>
          </w:p>
        </w:tc>
      </w:tr>
    </w:tbl>
    <w:p w14:paraId="0F0597BB" w14:textId="77777777" w:rsidR="00B307DB" w:rsidRPr="00B84389" w:rsidRDefault="00B307DB" w:rsidP="00B307DB">
      <w:pPr>
        <w:spacing w:after="0" w:line="240" w:lineRule="auto"/>
        <w:ind w:right="-568"/>
        <w:jc w:val="both"/>
        <w:rPr>
          <w:rFonts w:ascii="Times New Roman" w:hAnsi="Times New Roman" w:cs="Times New Roman"/>
          <w:b/>
        </w:rPr>
      </w:pPr>
    </w:p>
    <w:p w14:paraId="649A880B" w14:textId="77777777" w:rsidR="00B307DB" w:rsidRPr="00B84389" w:rsidRDefault="00B307DB" w:rsidP="00B307DB">
      <w:pPr>
        <w:spacing w:after="0" w:line="240" w:lineRule="auto"/>
        <w:ind w:right="-568"/>
        <w:jc w:val="both"/>
        <w:rPr>
          <w:rFonts w:ascii="Times New Roman" w:hAnsi="Times New Roman" w:cs="Times New Roman"/>
          <w:b/>
        </w:rPr>
      </w:pPr>
      <w:r w:rsidRPr="00B84389">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17620728" w14:textId="77777777" w:rsidR="00B307DB" w:rsidRPr="00B84389" w:rsidRDefault="00B307DB" w:rsidP="00B307DB">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3.1 </w:t>
      </w:r>
      <w:r w:rsidRPr="00B84389">
        <w:rPr>
          <w:rFonts w:ascii="Times New Roman" w:hAnsi="Times New Roman" w:cs="Times New Roman"/>
        </w:rPr>
        <w:t>A escolha de uma solução web de ERP (</w:t>
      </w:r>
      <w:r w:rsidRPr="00B84389">
        <w:rPr>
          <w:rStyle w:val="Forte"/>
          <w:rFonts w:ascii="Times New Roman" w:hAnsi="Times New Roman" w:cs="Times New Roman"/>
          <w:i/>
          <w:iCs/>
          <w:color w:val="161513"/>
          <w:shd w:val="clear" w:color="auto" w:fill="FFFFFF"/>
        </w:rPr>
        <w:t>Enterprise Resource Planning</w:t>
      </w:r>
      <w:r w:rsidRPr="00B84389">
        <w:rPr>
          <w:rStyle w:val="Forte"/>
          <w:rFonts w:ascii="Times New Roman" w:hAnsi="Times New Roman" w:cs="Times New Roman"/>
          <w:color w:val="161513"/>
          <w:shd w:val="clear" w:color="auto" w:fill="FFFFFF"/>
        </w:rPr>
        <w:t>)</w:t>
      </w:r>
      <w:r w:rsidRPr="00B84389">
        <w:rPr>
          <w:rFonts w:ascii="Times New Roman" w:hAnsi="Times New Roman" w:cs="Times New Roman"/>
        </w:rPr>
        <w:t xml:space="preserve"> representa um avanço no que tange a interligação de todos os dados e processos da Prefeitura Municipal, diante de perspectiva funcional (finanças, contabilidade, orçamento, recursos humanos, fiscal, tributário, etc) e sob a perspectiva sistêmica. Bem como, da possibilidade de fluxo de informações e alimentação de bases de dados em tempo real, eliminando inconsistências, melhorando o desempenho organizacional e a tomada de decisões nos diversos níveis da administração;</w:t>
      </w:r>
    </w:p>
    <w:p w14:paraId="26B9585C" w14:textId="77777777" w:rsidR="00B307DB" w:rsidRPr="00B84389" w:rsidRDefault="00B307DB" w:rsidP="00B307DB">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3.2 </w:t>
      </w:r>
      <w:r w:rsidRPr="00B84389">
        <w:rPr>
          <w:rFonts w:ascii="Times New Roman" w:hAnsi="Times New Roman" w:cs="Times New Roman"/>
        </w:rPr>
        <w:t xml:space="preserve">O ERP é a espinha dorsal de toda atividade administrativa, com uma arquitetura de transações que liga todas as funções/atividades do órgão público; </w:t>
      </w:r>
    </w:p>
    <w:p w14:paraId="2F7F7832" w14:textId="77777777" w:rsidR="00B307DB" w:rsidRPr="00B84389" w:rsidRDefault="00B307DB" w:rsidP="00B307DB">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3.3 </w:t>
      </w:r>
      <w:r w:rsidRPr="00B84389">
        <w:rPr>
          <w:rFonts w:ascii="Times New Roman" w:hAnsi="Times New Roman" w:cs="Times New Roman"/>
        </w:rPr>
        <w:t xml:space="preserve">Quanto maior for a integração das soluções para as diversas áreas administrativas, melhores serão os resultados de todo o conjunto; </w:t>
      </w:r>
    </w:p>
    <w:p w14:paraId="4832E789" w14:textId="77777777" w:rsidR="00B307DB" w:rsidRPr="00B84389" w:rsidRDefault="00B307DB" w:rsidP="00B307DB">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3.4 </w:t>
      </w:r>
      <w:r w:rsidRPr="00B84389">
        <w:rPr>
          <w:rFonts w:ascii="Times New Roman" w:hAnsi="Times New Roman" w:cs="Times New Roman"/>
        </w:rPr>
        <w:t xml:space="preserve">Um ERP web, traz inúmeras vantagens, principalmente poder ser acessado em qualquer laptop, desktop ou tablet, sem com isso precisar qualquer tipo de instalação na máquina cliente, e sem os inconvenientes das necessidades de manutenção local, com deslocamento constante de técnicos da contratada até a contratante, além de atualizações automáticas, sem a necessidade de intervenção do usuário. Sem contar a portabilidade, podendo ser acessados os arquivos de praticamente qualquer lugar, desde que com acesso à internet. Fato esse, que também se revela vantajoso, já que as infraestruturas para a internet são mais simples e mais baratas que complexas estruturas de rede e CPD local; </w:t>
      </w:r>
    </w:p>
    <w:p w14:paraId="63E956A6" w14:textId="77777777" w:rsidR="00B307DB" w:rsidRPr="00B84389" w:rsidRDefault="00B307DB" w:rsidP="00B307DB">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3.5 </w:t>
      </w:r>
      <w:r w:rsidRPr="00B84389">
        <w:rPr>
          <w:rFonts w:ascii="Times New Roman" w:hAnsi="Times New Roman" w:cs="Times New Roman"/>
        </w:rPr>
        <w:t xml:space="preserve">Um dos objetivos da escolha deste tipo de solução é viabilizar a conectividade de todos os laptops (notebooks) e desktops da Prefeitura e integração entre os diversos setores, inclusive das secretarias municipais e unidades administrativas que não ficam no edifício sede, departamentos e demais participantes da licitação, bem como a disponibilização de acesso a servidores que desempenham atividades em campo (fiscalização, atendimento ao cidadão, etc), ou que precisam de alguma maneira desenvolver trabalhos de maneira remota ou teletrabalho (como foi preciso na PANDEMIA COVID 19), ou autoridades ou servidores em trânsito que precisam de informações em tempo real, entre outras </w:t>
      </w:r>
      <w:r w:rsidRPr="00B84389">
        <w:rPr>
          <w:rFonts w:ascii="Times New Roman" w:hAnsi="Times New Roman" w:cs="Times New Roman"/>
        </w:rPr>
        <w:lastRenderedPageBreak/>
        <w:t>necessidades de aplicação e disponibilização de ferramentas de serviço de maneira instantânea, com dados confiáveis, atualizados em tempo real;</w:t>
      </w:r>
    </w:p>
    <w:p w14:paraId="09ADFD05" w14:textId="77777777" w:rsidR="00B307DB" w:rsidRPr="00B84389" w:rsidRDefault="00B307DB" w:rsidP="00B307DB">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3.6 </w:t>
      </w:r>
      <w:r w:rsidRPr="00B84389">
        <w:rPr>
          <w:rFonts w:ascii="Times New Roman" w:hAnsi="Times New Roman" w:cs="Times New Roman"/>
        </w:rPr>
        <w:t>Outro ponto crucial para a escolha de uma solução web, em nuvem, se revelou justamente durante uma situação de crise, que foi a PANDEMIA DO COVID 19, viabilizando que o serviço público não seja paralisado pelo isolamento social, significando grande vantagem. A ampla gama de aplicações de uso pela internet, possibilita que servidores que praticam atividades externas possam acessar informações necessárias ao desempenho de suas funções, em tempo real, bem como aumentar a eficiência, agilidade e efetividade das ações. Em caso de nova Pandemia, e necessidade de isolamento social, os serviços podem ser mantidos em regime de teletrabalho ou trabalho remoto;</w:t>
      </w:r>
    </w:p>
    <w:p w14:paraId="72D04CB4" w14:textId="77777777" w:rsidR="00B307DB" w:rsidRPr="00B84389" w:rsidRDefault="00B307DB" w:rsidP="00B307DB">
      <w:pPr>
        <w:pStyle w:val="Standard"/>
        <w:tabs>
          <w:tab w:val="left" w:pos="567"/>
          <w:tab w:val="left" w:pos="1422"/>
          <w:tab w:val="left" w:pos="1560"/>
          <w:tab w:val="left" w:pos="1677"/>
          <w:tab w:val="left" w:pos="1992"/>
          <w:tab w:val="left" w:pos="2247"/>
          <w:tab w:val="left" w:leader="underscore" w:pos="7363"/>
        </w:tabs>
        <w:ind w:right="-568"/>
        <w:jc w:val="both"/>
        <w:rPr>
          <w:rFonts w:cs="Times New Roman"/>
          <w:sz w:val="22"/>
          <w:szCs w:val="22"/>
        </w:rPr>
      </w:pPr>
      <w:r w:rsidRPr="00B84389">
        <w:rPr>
          <w:rFonts w:cs="Times New Roman"/>
          <w:b/>
          <w:sz w:val="22"/>
          <w:szCs w:val="22"/>
        </w:rPr>
        <w:t xml:space="preserve">3.7 </w:t>
      </w:r>
      <w:r w:rsidRPr="00B84389">
        <w:rPr>
          <w:rFonts w:cs="Times New Roman"/>
          <w:sz w:val="22"/>
          <w:szCs w:val="22"/>
        </w:rPr>
        <w:t>Os aplicativos locais que precisam instalação no terminal do usuário, além dos diversos inconvenientes, como necessidade de instalação, atualização, dificuldades em compatibilização as novas versões de sistemas operacionais, não portabilidade, entre outras, se tornaram completamente obsoletos diante dos avanços em TI, estando em vertiginosa escala de descontinuidade e desuso. Até aplicativos tradicionais, como Microsoft Office, passaram a ser oferecidos na modalidade SaaS (</w:t>
      </w:r>
      <w:r w:rsidRPr="00B84389">
        <w:rPr>
          <w:rFonts w:cs="Times New Roman"/>
          <w:i/>
          <w:iCs/>
          <w:sz w:val="22"/>
          <w:szCs w:val="22"/>
        </w:rPr>
        <w:t>Software as a Service</w:t>
      </w:r>
      <w:r w:rsidRPr="00B84389">
        <w:rPr>
          <w:rFonts w:cs="Times New Roman"/>
          <w:sz w:val="22"/>
          <w:szCs w:val="22"/>
        </w:rPr>
        <w:t xml:space="preserve"> ou em português: softwares como serviço), por meio de assinaturas e acesso diretamente pela internet, trazendo inúmeras e reconhecidas vantagens aos usuários;</w:t>
      </w:r>
    </w:p>
    <w:p w14:paraId="3C1B95D1" w14:textId="77777777" w:rsidR="00B307DB" w:rsidRPr="00B84389" w:rsidRDefault="00B307DB" w:rsidP="00B307DB">
      <w:pPr>
        <w:pStyle w:val="Standard"/>
        <w:tabs>
          <w:tab w:val="left" w:pos="567"/>
          <w:tab w:val="left" w:pos="1422"/>
          <w:tab w:val="left" w:pos="1560"/>
          <w:tab w:val="left" w:pos="1677"/>
          <w:tab w:val="left" w:pos="1992"/>
          <w:tab w:val="left" w:pos="2247"/>
          <w:tab w:val="left" w:leader="underscore" w:pos="7363"/>
        </w:tabs>
        <w:ind w:right="-568"/>
        <w:jc w:val="both"/>
        <w:rPr>
          <w:rFonts w:cs="Times New Roman"/>
          <w:sz w:val="22"/>
          <w:szCs w:val="22"/>
        </w:rPr>
      </w:pPr>
      <w:r w:rsidRPr="00B84389">
        <w:rPr>
          <w:rStyle w:val="Fontepargpadro1"/>
          <w:rFonts w:cs="Times New Roman"/>
          <w:b/>
          <w:color w:val="000000"/>
          <w:sz w:val="22"/>
          <w:szCs w:val="22"/>
        </w:rPr>
        <w:t xml:space="preserve">3.8 </w:t>
      </w:r>
      <w:r w:rsidRPr="00B84389">
        <w:rPr>
          <w:rStyle w:val="Fontepargpadro1"/>
          <w:rFonts w:cs="Times New Roman"/>
          <w:color w:val="000000"/>
          <w:sz w:val="22"/>
          <w:szCs w:val="22"/>
        </w:rPr>
        <w:t xml:space="preserve">Conforme relatório </w:t>
      </w:r>
      <w:r w:rsidRPr="00B84389">
        <w:rPr>
          <w:rStyle w:val="Fontepargpadro1"/>
          <w:rFonts w:cs="Times New Roman"/>
          <w:i/>
          <w:iCs/>
          <w:color w:val="000000"/>
          <w:sz w:val="22"/>
          <w:szCs w:val="22"/>
        </w:rPr>
        <w:t>The Global Risk Report</w:t>
      </w:r>
      <w:r w:rsidRPr="00B84389">
        <w:rPr>
          <w:rStyle w:val="Fontepargpadro1"/>
          <w:rFonts w:cs="Times New Roman"/>
          <w:color w:val="000000"/>
          <w:sz w:val="22"/>
          <w:szCs w:val="22"/>
        </w:rPr>
        <w:t xml:space="preserve"> do Fórum Econômico Mundial, e d</w:t>
      </w:r>
      <w:r w:rsidRPr="00B84389">
        <w:rPr>
          <w:rStyle w:val="Fontepargpadro1"/>
          <w:rFonts w:cs="Times New Roman"/>
          <w:color w:val="000000"/>
          <w:sz w:val="22"/>
          <w:szCs w:val="22"/>
          <w:shd w:val="clear" w:color="auto" w:fill="FFFFFF"/>
        </w:rPr>
        <w:t>ados da consultoria Gartner até 2025, 85% de todas as organizações do mundo operarão sistemas web diretamente dentro da nuvem</w:t>
      </w:r>
      <w:r w:rsidRPr="00B84389">
        <w:rPr>
          <w:rStyle w:val="Fontepargpadro1"/>
          <w:rFonts w:cs="Times New Roman"/>
          <w:sz w:val="22"/>
          <w:szCs w:val="22"/>
          <w:shd w:val="clear" w:color="auto" w:fill="FFFFFF"/>
        </w:rPr>
        <w:t>.</w:t>
      </w:r>
      <w:r w:rsidRPr="00B84389">
        <w:rPr>
          <w:rFonts w:cs="Times New Roman"/>
          <w:sz w:val="22"/>
          <w:szCs w:val="22"/>
        </w:rPr>
        <w:t xml:space="preserve"> Por isso, não há porque o Município seguir na contramão daquilo que é público e notório e buscar soluções obsoletas, que não se destinem a finalidade pretendida e impliquem a precarização da eficácia e eficiência do serviço público, estampadas na Constituição da República;</w:t>
      </w:r>
    </w:p>
    <w:p w14:paraId="094F59A8" w14:textId="77777777" w:rsidR="00B307DB" w:rsidRPr="00B84389" w:rsidRDefault="00B307DB" w:rsidP="00B307DB">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3.9 </w:t>
      </w:r>
      <w:r w:rsidRPr="00B84389">
        <w:rPr>
          <w:rFonts w:ascii="Times New Roman" w:hAnsi="Times New Roman" w:cs="Times New Roman"/>
        </w:rPr>
        <w:t>Para o meio ambiente é extremamente relevante, a redução da circulação de registros manuais, por registros eletrônicos, revelando-se mais elevado grau de conscientização e de responsabilidade dos gestores e servidores;</w:t>
      </w:r>
    </w:p>
    <w:p w14:paraId="442F36A2" w14:textId="77777777" w:rsidR="00B307DB" w:rsidRPr="00B84389" w:rsidRDefault="00B307DB" w:rsidP="00B307DB">
      <w:pPr>
        <w:suppressAutoHyphens/>
        <w:spacing w:after="0" w:line="240" w:lineRule="auto"/>
        <w:ind w:right="-568"/>
        <w:jc w:val="both"/>
        <w:rPr>
          <w:rFonts w:ascii="Times New Roman" w:hAnsi="Times New Roman" w:cs="Times New Roman"/>
        </w:rPr>
      </w:pPr>
      <w:r w:rsidRPr="00B84389">
        <w:rPr>
          <w:rFonts w:ascii="Times New Roman" w:hAnsi="Times New Roman" w:cs="Times New Roman"/>
          <w:b/>
        </w:rPr>
        <w:t xml:space="preserve">3.10 </w:t>
      </w:r>
      <w:r w:rsidRPr="00B84389">
        <w:rPr>
          <w:rFonts w:ascii="Times New Roman" w:hAnsi="Times New Roman" w:cs="Times New Roman"/>
        </w:rPr>
        <w:t>Dentre os benefícios esperados com a contratação de ERP web integrado de computação em nuvem, cita-se:</w:t>
      </w:r>
    </w:p>
    <w:p w14:paraId="624FABF5"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Permitir o registro de dados em banco único, evitando inconsistências;</w:t>
      </w:r>
    </w:p>
    <w:p w14:paraId="2584BE4E"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Atualização de todos os campos de dados em tempo real, para todas as áreas e aplicativos;</w:t>
      </w:r>
    </w:p>
    <w:p w14:paraId="70858A2E"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a circulação interna de processos em meio físico;</w:t>
      </w:r>
    </w:p>
    <w:p w14:paraId="4E12EA5D"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o impacto ambiental causado pela utilização de papel;</w:t>
      </w:r>
    </w:p>
    <w:p w14:paraId="46B5E21A"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 xml:space="preserve"> Reduzir os custos;</w:t>
      </w:r>
    </w:p>
    <w:p w14:paraId="4AAFE400"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Aumentar a eficiência de procedimentos e processos;</w:t>
      </w:r>
    </w:p>
    <w:p w14:paraId="58CAA4B2"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o tempo de espera do cidadão e melhorar a prestação de serviços;</w:t>
      </w:r>
    </w:p>
    <w:p w14:paraId="711D328D"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Otimizar a eficiência operacional;</w:t>
      </w:r>
    </w:p>
    <w:p w14:paraId="08294F06"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Eliminar necessidade de deslocamento de técnicos até a Administração Municipal para realização de reparos em sistemas de gestão;</w:t>
      </w:r>
    </w:p>
    <w:p w14:paraId="33C96023"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riscos e aumentar a integridade dos sistemas computacionais locais, com a eliminação da instalação de softwares de gestão pública;</w:t>
      </w:r>
    </w:p>
    <w:p w14:paraId="4F79F914"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Reduzir o risco de paralisação de serviços públicos em caso de eventos adversos ou sinistros que impossibilitem o deslocamento dos servidores até os locais de trabalho;</w:t>
      </w:r>
    </w:p>
    <w:p w14:paraId="1555505B"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Melhorar a gestão e segurança da informação;</w:t>
      </w:r>
    </w:p>
    <w:p w14:paraId="04F86F9B"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Melhorar os processos de transparência dos dados públicos;</w:t>
      </w:r>
    </w:p>
    <w:p w14:paraId="49DE37CB" w14:textId="77777777" w:rsidR="00B307DB"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 xml:space="preserve">Manter alta disponibilidade do ERP da Administração Municipal;  </w:t>
      </w:r>
    </w:p>
    <w:p w14:paraId="6D0F4035" w14:textId="77777777" w:rsidR="00B307DB" w:rsidRPr="00263B5E" w:rsidRDefault="00B307DB" w:rsidP="00147305">
      <w:pPr>
        <w:pStyle w:val="PargrafodaLista"/>
        <w:numPr>
          <w:ilvl w:val="2"/>
          <w:numId w:val="262"/>
        </w:numPr>
        <w:tabs>
          <w:tab w:val="left" w:pos="284"/>
        </w:tabs>
        <w:suppressAutoHyphens/>
        <w:spacing w:after="0" w:line="240" w:lineRule="auto"/>
        <w:ind w:left="0" w:right="-568" w:firstLine="0"/>
        <w:jc w:val="both"/>
        <w:rPr>
          <w:rFonts w:ascii="Times New Roman" w:hAnsi="Times New Roman" w:cs="Times New Roman"/>
        </w:rPr>
      </w:pPr>
      <w:r w:rsidRPr="00263B5E">
        <w:rPr>
          <w:rFonts w:ascii="Times New Roman" w:hAnsi="Times New Roman" w:cs="Times New Roman"/>
        </w:rPr>
        <w:t>Viabilizar a implantação futura de serviços de teleatendimento.</w:t>
      </w:r>
    </w:p>
    <w:p w14:paraId="7D1F2CCF" w14:textId="77777777" w:rsidR="00B307DB" w:rsidRPr="00B84389" w:rsidRDefault="00B307DB" w:rsidP="00B307DB">
      <w:pPr>
        <w:tabs>
          <w:tab w:val="left" w:pos="1134"/>
          <w:tab w:val="left" w:pos="1418"/>
        </w:tabs>
        <w:spacing w:after="0" w:line="240" w:lineRule="auto"/>
        <w:ind w:right="-568"/>
        <w:jc w:val="both"/>
        <w:rPr>
          <w:rFonts w:ascii="Times New Roman" w:hAnsi="Times New Roman" w:cs="Times New Roman"/>
          <w:b/>
        </w:rPr>
      </w:pPr>
    </w:p>
    <w:p w14:paraId="3006EF45" w14:textId="77777777" w:rsidR="00B307DB" w:rsidRPr="00B84389" w:rsidRDefault="00B307DB" w:rsidP="00B307DB">
      <w:pPr>
        <w:pStyle w:val="PargrafodaLista"/>
        <w:tabs>
          <w:tab w:val="left" w:pos="284"/>
        </w:tabs>
        <w:spacing w:after="0" w:line="240" w:lineRule="auto"/>
        <w:ind w:left="0" w:right="-568"/>
        <w:contextualSpacing w:val="0"/>
        <w:jc w:val="both"/>
        <w:rPr>
          <w:rFonts w:ascii="Times New Roman" w:hAnsi="Times New Roman" w:cs="Times New Roman"/>
          <w:b/>
        </w:rPr>
      </w:pPr>
      <w:r>
        <w:rPr>
          <w:rFonts w:ascii="Times New Roman" w:hAnsi="Times New Roman" w:cs="Times New Roman"/>
          <w:b/>
        </w:rPr>
        <w:t xml:space="preserve">4 </w:t>
      </w:r>
      <w:r w:rsidRPr="00B84389">
        <w:rPr>
          <w:rFonts w:ascii="Times New Roman" w:hAnsi="Times New Roman" w:cs="Times New Roman"/>
          <w:b/>
        </w:rPr>
        <w:t>Descrição da solução como um todo, considerado todo o ciclo de vida do objeto.</w:t>
      </w:r>
    </w:p>
    <w:p w14:paraId="1515FD77" w14:textId="77777777" w:rsidR="00B307DB" w:rsidRPr="00B84389" w:rsidRDefault="00B307DB" w:rsidP="00B307DB">
      <w:pPr>
        <w:pStyle w:val="Ttulo1"/>
        <w:shd w:val="clear" w:color="FFFFFF" w:themeColor="background1" w:fill="FFFFFF" w:themeFill="background1"/>
        <w:suppressAutoHyphens/>
        <w:spacing w:before="0" w:line="240" w:lineRule="auto"/>
        <w:ind w:right="-568"/>
        <w:rPr>
          <w:rFonts w:ascii="Times New Roman" w:hAnsi="Times New Roman" w:cs="Times New Roman"/>
          <w:sz w:val="22"/>
          <w:szCs w:val="22"/>
        </w:rPr>
      </w:pPr>
      <w:r w:rsidRPr="00B84389">
        <w:rPr>
          <w:rFonts w:ascii="Times New Roman" w:hAnsi="Times New Roman" w:cs="Times New Roman"/>
          <w:sz w:val="22"/>
          <w:szCs w:val="22"/>
        </w:rPr>
        <w:t>Dos Serviços Referente a Solução WEB de ERP (SaaS)</w:t>
      </w:r>
    </w:p>
    <w:p w14:paraId="07A97814"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4.</w:t>
      </w:r>
      <w:r w:rsidRPr="00BB1520">
        <w:rPr>
          <w:rFonts w:ascii="Times New Roman" w:hAnsi="Times New Roman" w:cs="Times New Roman"/>
          <w:b/>
        </w:rPr>
        <w:t>1</w:t>
      </w:r>
      <w:r w:rsidRPr="00B84389">
        <w:rPr>
          <w:rFonts w:ascii="Times New Roman" w:hAnsi="Times New Roman" w:cs="Times New Roman"/>
          <w:b/>
          <w:i/>
        </w:rPr>
        <w:t xml:space="preserve"> Condições e Especificações Gerais:</w:t>
      </w:r>
    </w:p>
    <w:p w14:paraId="0B705370" w14:textId="77777777" w:rsidR="00B307DB" w:rsidRPr="00B84389" w:rsidRDefault="00B307DB" w:rsidP="00B307DB">
      <w:pPr>
        <w:tabs>
          <w:tab w:val="num" w:pos="0"/>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rPr>
        <w:t xml:space="preserve">4.1.1 </w:t>
      </w:r>
      <w:r w:rsidRPr="00B84389">
        <w:rPr>
          <w:rFonts w:ascii="Times New Roman" w:hAnsi="Times New Roman" w:cs="Times New Roman"/>
        </w:rPr>
        <w:t>A CONTRATANTE disponibilizará técnicos do Departamento de Informática e de áreas afins para dirimir dúvidas, ficando facultado às proponentes interessadas realizar visitas técnicas ou pedidos de esclarecimentos anteriores a data de abertura do certame, visando a formatação de suas propostas;</w:t>
      </w:r>
    </w:p>
    <w:p w14:paraId="6F3D9DB1"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 </w:t>
      </w:r>
      <w:r w:rsidRPr="00B84389">
        <w:rPr>
          <w:rFonts w:ascii="Times New Roman" w:hAnsi="Times New Roman" w:cs="Times New Roman"/>
        </w:rPr>
        <w:t>Todas as decisões e entendimentos havidos entre as partes durante o andamento dos trabalhos e que impliquem em modificações ou implementações nos planos, cronogramas ou atividades pactuadas, deverão ser previa e formalmente acordados e documentados entre as partes;</w:t>
      </w:r>
    </w:p>
    <w:p w14:paraId="29D77D5F" w14:textId="77777777" w:rsidR="00B307DB" w:rsidRPr="00B84389" w:rsidRDefault="00B307DB" w:rsidP="00B307DB">
      <w:pPr>
        <w:tabs>
          <w:tab w:val="num" w:pos="0"/>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bCs/>
        </w:rPr>
        <w:t xml:space="preserve">4.1.3 </w:t>
      </w:r>
      <w:r w:rsidRPr="00B84389">
        <w:rPr>
          <w:rFonts w:ascii="Times New Roman" w:hAnsi="Times New Roman" w:cs="Times New Roman"/>
          <w:bCs/>
        </w:rPr>
        <w:t>A contratada deve definir um preposto para representá-la junto a Contratante, durante a execução dos trabalhos;</w:t>
      </w:r>
    </w:p>
    <w:p w14:paraId="4AF178E8"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bCs/>
        </w:rPr>
        <w:lastRenderedPageBreak/>
        <w:t xml:space="preserve">4.1.4 </w:t>
      </w:r>
      <w:r w:rsidRPr="00B84389">
        <w:rPr>
          <w:rFonts w:ascii="Times New Roman" w:hAnsi="Times New Roman" w:cs="Times New Roman"/>
          <w:bCs/>
        </w:rPr>
        <w:t>O Município designará servidores para</w:t>
      </w:r>
      <w:r w:rsidRPr="00B84389">
        <w:rPr>
          <w:rFonts w:ascii="Times New Roman" w:hAnsi="Times New Roman" w:cs="Times New Roman"/>
        </w:rPr>
        <w:t xml:space="preserve"> acompanhar a execução dos serviços e decidir as questões técnicas submetidas pela empresa contratada, registrando em relatório as necessidades, soluções ou deficiências verificadas, encaminhando, quando necessário, comunicações ou notificações à empresa contratada para que realize as devidas correções;</w:t>
      </w:r>
    </w:p>
    <w:p w14:paraId="2CB83C7E"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4.1.5 </w:t>
      </w:r>
      <w:r w:rsidRPr="00B84389">
        <w:rPr>
          <w:rFonts w:ascii="Times New Roman" w:hAnsi="Times New Roman" w:cs="Times New Roman"/>
        </w:rPr>
        <w:t xml:space="preserve">Havendo qualquer divergência com relação ao contrato resultante desta licitação, caberá a CONTRATANTE notificar extrajudicialmente a CONTRATADA, a qual terá o prazo de 5 (cinco) dias úteis para se manifestar; </w:t>
      </w:r>
    </w:p>
    <w:p w14:paraId="32F569F1"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4.1.6 </w:t>
      </w:r>
      <w:r w:rsidRPr="00B84389">
        <w:rPr>
          <w:rFonts w:ascii="Times New Roman" w:hAnsi="Times New Roman" w:cs="Times New Roman"/>
        </w:rPr>
        <w:t>Não haverá restrições quanto ao número de usuários e/ou estações de trabalho que utilizarão a solução de ERP não sendo permitido cobrança adicional de licenciamento, caso o número de usuários, acessos simultâneos e/ou estações de trabalho seja alterado para mais ou para menos;</w:t>
      </w:r>
    </w:p>
    <w:p w14:paraId="0BEE16EC"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4.1.7 </w:t>
      </w:r>
      <w:r w:rsidRPr="00B84389">
        <w:rPr>
          <w:rFonts w:ascii="Times New Roman" w:hAnsi="Times New Roman" w:cs="Times New Roman"/>
        </w:rPr>
        <w:t xml:space="preserve">A empresa contratada e os membros da sua equipe têm obrigação legal de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cláusula. </w:t>
      </w:r>
      <w:r w:rsidRPr="00B84389">
        <w:rPr>
          <w:rFonts w:ascii="Times New Roman" w:hAnsi="Times New Roman" w:cs="Times New Roman"/>
          <w:shd w:val="clear" w:color="auto" w:fill="FFFFFF"/>
        </w:rPr>
        <w:t>Informações sigilosas, não poderão ser usadas por este fornecedor ou fornecidas a terceiros, sob nenhuma hipótese, fora dos limites contratuais, sem autorização formal do contratante;</w:t>
      </w:r>
    </w:p>
    <w:p w14:paraId="47F22371"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4.1.8</w:t>
      </w:r>
      <w:r w:rsidRPr="00B84389">
        <w:rPr>
          <w:rFonts w:ascii="Times New Roman" w:hAnsi="Times New Roman" w:cs="Times New Roman"/>
        </w:rPr>
        <w:t xml:space="preserve"> A CONTRATANTE, durante a vigência do contrato e após a vigência deste, não cederá a terceiros, acessará, manipulará ou fará qualquer tipo de uso de informações ou da propriedade intelectual da contratada, inclusive quando aquelas da cópia do banco de dados, sob pena de violação da Lei de Propriedade Intelectual (Lei Federal nº 9.609/1999);</w:t>
      </w:r>
    </w:p>
    <w:p w14:paraId="2F46795F"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4.1.9 </w:t>
      </w:r>
      <w:r w:rsidRPr="00B84389">
        <w:rPr>
          <w:rFonts w:ascii="Times New Roman" w:hAnsi="Times New Roman" w:cs="Times New Roman"/>
        </w:rPr>
        <w:t xml:space="preserve">A CONTRATADA deverá </w:t>
      </w:r>
      <w:r w:rsidRPr="00B84389">
        <w:rPr>
          <w:rFonts w:ascii="Times New Roman" w:hAnsi="Times New Roman" w:cs="Times New Roman"/>
          <w:shd w:val="clear" w:color="auto" w:fill="FFFFFF"/>
        </w:rPr>
        <w:t>garantir que o serviço a ser contratado permita a portabilidade de dados e aplicativos e que as informações do órgão contratante estejam disponíveis para transferência e restauração em prazo adequado e sem custo adicional, de modo a garantir a continuidade do serviço público e possibilitar a transição contratual;</w:t>
      </w:r>
    </w:p>
    <w:p w14:paraId="3DAB0AC0"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shd w:val="clear" w:color="auto" w:fill="FFFFFF"/>
        </w:rPr>
        <w:t xml:space="preserve">4.1.9.1 </w:t>
      </w:r>
      <w:r w:rsidRPr="00B84389">
        <w:rPr>
          <w:rFonts w:ascii="Times New Roman" w:hAnsi="Times New Roman" w:cs="Times New Roman"/>
          <w:shd w:val="clear" w:color="auto" w:fill="FFFFFF"/>
        </w:rPr>
        <w:t>A qualquer momento da vigência do contrato, ou ao seu término, poderá ser solicitado a contratada cópia do banco de dados, cuja propriedade é do Município, de forma completa, legível e utilizável, incluindo senhas de acesso;</w:t>
      </w:r>
    </w:p>
    <w:p w14:paraId="65C84E66"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4.1.10 </w:t>
      </w:r>
      <w:r w:rsidRPr="00B84389">
        <w:rPr>
          <w:rFonts w:ascii="Times New Roman" w:hAnsi="Times New Roman" w:cs="Times New Roman"/>
        </w:rPr>
        <w:t xml:space="preserve">Os serviços de demanda variável estabelecidos dentro do Acordo de Nível de Serviço (ANS) serão pré-orçados e pagos por hora técnica </w:t>
      </w:r>
      <w:r w:rsidRPr="00B84389">
        <w:rPr>
          <w:rFonts w:ascii="Times New Roman" w:hAnsi="Times New Roman" w:cs="Times New Roman"/>
          <w:bCs/>
        </w:rPr>
        <w:t>autorizada e efetivada, cuja estimativa encontra-se destacada no quadro de serviços no Termo de Referência.</w:t>
      </w:r>
    </w:p>
    <w:p w14:paraId="50749969" w14:textId="77777777" w:rsidR="00B307DB" w:rsidRPr="00B84389" w:rsidRDefault="00B307DB" w:rsidP="00B307DB">
      <w:pPr>
        <w:tabs>
          <w:tab w:val="num" w:pos="0"/>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rPr>
        <w:t xml:space="preserve">4.1.11 </w:t>
      </w:r>
      <w:r w:rsidRPr="00B84389">
        <w:rPr>
          <w:rFonts w:ascii="Times New Roman" w:hAnsi="Times New Roman" w:cs="Times New Roman"/>
        </w:rPr>
        <w:t>A ausência de disponibilização das modificações evolutivas relacionadas à legislação municipal, desde que declaradas inviáveis pela contratada, não implicarão em qualquer responsabilidade para a CONTRATADA;</w:t>
      </w:r>
    </w:p>
    <w:p w14:paraId="242E42BD"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4.1.12 </w:t>
      </w:r>
      <w:r w:rsidRPr="00B84389">
        <w:rPr>
          <w:rFonts w:ascii="Times New Roman" w:hAnsi="Times New Roman" w:cs="Times New Roman"/>
        </w:rPr>
        <w:t>Todos os serviços poderão ser prestados por meio da internet;</w:t>
      </w:r>
    </w:p>
    <w:p w14:paraId="1DC30E3A"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4.1.13 </w:t>
      </w:r>
      <w:r w:rsidRPr="00B84389">
        <w:rPr>
          <w:rFonts w:ascii="Times New Roman" w:hAnsi="Times New Roman" w:cs="Times New Roman"/>
        </w:rPr>
        <w:t>Por se tratar de um sistema web, instalado e mantido em data center, as atualizações deverão ocorrer mediante as seguintes características:</w:t>
      </w:r>
    </w:p>
    <w:p w14:paraId="5F057812" w14:textId="77777777" w:rsidR="00B307DB" w:rsidRPr="00B84389" w:rsidRDefault="00B307DB" w:rsidP="00B307DB">
      <w:pPr>
        <w:tabs>
          <w:tab w:val="left" w:pos="1701"/>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rPr>
        <w:t xml:space="preserve">4.1.13.1 </w:t>
      </w:r>
      <w:r w:rsidRPr="00B84389">
        <w:rPr>
          <w:rFonts w:ascii="Times New Roman" w:hAnsi="Times New Roman" w:cs="Times New Roman"/>
        </w:rPr>
        <w:t>O procedimento de atualização deverá ser automatizado sem necessidade de interferência do usuário, executado, controlado e auditado pela própria CONTRATANTE, garantindo que o sistema esteja disponível imediatamente após os procedimentos de atualização;</w:t>
      </w:r>
    </w:p>
    <w:p w14:paraId="6FDC42CC" w14:textId="77777777" w:rsidR="00B307DB" w:rsidRPr="00B84389" w:rsidRDefault="00B307DB" w:rsidP="00B307DB">
      <w:pPr>
        <w:tabs>
          <w:tab w:val="left" w:pos="1701"/>
        </w:tabs>
        <w:suppressAutoHyphens/>
        <w:spacing w:after="0" w:line="240" w:lineRule="auto"/>
        <w:ind w:right="-568"/>
        <w:contextualSpacing/>
        <w:jc w:val="both"/>
        <w:rPr>
          <w:rFonts w:ascii="Times New Roman" w:hAnsi="Times New Roman" w:cs="Times New Roman"/>
        </w:rPr>
      </w:pPr>
      <w:r w:rsidRPr="00B84389">
        <w:rPr>
          <w:rFonts w:ascii="Times New Roman" w:hAnsi="Times New Roman" w:cs="Times New Roman"/>
          <w:b/>
        </w:rPr>
        <w:t xml:space="preserve">4.1.13.2 </w:t>
      </w:r>
      <w:r w:rsidRPr="00B84389">
        <w:rPr>
          <w:rFonts w:ascii="Times New Roman" w:hAnsi="Times New Roman" w:cs="Times New Roman"/>
        </w:rPr>
        <w:t>As atualizações, assim que executadas deverão surtir efeito imediato em todas as estações de trabalho da CONTRATANTE. Excetua-se aqui arquivos da camada front-end em cache no navegador, que poderão ser atualizados com regras específicas;</w:t>
      </w:r>
    </w:p>
    <w:p w14:paraId="6FFB7A67"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4.1.14 </w:t>
      </w:r>
      <w:r w:rsidRPr="00B84389">
        <w:rPr>
          <w:rFonts w:ascii="Times New Roman" w:hAnsi="Times New Roman" w:cs="Times New Roman"/>
        </w:rPr>
        <w:t xml:space="preserve">A CONTRATADA deverá </w:t>
      </w:r>
      <w:r w:rsidRPr="00B84389">
        <w:rPr>
          <w:rFonts w:ascii="Times New Roman" w:hAnsi="Times New Roman" w:cs="Times New Roman"/>
          <w:shd w:val="clear" w:color="auto" w:fill="FFFFFF"/>
        </w:rPr>
        <w:t xml:space="preserve">garantir que os serviços do ERP WEB em nuvem tenham disponibilidade de no mínimo, 99,741%, aceita no momento da contratação a comprovação por meio de certificação própria ou do terceiro contratado prestador do serviço do datacenter padrão de normas TIA 942-TIER II. Será </w:t>
      </w:r>
      <w:r w:rsidRPr="00B84389">
        <w:rPr>
          <w:rFonts w:ascii="Times New Roman" w:hAnsi="Times New Roman" w:cs="Times New Roman"/>
        </w:rPr>
        <w:t>permitindo paradas programadas para manutenção, com aviso prévio, e que não prejudiquem o andamento dos serviços em horário de expediente da Prefeitura;</w:t>
      </w:r>
    </w:p>
    <w:p w14:paraId="1D93A9A5"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4.1.15 </w:t>
      </w:r>
      <w:r w:rsidRPr="00B84389">
        <w:rPr>
          <w:rFonts w:ascii="Times New Roman" w:hAnsi="Times New Roman" w:cs="Times New Roman"/>
        </w:rPr>
        <w:t>A CONTRATADA deverá realizar gerenciamento proativo a nível de servidor, inibindo que operações onerosas (como emissão de relatórios grandes, execução de consultas com filtros inadequados, etc.), possam prejudicar a operação do sistema ocasionando lentidão e/ou travamentos, prejudicando assim os trabalhos internos da Contratante;</w:t>
      </w:r>
    </w:p>
    <w:p w14:paraId="44DFEBE5"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bCs/>
        </w:rPr>
        <w:t xml:space="preserve">4.1.16 </w:t>
      </w:r>
      <w:r w:rsidRPr="00B84389">
        <w:rPr>
          <w:rFonts w:ascii="Times New Roman" w:hAnsi="Times New Roman" w:cs="Times New Roman"/>
          <w:bCs/>
        </w:rPr>
        <w:t>As ações realizadas através do gerenciamento proativo, podem incluir o contato com o(s) usuário(s) do sistema ou o administrador local, para informar sobre essas situações, informando alternativas para execução das atividades e se necessário, interrompendo a execução da ação no servidor;</w:t>
      </w:r>
    </w:p>
    <w:p w14:paraId="5D697892"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bCs/>
        </w:rPr>
        <w:lastRenderedPageBreak/>
        <w:t xml:space="preserve">4.1.17 </w:t>
      </w:r>
      <w:r w:rsidRPr="00B84389">
        <w:rPr>
          <w:rFonts w:ascii="Times New Roman" w:hAnsi="Times New Roman" w:cs="Times New Roman"/>
          <w:bCs/>
        </w:rPr>
        <w:t>As ações realizadas através do gerenciamento proativo, devem incluir o monitoramento da utilização de recursos do datacenter, de modo a possibilitar o acompanhamento histórico e necessidades de ampliação de recursos, em especial de armazenamento, processamento de informações e backup;</w:t>
      </w:r>
    </w:p>
    <w:p w14:paraId="324364B6"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4.1.18 </w:t>
      </w:r>
      <w:r w:rsidRPr="00B84389">
        <w:rPr>
          <w:rFonts w:ascii="Times New Roman" w:hAnsi="Times New Roman" w:cs="Times New Roman"/>
        </w:rPr>
        <w:t>A solução ofertada deverá</w:t>
      </w:r>
      <w:r w:rsidRPr="00B84389">
        <w:rPr>
          <w:rFonts w:ascii="Times New Roman" w:hAnsi="Times New Roman" w:cs="Times New Roman"/>
          <w:b/>
          <w:bCs/>
        </w:rPr>
        <w:t xml:space="preserve"> </w:t>
      </w:r>
      <w:r w:rsidRPr="00B84389">
        <w:rPr>
          <w:rFonts w:ascii="Times New Roman" w:hAnsi="Times New Roman" w:cs="Times New Roman"/>
        </w:rPr>
        <w:t>permitir a utilização de infraestrutura de rede lógica existente, sem a necessidade de instalação de rede paralela, ou a contratação de mais capacidade da banda de internet;</w:t>
      </w:r>
    </w:p>
    <w:p w14:paraId="5E7B74A1"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4.1.19 </w:t>
      </w:r>
      <w:r w:rsidRPr="00B84389">
        <w:rPr>
          <w:rFonts w:ascii="Times New Roman" w:hAnsi="Times New Roman" w:cs="Times New Roman"/>
        </w:rPr>
        <w:t>A CONTRATADA deverá prover recursos que garantam a segurança e a alta disponibilidade do sistema, por meio da adoção de enlace eBGP (Protocolo de Roteamento Dinâmico) através dos roteadores com no mínimo 2 operadoras distintas a fim de garantir a alta disponibilidade do seu bloco IP;</w:t>
      </w:r>
    </w:p>
    <w:p w14:paraId="41362E83"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4.1.20 </w:t>
      </w:r>
      <w:r w:rsidRPr="00B84389">
        <w:rPr>
          <w:rFonts w:ascii="Times New Roman" w:hAnsi="Times New Roman" w:cs="Times New Roman"/>
        </w:rPr>
        <w:t xml:space="preserve">A CONTRATADA deverá realizar análise do tráfego a fim de inibir ataques do tipo SQL </w:t>
      </w:r>
      <w:r w:rsidRPr="00B84389">
        <w:rPr>
          <w:rFonts w:ascii="Times New Roman" w:hAnsi="Times New Roman" w:cs="Times New Roman"/>
          <w:i/>
          <w:iCs/>
        </w:rPr>
        <w:t>Injection</w:t>
      </w:r>
      <w:r w:rsidRPr="00B84389">
        <w:rPr>
          <w:rFonts w:ascii="Times New Roman" w:hAnsi="Times New Roman" w:cs="Times New Roman"/>
        </w:rPr>
        <w:t xml:space="preserve"> e Negação de Serviço, ou seja, esta análise deverá atuar na camada de aplicação;</w:t>
      </w:r>
    </w:p>
    <w:p w14:paraId="56A33241"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4.1.21 </w:t>
      </w:r>
      <w:r w:rsidRPr="00B84389">
        <w:rPr>
          <w:rFonts w:ascii="Times New Roman" w:hAnsi="Times New Roman" w:cs="Times New Roman"/>
        </w:rPr>
        <w:t>A CONTRATADA deverá adotar serviço de validação indicando que o domínio possui um certificado digital SSL, garantindo que o software é AUTENTICO e que as informações são CRIPTOGRAFADAS. Essa validação deverá ser realizada periodicamente e emitida por empresa terceirizada especializada em segurança, a cargo da CONTRATADA;</w:t>
      </w:r>
    </w:p>
    <w:p w14:paraId="4DCBB936"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4.1.22 </w:t>
      </w:r>
      <w:r w:rsidRPr="00B84389">
        <w:rPr>
          <w:rFonts w:ascii="Times New Roman" w:hAnsi="Times New Roman" w:cs="Times New Roman"/>
        </w:rPr>
        <w:t xml:space="preserve">A CONTRATADA deverá garantir a segurança e integridade tanto do sistema e dados, quanto dos equipamentos da Prefeitura, sendo vedado que seja exigido pelos softwares integrantes do ERP Web baixar em estações-cliente qualquer tipo de softwares, aplicativo, ou instalar recursos como </w:t>
      </w:r>
      <w:r w:rsidRPr="00B84389">
        <w:rPr>
          <w:rFonts w:ascii="Times New Roman" w:hAnsi="Times New Roman" w:cs="Times New Roman"/>
          <w:i/>
          <w:iCs/>
        </w:rPr>
        <w:t>runtimes</w:t>
      </w:r>
      <w:r w:rsidRPr="00B84389">
        <w:rPr>
          <w:rFonts w:ascii="Times New Roman" w:hAnsi="Times New Roman" w:cs="Times New Roman"/>
        </w:rPr>
        <w:t xml:space="preserve"> e plugins, exceto em casos onde houver necessidade de sistema intermediário para acesso a outros dispositivos (como leitor biométrico, impressoras, leitor de e-CPF/e- CNPJ) ou integração com aplicativos da estação cliente (como Microsoft Office, exibição de documentos PDF). Nesses casos, porém, não é permitida a integração através de aplicações que utilizem o recurso NPAPI dos navegadores (cujo suporte nativo foi abolido pelos navegadores padrão do mercado porque era explorado como porta a vazamento de dados ou aplicações maliciosas) como </w:t>
      </w:r>
      <w:r w:rsidRPr="00B84389">
        <w:rPr>
          <w:rFonts w:ascii="Times New Roman" w:hAnsi="Times New Roman" w:cs="Times New Roman"/>
          <w:i/>
          <w:iCs/>
        </w:rPr>
        <w:t>Applets</w:t>
      </w:r>
      <w:r w:rsidRPr="00B84389">
        <w:rPr>
          <w:rFonts w:ascii="Times New Roman" w:hAnsi="Times New Roman" w:cs="Times New Roman"/>
        </w:rPr>
        <w:t xml:space="preserve"> Java;</w:t>
      </w:r>
    </w:p>
    <w:p w14:paraId="1B8D1F0A"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4.1.23 </w:t>
      </w:r>
      <w:r w:rsidRPr="00B84389">
        <w:rPr>
          <w:rFonts w:ascii="Times New Roman" w:hAnsi="Times New Roman" w:cs="Times New Roman"/>
        </w:rPr>
        <w:t xml:space="preserve">A contratada poderá optar pela alocação/hospedagem dos seus softwares e aplicativos em qualquer data center de sua livre escolha ou preferência. A estrutura de </w:t>
      </w:r>
      <w:r w:rsidRPr="00B84389">
        <w:rPr>
          <w:rFonts w:ascii="Times New Roman" w:hAnsi="Times New Roman" w:cs="Times New Roman"/>
          <w:i/>
        </w:rPr>
        <w:t>data center</w:t>
      </w:r>
      <w:r w:rsidRPr="00B84389">
        <w:rPr>
          <w:rFonts w:ascii="Times New Roman" w:hAnsi="Times New Roman" w:cs="Times New Roman"/>
        </w:rPr>
        <w:t xml:space="preserve"> poderá ser tanto da própria contratada ou terceirizada;</w:t>
      </w:r>
    </w:p>
    <w:p w14:paraId="0FEC94FB"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4.1.24 </w:t>
      </w:r>
      <w:r w:rsidRPr="00B84389">
        <w:rPr>
          <w:rFonts w:ascii="Times New Roman" w:hAnsi="Times New Roman" w:cs="Times New Roman"/>
        </w:rPr>
        <w:t>A CONTRATADA deverá manter os sistemas básicos (Sistema Operacional, Servidor de Aplicação, Servidor de Banco de Dados, etc.) do data center em constante atualização, especialmente quando falhas de segurança forem reportadas pelos fabricantes (quando licenciados) ou comunidade (quando software livre);</w:t>
      </w:r>
    </w:p>
    <w:p w14:paraId="021C2C91"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4.1.25 </w:t>
      </w:r>
      <w:r w:rsidRPr="00B84389">
        <w:rPr>
          <w:rFonts w:ascii="Times New Roman" w:hAnsi="Times New Roman" w:cs="Times New Roman"/>
        </w:rPr>
        <w:t>A contratada deve tomar providências e ser responsável pela mitigação de riscos, a alta disponibilidade em função do excepcional interesse público, por se tratar de operação de caráter crítico, bem como do princípio da continuidade do serviço público. Para atendimento dos princípios legais estabelecidos, a contratada é responsável pela garantia seguranças mínimas de infraestrutura física, lógica, de pessoal e máquinas devem ser estabelecidos ao data center, entre eles: links de internet redundantes, nobreaks, fontes de energia redundantes, no mínimo uma de concessionária de energia e outra de grupo(s) de gerador(es), hardwares redundantes, tecnologia de virtualização, sistema de climatização, compatíveis com as necessidades do sistema ofertado e o volume de operações da CONTRATANTE. Além disso, o padrão de funcionamento e disponibilidade deve ser mantido em regime 24 x 7 (24 horas por dia, nos 7 dias da semana, por todos os dias do ano);</w:t>
      </w:r>
    </w:p>
    <w:p w14:paraId="0DE65FD1"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4.1.26 </w:t>
      </w:r>
      <w:r w:rsidRPr="00B84389">
        <w:rPr>
          <w:rFonts w:ascii="Times New Roman" w:hAnsi="Times New Roman" w:cs="Times New Roman"/>
        </w:rPr>
        <w:t>Como parte integrante da modalidade SaaS, a contratada fica responsável pela manutenção dos sistemas básicos (Sistema Operacional, Servidor de Aplicação, Servidor de Banco de Dados, etc.) em constante atualização, especialmente quando falhas de segurança forem reportadas pelos fabricantes (quando licenciados) ou comunidade (quando software livre) de modo a garantir a segurança e a integridade de informações e de operação;</w:t>
      </w:r>
    </w:p>
    <w:p w14:paraId="59F67DB0"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4.1.27 </w:t>
      </w:r>
      <w:r w:rsidRPr="00B84389">
        <w:rPr>
          <w:rFonts w:ascii="Times New Roman" w:hAnsi="Times New Roman" w:cs="Times New Roman"/>
        </w:rPr>
        <w:t xml:space="preserve">A CONTRATADA deverá </w:t>
      </w:r>
      <w:r w:rsidRPr="00B84389">
        <w:rPr>
          <w:rFonts w:ascii="Times New Roman" w:hAnsi="Times New Roman" w:cs="Times New Roman"/>
          <w:shd w:val="clear" w:color="auto" w:fill="FFFFFF"/>
        </w:rPr>
        <w:t>garantir que o ambiente em nuvem do serviço contratado esteja em conformidade com a norma ABNT NBR ISO/IEC 27001:2013, objetivando mitigar riscos relativos à segurança da informação;</w:t>
      </w:r>
    </w:p>
    <w:p w14:paraId="6040B296"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shd w:val="clear" w:color="auto" w:fill="FFFFFF"/>
        </w:rPr>
        <w:t xml:space="preserve">4.1.28 </w:t>
      </w:r>
      <w:r w:rsidRPr="00B84389">
        <w:rPr>
          <w:rFonts w:ascii="Times New Roman" w:hAnsi="Times New Roman" w:cs="Times New Roman"/>
          <w:shd w:val="clear" w:color="auto" w:fill="FFFFFF"/>
        </w:rPr>
        <w:t>Durante a vigência do contrato, qualquer das condições relativas aos softwares (inclusive sua hospedagem, nos limites contratuais), prestação dos serviços ou obrigações da contratada poderão ser objeto de diligência ou fiscalização, sujeitando-se a contratada as sanções e penalidades previstas no Contrato, bem como responder por perdas, danos ou prejuízos causados a Contratante. Sem prejuízo a eventuais demandas de ordem judicial, cível ou penal, em caso de falsidade ou crime praticado contra administração pública;</w:t>
      </w:r>
    </w:p>
    <w:p w14:paraId="2D1002AE" w14:textId="77777777" w:rsidR="00B307DB" w:rsidRPr="00B84389" w:rsidRDefault="00B307DB" w:rsidP="00B307DB">
      <w:pPr>
        <w:pStyle w:val="PargrafodaLista"/>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
          <w:color w:val="000009"/>
        </w:rPr>
        <w:lastRenderedPageBreak/>
        <w:t xml:space="preserve">4.1.29 </w:t>
      </w:r>
      <w:r w:rsidRPr="00B84389">
        <w:rPr>
          <w:rFonts w:ascii="Times New Roman" w:hAnsi="Times New Roman" w:cs="Times New Roman"/>
          <w:color w:val="000009"/>
        </w:rPr>
        <w:t>A CONTRATANTE poderá solicitar a substituição de técnicos cuja operação esteja em desacordo com a melhor técnica vigente, devendo a CONTRATADA alocar substituto com grau equivalente ou superior de qualificação técnica.</w:t>
      </w:r>
    </w:p>
    <w:p w14:paraId="5A438D0C" w14:textId="77777777" w:rsidR="00B307DB" w:rsidRPr="00B84389" w:rsidRDefault="00B307DB" w:rsidP="00B307DB">
      <w:pPr>
        <w:pStyle w:val="Recuodecorpodetexto31"/>
        <w:numPr>
          <w:ilvl w:val="1"/>
          <w:numId w:val="157"/>
        </w:numPr>
        <w:tabs>
          <w:tab w:val="left" w:pos="360"/>
          <w:tab w:val="left" w:pos="426"/>
        </w:tabs>
        <w:ind w:right="-568"/>
        <w:rPr>
          <w:rFonts w:ascii="Times New Roman" w:hAnsi="Times New Roman" w:cs="Times New Roman"/>
          <w:i/>
          <w:sz w:val="22"/>
          <w:szCs w:val="22"/>
        </w:rPr>
      </w:pPr>
      <w:r w:rsidRPr="00B84389">
        <w:rPr>
          <w:rFonts w:ascii="Times New Roman" w:hAnsi="Times New Roman" w:cs="Times New Roman"/>
          <w:b/>
          <w:i/>
          <w:sz w:val="22"/>
          <w:szCs w:val="22"/>
        </w:rPr>
        <w:t>Implantação:</w:t>
      </w:r>
      <w:r w:rsidRPr="00B84389">
        <w:rPr>
          <w:rFonts w:ascii="Times New Roman" w:hAnsi="Times New Roman" w:cs="Times New Roman"/>
          <w:bCs/>
          <w:i/>
          <w:sz w:val="22"/>
          <w:szCs w:val="22"/>
        </w:rPr>
        <w:t xml:space="preserve"> </w:t>
      </w:r>
    </w:p>
    <w:p w14:paraId="6C86FC45"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 </w:t>
      </w:r>
      <w:r w:rsidRPr="00B84389">
        <w:rPr>
          <w:rFonts w:ascii="Times New Roman" w:hAnsi="Times New Roman" w:cs="Times New Roman"/>
          <w:sz w:val="22"/>
          <w:szCs w:val="22"/>
        </w:rPr>
        <w:t>A empresa contratada deverá adotar técnicas comuns ao tipo de sistema contratado, visando a sua implantação viabilizando a sua operação por parte da contratante, tais como diagnóstico, migração de dados dos bancos de dados legados, configurações iniciais, habilitação do sistema para uso e habilitação dos usuários, de acordo com a política de segurança e restrições de acesso definidas pela contratante;</w:t>
      </w:r>
    </w:p>
    <w:p w14:paraId="1188C706"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4.2.1.1</w:t>
      </w:r>
      <w:r w:rsidRPr="00B84389">
        <w:rPr>
          <w:rFonts w:ascii="Times New Roman" w:hAnsi="Times New Roman" w:cs="Times New Roman"/>
          <w:sz w:val="22"/>
          <w:szCs w:val="22"/>
          <w:u w:val="single"/>
        </w:rPr>
        <w:t xml:space="preserve"> Diagnóstico</w:t>
      </w:r>
      <w:r w:rsidRPr="00B84389">
        <w:rPr>
          <w:rFonts w:ascii="Times New Roman" w:hAnsi="Times New Roman" w:cs="Times New Roman"/>
          <w:sz w:val="22"/>
          <w:szCs w:val="22"/>
        </w:rPr>
        <w:t>: compreende atividades relacionadas ao conhecimento do ambiente, das políticas de segurança e estrutura da organização hierárquica e funcional da entidade onde será implantado o sistema, reconhecimento das dificuldades que podem ser enfrentadas na implementação dos serviços, coleta de dados e informações, incluindo bancos de dados que serão legados, definição conjunta de cronogramas de trabalho, entre outras de reconhecimento e sistematização;</w:t>
      </w:r>
    </w:p>
    <w:p w14:paraId="4747F0A5"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4.2.1.2</w:t>
      </w:r>
      <w:r w:rsidRPr="00B84389">
        <w:rPr>
          <w:rFonts w:ascii="Times New Roman" w:hAnsi="Times New Roman" w:cs="Times New Roman"/>
          <w:b/>
          <w:sz w:val="22"/>
          <w:szCs w:val="22"/>
          <w:u w:val="single"/>
        </w:rPr>
        <w:t xml:space="preserve"> </w:t>
      </w:r>
      <w:r w:rsidRPr="00B84389">
        <w:rPr>
          <w:rFonts w:ascii="Times New Roman" w:hAnsi="Times New Roman" w:cs="Times New Roman"/>
          <w:sz w:val="22"/>
          <w:szCs w:val="22"/>
          <w:u w:val="single"/>
        </w:rPr>
        <w:t>Migração de Dados</w:t>
      </w:r>
      <w:r w:rsidRPr="00B84389">
        <w:rPr>
          <w:rFonts w:ascii="Times New Roman" w:hAnsi="Times New Roman" w:cs="Times New Roman"/>
          <w:sz w:val="22"/>
          <w:szCs w:val="22"/>
        </w:rPr>
        <w:t>: compreende as atividades gerais, relacionadas a análise dos bancos de dados de informações a serem legados, desenho e construção de ferramentas de migração, conversão de dados, testes, migração, conferência da consistência e inconsistência das cargas de dados no novo sistema;</w:t>
      </w:r>
    </w:p>
    <w:p w14:paraId="2DE7BE03" w14:textId="77777777" w:rsidR="00B307DB" w:rsidRPr="00B84389" w:rsidRDefault="00B307DB" w:rsidP="00B307DB">
      <w:pPr>
        <w:pStyle w:val="Recuodecorpodetexto31"/>
        <w:tabs>
          <w:tab w:val="left" w:pos="426"/>
          <w:tab w:val="left" w:pos="720"/>
          <w:tab w:val="left" w:pos="1134"/>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4.2.1.2.1 </w:t>
      </w:r>
      <w:r w:rsidRPr="00B84389">
        <w:rPr>
          <w:rFonts w:ascii="Times New Roman" w:hAnsi="Times New Roman" w:cs="Times New Roman"/>
          <w:sz w:val="22"/>
          <w:szCs w:val="22"/>
        </w:rPr>
        <w:t>Serão disponibilizados pela contratante todas as informações necessárias e os bancos de dados legados, de forma legível, utilizável e acesso completo. Serão migrados os seguintes dados:</w:t>
      </w:r>
    </w:p>
    <w:p w14:paraId="2E714B4A"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a)</w:t>
      </w:r>
      <w:r w:rsidRPr="00B84389">
        <w:rPr>
          <w:rFonts w:ascii="Times New Roman" w:hAnsi="Times New Roman" w:cs="Times New Roman"/>
        </w:rPr>
        <w:t xml:space="preserve"> Informações pertinentes ao exercício corrente áreas contábil, orçamentária e financeira;</w:t>
      </w:r>
    </w:p>
    <w:p w14:paraId="4B621353"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b)</w:t>
      </w:r>
      <w:r w:rsidRPr="00B84389">
        <w:rPr>
          <w:rFonts w:ascii="Times New Roman" w:hAnsi="Times New Roman" w:cs="Times New Roman"/>
        </w:rPr>
        <w:t xml:space="preserve"> Informações pertinentes acerca de licitações e contratos não extintos;</w:t>
      </w:r>
    </w:p>
    <w:p w14:paraId="0C8C2EE6"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c)</w:t>
      </w:r>
      <w:r w:rsidRPr="00B84389">
        <w:rPr>
          <w:rFonts w:ascii="Times New Roman" w:hAnsi="Times New Roman" w:cs="Times New Roman"/>
        </w:rPr>
        <w:t xml:space="preserve"> Informações necessárias da área de arrecadação e dívida ativa, no que tange a administração do executivo fiscal municipal;</w:t>
      </w:r>
    </w:p>
    <w:p w14:paraId="78EFD590"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d)</w:t>
      </w:r>
      <w:r w:rsidRPr="00B84389">
        <w:rPr>
          <w:rFonts w:ascii="Times New Roman" w:hAnsi="Times New Roman" w:cs="Times New Roman"/>
        </w:rPr>
        <w:t xml:space="preserve"> Informações históricas acerca da área de recursos humanos;</w:t>
      </w:r>
    </w:p>
    <w:p w14:paraId="23E0F55E"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e)</w:t>
      </w:r>
      <w:r w:rsidRPr="00B84389">
        <w:rPr>
          <w:rFonts w:ascii="Times New Roman" w:hAnsi="Times New Roman" w:cs="Times New Roman"/>
        </w:rPr>
        <w:t xml:space="preserve"> Informações das ações e programas de saúde;</w:t>
      </w:r>
    </w:p>
    <w:p w14:paraId="0831DAF6"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f)</w:t>
      </w:r>
      <w:r w:rsidRPr="00B84389">
        <w:rPr>
          <w:rFonts w:ascii="Times New Roman" w:hAnsi="Times New Roman" w:cs="Times New Roman"/>
        </w:rPr>
        <w:t xml:space="preserve"> Informações das ações e programas de assistência social;</w:t>
      </w:r>
    </w:p>
    <w:p w14:paraId="7BA9D19A"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g) </w:t>
      </w:r>
      <w:r w:rsidRPr="00B84389">
        <w:rPr>
          <w:rFonts w:ascii="Times New Roman" w:hAnsi="Times New Roman" w:cs="Times New Roman"/>
        </w:rPr>
        <w:t>Informações das ações e programas da Secretaria de Educação;</w:t>
      </w:r>
    </w:p>
    <w:p w14:paraId="3CDAF0AA"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h)</w:t>
      </w:r>
      <w:r w:rsidRPr="00B84389">
        <w:rPr>
          <w:rFonts w:ascii="Times New Roman" w:hAnsi="Times New Roman" w:cs="Times New Roman"/>
        </w:rPr>
        <w:t xml:space="preserve"> Informações das ações e programas da Câmara Municipal de Vereadores.</w:t>
      </w:r>
    </w:p>
    <w:p w14:paraId="364F7D01"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4.2.1.2.2 </w:t>
      </w:r>
      <w:r w:rsidRPr="00B84389">
        <w:rPr>
          <w:rFonts w:ascii="Times New Roman" w:hAnsi="Times New Roman" w:cs="Times New Roman"/>
          <w:sz w:val="22"/>
          <w:szCs w:val="22"/>
        </w:rPr>
        <w:t>As atividades de saneamento/correção/conferência dos dados serão de responsabilidade da CONTRATANTE com a orientação da equipe de migração de dados da CONTRATADA. Inconsistências e erros na migração são situações previstas em qualquer migração/conversão de dados e que serão resolvidas de comum acordo entre as partes, mediante termos e cronograma de trabalho em conjunto;</w:t>
      </w:r>
    </w:p>
    <w:p w14:paraId="227B61A3"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4.2.1.3</w:t>
      </w:r>
      <w:r w:rsidRPr="00B84389">
        <w:rPr>
          <w:rFonts w:ascii="Times New Roman" w:hAnsi="Times New Roman" w:cs="Times New Roman"/>
          <w:sz w:val="22"/>
          <w:szCs w:val="22"/>
        </w:rPr>
        <w:t xml:space="preserve"> </w:t>
      </w:r>
      <w:r w:rsidRPr="00B84389">
        <w:rPr>
          <w:rFonts w:ascii="Times New Roman" w:hAnsi="Times New Roman" w:cs="Times New Roman"/>
          <w:sz w:val="22"/>
          <w:szCs w:val="22"/>
          <w:u w:val="single"/>
        </w:rPr>
        <w:t>Configurações Iniciais</w:t>
      </w:r>
      <w:r w:rsidRPr="00B84389">
        <w:rPr>
          <w:rFonts w:ascii="Times New Roman" w:hAnsi="Times New Roman" w:cs="Times New Roman"/>
          <w:sz w:val="22"/>
          <w:szCs w:val="22"/>
        </w:rPr>
        <w:t xml:space="preserve">: configuração do sistema visando a adequação de relatórios, telas, layouts com os logotipos padrões do contratante, além de atividades como a configuração inicial de tabelas e cadastros, adequação das fórmulas de cálculo para atendimento aos critérios adotados pela </w:t>
      </w:r>
      <w:r w:rsidRPr="00B84389">
        <w:rPr>
          <w:rFonts w:ascii="Times New Roman" w:eastAsiaTheme="minorHAnsi" w:hAnsi="Times New Roman" w:cs="Times New Roman"/>
          <w:sz w:val="22"/>
          <w:szCs w:val="22"/>
          <w:lang w:eastAsia="en-US"/>
        </w:rPr>
        <w:t xml:space="preserve">CONTRATANTE, </w:t>
      </w:r>
      <w:r w:rsidRPr="00B84389">
        <w:rPr>
          <w:rFonts w:ascii="Times New Roman" w:hAnsi="Times New Roman" w:cs="Times New Roman"/>
          <w:sz w:val="22"/>
          <w:szCs w:val="22"/>
        </w:rPr>
        <w:t>ajuste de cálculo, quando mais de uma fórmula de cálculo é aplicável simultaneamente, carga de demais parâmetros inerentes aos processos, de acordo com a legislação Estadual e Federal;</w:t>
      </w:r>
    </w:p>
    <w:p w14:paraId="725D6E9F"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4.2.1.3.1</w:t>
      </w:r>
      <w:r w:rsidRPr="00B84389">
        <w:rPr>
          <w:rFonts w:ascii="Times New Roman" w:hAnsi="Times New Roman" w:cs="Times New Roman"/>
          <w:sz w:val="22"/>
          <w:szCs w:val="22"/>
        </w:rPr>
        <w:t xml:space="preserve"> A Contratante documentará todos os pedidos de intervenção no sistema e parâmetros de configuração, bem como conferirá todas as intervenções feitas pela Contratada antes de liberação para o uso;</w:t>
      </w:r>
    </w:p>
    <w:p w14:paraId="0569C3C0"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4.2.1.4 </w:t>
      </w:r>
      <w:r w:rsidRPr="00B84389">
        <w:rPr>
          <w:rFonts w:ascii="Times New Roman" w:hAnsi="Times New Roman" w:cs="Times New Roman"/>
          <w:sz w:val="22"/>
          <w:szCs w:val="22"/>
          <w:u w:val="single"/>
        </w:rPr>
        <w:t>Habilitações</w:t>
      </w:r>
      <w:r w:rsidRPr="00B84389">
        <w:rPr>
          <w:rFonts w:ascii="Times New Roman" w:hAnsi="Times New Roman" w:cs="Times New Roman"/>
          <w:sz w:val="22"/>
          <w:szCs w:val="22"/>
        </w:rPr>
        <w:t>: compreende atividades relacionadas a estruturação de acesso e habilitações dos usuários, de acordo com as políticas de acesso da contratante, levantadas durante o diagnóstico e demais habilitações do sistema visando a sua disponibilização para uso;</w:t>
      </w:r>
    </w:p>
    <w:p w14:paraId="45874523"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4.2.1.5 </w:t>
      </w:r>
      <w:r w:rsidRPr="00B84389">
        <w:rPr>
          <w:rFonts w:ascii="Times New Roman" w:hAnsi="Times New Roman" w:cs="Times New Roman"/>
          <w:sz w:val="22"/>
          <w:szCs w:val="22"/>
        </w:rPr>
        <w:t>Todo o serviço de implantação poderá ser realizado por meio da internet, adotando-se as técnicas e ferramentas disponíveis;</w:t>
      </w:r>
    </w:p>
    <w:p w14:paraId="717425E1"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4.2.1.6 </w:t>
      </w:r>
      <w:r w:rsidRPr="00B84389">
        <w:rPr>
          <w:rFonts w:ascii="Times New Roman" w:hAnsi="Times New Roman" w:cs="Times New Roman"/>
          <w:sz w:val="22"/>
          <w:szCs w:val="22"/>
        </w:rPr>
        <w:t>A CONTRATANTE disponibilizará técnicos do Departamento de Informática e de áreas afins para dirimir dúvidas, tanto de licitantes, quando durante a execução do contrato;</w:t>
      </w:r>
    </w:p>
    <w:p w14:paraId="0FDE2499"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bCs/>
          <w:sz w:val="22"/>
          <w:szCs w:val="22"/>
        </w:rPr>
        <w:t xml:space="preserve">4.2.1.7 </w:t>
      </w:r>
      <w:r w:rsidRPr="00B84389">
        <w:rPr>
          <w:rFonts w:ascii="Times New Roman" w:hAnsi="Times New Roman" w:cs="Times New Roman"/>
          <w:bCs/>
          <w:sz w:val="22"/>
          <w:szCs w:val="22"/>
        </w:rPr>
        <w:t>Nos</w:t>
      </w:r>
      <w:r w:rsidRPr="00B84389">
        <w:rPr>
          <w:rFonts w:ascii="Times New Roman" w:hAnsi="Times New Roman" w:cs="Times New Roman"/>
          <w:sz w:val="22"/>
          <w:szCs w:val="22"/>
        </w:rPr>
        <w:t xml:space="preserve"> termos da Lei Geral de Proteção de Dados (LGPD), a empresa contratada e os membros da sua equipe guardarão sigilo sobre os dados e informações do objeto da prestação de serviços, bem como a contratante e seus prepostos com relação a qualquer conhecimento sobre a propriedade intelectual a contratada;</w:t>
      </w:r>
    </w:p>
    <w:p w14:paraId="582EBECC"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4.2.1.8</w:t>
      </w:r>
      <w:r w:rsidRPr="00B84389">
        <w:rPr>
          <w:rFonts w:ascii="Times New Roman" w:hAnsi="Times New Roman" w:cs="Times New Roman"/>
          <w:sz w:val="22"/>
          <w:szCs w:val="22"/>
        </w:rPr>
        <w:t xml:space="preserve"> O prazo para implantação iniciará a partir da ordem de serviço ou documento equivalente. A contratada terá o prazo máximo de 90 (noventa) dias consecutivos para finalizar a implantação, após a emissão da ordem de serviço emitido pelo município de Riqueza.</w:t>
      </w:r>
    </w:p>
    <w:p w14:paraId="145A8150" w14:textId="77777777" w:rsidR="00B307DB" w:rsidRPr="004A704B" w:rsidRDefault="00B307DB" w:rsidP="00B307DB">
      <w:pPr>
        <w:pStyle w:val="Recuodecorpodetexto31"/>
        <w:ind w:right="-568" w:firstLine="0"/>
        <w:rPr>
          <w:rFonts w:ascii="Times New Roman" w:hAnsi="Times New Roman" w:cs="Times New Roman"/>
          <w:sz w:val="22"/>
          <w:szCs w:val="22"/>
        </w:rPr>
      </w:pPr>
      <w:r w:rsidRPr="00B84389">
        <w:rPr>
          <w:rFonts w:ascii="Times New Roman" w:hAnsi="Times New Roman" w:cs="Times New Roman"/>
          <w:b/>
          <w:sz w:val="22"/>
          <w:szCs w:val="22"/>
        </w:rPr>
        <w:t>4.2.1.9</w:t>
      </w:r>
      <w:r w:rsidRPr="00B84389">
        <w:rPr>
          <w:rFonts w:ascii="Times New Roman" w:hAnsi="Times New Roman" w:cs="Times New Roman"/>
          <w:sz w:val="22"/>
          <w:szCs w:val="22"/>
        </w:rPr>
        <w:t xml:space="preserve"> </w:t>
      </w:r>
      <w:r w:rsidRPr="00E93D92">
        <w:rPr>
          <w:rFonts w:ascii="Times New Roman" w:hAnsi="Times New Roman" w:cs="Times New Roman"/>
          <w:sz w:val="22"/>
          <w:szCs w:val="22"/>
        </w:rPr>
        <w:t xml:space="preserve">Somente serão pagos os valores referentes a locação mensal para os módulos efetivamente em </w:t>
      </w:r>
      <w:r w:rsidRPr="00E93D92">
        <w:rPr>
          <w:rFonts w:ascii="Times New Roman" w:hAnsi="Times New Roman" w:cs="Times New Roman"/>
          <w:sz w:val="22"/>
          <w:szCs w:val="22"/>
        </w:rPr>
        <w:lastRenderedPageBreak/>
        <w:t>uso. Fica a critério da CONTRATANTE definir quais módulos usarão. O pagamento será proporcional referente a área já implantada/em uso, inclusive quanto a sua locação também, ainda a</w:t>
      </w:r>
      <w:r w:rsidRPr="00E93D92">
        <w:rPr>
          <w:rFonts w:ascii="Times New Roman" w:hAnsi="Times New Roman" w:cs="Times New Roman"/>
          <w:bCs/>
          <w:sz w:val="22"/>
          <w:szCs w:val="22"/>
        </w:rPr>
        <w:t xml:space="preserve"> Implantação será paga conforme a solicitação da Administração para a implantação dos módulos.</w:t>
      </w:r>
    </w:p>
    <w:p w14:paraId="6F1F8E6F" w14:textId="77777777" w:rsidR="00B307DB" w:rsidRPr="00B84389" w:rsidRDefault="00B307DB" w:rsidP="00B307DB">
      <w:pPr>
        <w:pStyle w:val="Recuodecorpodetexto31"/>
        <w:ind w:right="-568" w:firstLine="0"/>
        <w:rPr>
          <w:rFonts w:ascii="Times New Roman" w:hAnsi="Times New Roman" w:cs="Times New Roman"/>
          <w:i/>
          <w:sz w:val="22"/>
          <w:szCs w:val="22"/>
        </w:rPr>
      </w:pPr>
      <w:r>
        <w:rPr>
          <w:rFonts w:ascii="Times New Roman" w:hAnsi="Times New Roman" w:cs="Times New Roman"/>
          <w:b/>
          <w:i/>
          <w:color w:val="auto"/>
          <w:sz w:val="22"/>
          <w:szCs w:val="22"/>
        </w:rPr>
        <w:t xml:space="preserve">4.2 </w:t>
      </w:r>
      <w:r w:rsidRPr="00B84389">
        <w:rPr>
          <w:rFonts w:ascii="Times New Roman" w:hAnsi="Times New Roman" w:cs="Times New Roman"/>
          <w:b/>
          <w:i/>
          <w:color w:val="auto"/>
          <w:sz w:val="22"/>
          <w:szCs w:val="22"/>
        </w:rPr>
        <w:t>Capacitação Inicial dos Usuários:</w:t>
      </w:r>
      <w:r w:rsidRPr="00B84389">
        <w:rPr>
          <w:rFonts w:ascii="Times New Roman" w:hAnsi="Times New Roman" w:cs="Times New Roman"/>
          <w:bCs/>
          <w:i/>
          <w:sz w:val="22"/>
          <w:szCs w:val="22"/>
        </w:rPr>
        <w:t xml:space="preserve"> </w:t>
      </w:r>
    </w:p>
    <w:p w14:paraId="28A83741"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4.3.1 </w:t>
      </w:r>
      <w:r w:rsidRPr="00B84389">
        <w:rPr>
          <w:rFonts w:ascii="Times New Roman" w:hAnsi="Times New Roman" w:cs="Times New Roman"/>
          <w:sz w:val="22"/>
          <w:szCs w:val="22"/>
        </w:rPr>
        <w:t xml:space="preserve">Durante o período de implantação, a contratada promoverá a capacitação de servidores públicos para que tenham condições e conhecimentos mínimos para operar </w:t>
      </w:r>
      <w:r w:rsidRPr="00B84389">
        <w:rPr>
          <w:rFonts w:ascii="Times New Roman" w:hAnsi="Times New Roman" w:cs="Times New Roman"/>
          <w:b/>
          <w:bCs/>
          <w:sz w:val="22"/>
          <w:szCs w:val="22"/>
          <w:u w:val="single"/>
        </w:rPr>
        <w:t>novos programas/módulos</w:t>
      </w:r>
      <w:r w:rsidRPr="00B84389">
        <w:rPr>
          <w:rFonts w:ascii="Times New Roman" w:hAnsi="Times New Roman" w:cs="Times New Roman"/>
          <w:sz w:val="22"/>
          <w:szCs w:val="22"/>
        </w:rPr>
        <w:t xml:space="preserve"> a serem implantados;</w:t>
      </w:r>
    </w:p>
    <w:p w14:paraId="585C8710"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4.3.2 </w:t>
      </w:r>
      <w:r w:rsidRPr="00B84389">
        <w:rPr>
          <w:rFonts w:ascii="Times New Roman" w:hAnsi="Times New Roman" w:cs="Times New Roman"/>
          <w:sz w:val="22"/>
          <w:szCs w:val="22"/>
        </w:rPr>
        <w:t>A capacitação, em carga horária e com métodos suficientes, minimamente satisfatórios para uso do sistema, será realizada por meio da internet, sendo que os recursos locais (equipamentos, acesso à internet de boa qualidade, dependências, sala de treinamento, impressora para testes, etc) necessários ao desenvolvimento das atividades de capacitação e definidos pela contratada, serão fornecidos pela contratante;</w:t>
      </w:r>
    </w:p>
    <w:p w14:paraId="70B65178"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4.3.3 </w:t>
      </w:r>
      <w:r w:rsidRPr="00B84389">
        <w:rPr>
          <w:rFonts w:ascii="Times New Roman" w:hAnsi="Times New Roman" w:cs="Times New Roman"/>
          <w:sz w:val="22"/>
          <w:szCs w:val="22"/>
        </w:rPr>
        <w:t>Deve ser considerado para fins de orçamento e proposta, um quantitativo mínimo de 60% dos servidores das áreas administrativas a serem capacitados, de acordo com o módulo/setor de lotação, sendo que a CONTRATANTE fornecerá após a contratação a lista de servidores a serem capacitados em cada área/módulo de programas;</w:t>
      </w:r>
    </w:p>
    <w:p w14:paraId="1D604E93"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4.3.4 </w:t>
      </w:r>
      <w:r w:rsidRPr="00B84389">
        <w:rPr>
          <w:rFonts w:ascii="Times New Roman" w:hAnsi="Times New Roman" w:cs="Times New Roman"/>
          <w:sz w:val="22"/>
          <w:szCs w:val="22"/>
        </w:rPr>
        <w:t>Deve ser previsto a realização de treinamento para o nível técnico, de pelo menos uma turma de servidores, compreendendo: capacitação para suporte aos usuários, aspectos relacionados a configurações, monitoração de uso e permissões de acesso, permitindo que a equipe técnica mínima possa propiciar o primeiro atendimento aos usuários, ou providenciar a abertura de chamado para suporte pela proponente;</w:t>
      </w:r>
    </w:p>
    <w:p w14:paraId="12B31920" w14:textId="77777777" w:rsidR="00B307DB" w:rsidRPr="00B84389" w:rsidRDefault="00B307DB" w:rsidP="00B307DB">
      <w:pPr>
        <w:pStyle w:val="Recuodecorpodetexto31"/>
        <w:numPr>
          <w:ilvl w:val="2"/>
          <w:numId w:val="137"/>
        </w:numPr>
        <w:tabs>
          <w:tab w:val="left" w:pos="-142"/>
          <w:tab w:val="left" w:pos="426"/>
        </w:tabs>
        <w:ind w:left="0" w:right="-568" w:firstLine="0"/>
        <w:rPr>
          <w:rFonts w:ascii="Times New Roman" w:hAnsi="Times New Roman" w:cs="Times New Roman"/>
          <w:sz w:val="22"/>
          <w:szCs w:val="22"/>
        </w:rPr>
      </w:pPr>
      <w:r w:rsidRPr="00B84389">
        <w:rPr>
          <w:rFonts w:ascii="Times New Roman" w:hAnsi="Times New Roman" w:cs="Times New Roman"/>
          <w:sz w:val="22"/>
          <w:szCs w:val="22"/>
        </w:rPr>
        <w:t>Deverá ser fornecido Certificado de Participação aos servidores que tiverem concluído mais de 75% (setenta e cinco por cento) das atividades de cada curso;</w:t>
      </w:r>
    </w:p>
    <w:p w14:paraId="7BD78B2E"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4.3.6 </w:t>
      </w:r>
      <w:r w:rsidRPr="00B84389">
        <w:rPr>
          <w:rFonts w:ascii="Times New Roman" w:hAnsi="Times New Roman" w:cs="Times New Roman"/>
          <w:sz w:val="22"/>
          <w:szCs w:val="22"/>
        </w:rPr>
        <w:t>O treinamento via web será considerado prestado independentemente da ocorrência de problemas com o provedor de internet ou rede local, com o fornecimento de energia, desídia dos servidores públicos ou com qualquer outro fator correlato de responsabilidade do CONTRATANTE, podendo ser novamente faturado quando refeito sem culpa da contratada;</w:t>
      </w:r>
    </w:p>
    <w:p w14:paraId="17036A82"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4.3.7 </w:t>
      </w:r>
      <w:r w:rsidRPr="00B84389">
        <w:rPr>
          <w:rFonts w:ascii="Times New Roman" w:hAnsi="Times New Roman" w:cs="Times New Roman"/>
          <w:sz w:val="22"/>
          <w:szCs w:val="22"/>
        </w:rPr>
        <w:t xml:space="preserve">Conforme levantamento realizado, para fins de informação e subsídio, segue quadro de </w:t>
      </w:r>
      <w:r w:rsidRPr="00B84389">
        <w:rPr>
          <w:rFonts w:ascii="Times New Roman" w:hAnsi="Times New Roman" w:cs="Times New Roman"/>
          <w:i/>
          <w:sz w:val="22"/>
          <w:szCs w:val="22"/>
        </w:rPr>
        <w:t>estimativa</w:t>
      </w:r>
      <w:r w:rsidRPr="00B84389">
        <w:rPr>
          <w:rFonts w:ascii="Times New Roman" w:hAnsi="Times New Roman" w:cs="Times New Roman"/>
          <w:sz w:val="22"/>
          <w:szCs w:val="22"/>
        </w:rPr>
        <w:t xml:space="preserve"> </w:t>
      </w:r>
      <w:r w:rsidRPr="00B84389">
        <w:rPr>
          <w:rFonts w:ascii="Times New Roman" w:hAnsi="Times New Roman" w:cs="Times New Roman"/>
          <w:i/>
          <w:sz w:val="22"/>
          <w:szCs w:val="22"/>
        </w:rPr>
        <w:t>de usuários</w:t>
      </w:r>
      <w:r w:rsidRPr="00B84389">
        <w:rPr>
          <w:rFonts w:ascii="Times New Roman" w:hAnsi="Times New Roman" w:cs="Times New Roman"/>
          <w:sz w:val="22"/>
          <w:szCs w:val="22"/>
        </w:rPr>
        <w:t xml:space="preserve"> de cada módulo e de treinandos respectivamente:</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884"/>
        <w:gridCol w:w="6629"/>
        <w:gridCol w:w="1559"/>
      </w:tblGrid>
      <w:tr w:rsidR="00B307DB" w:rsidRPr="00B84389" w14:paraId="74281F3A" w14:textId="77777777" w:rsidTr="00B307DB">
        <w:trPr>
          <w:trHeight w:val="358"/>
        </w:trPr>
        <w:tc>
          <w:tcPr>
            <w:tcW w:w="884" w:type="dxa"/>
            <w:tcBorders>
              <w:top w:val="single" w:sz="4" w:space="0" w:color="000000"/>
              <w:left w:val="single" w:sz="4" w:space="0" w:color="000000"/>
              <w:bottom w:val="single" w:sz="4" w:space="0" w:color="000000"/>
            </w:tcBorders>
            <w:vAlign w:val="center"/>
          </w:tcPr>
          <w:p w14:paraId="7919CE5F" w14:textId="77777777" w:rsidR="00B307DB" w:rsidRPr="00B84389" w:rsidRDefault="00B307DB" w:rsidP="00B307DB">
            <w:pPr>
              <w:spacing w:after="0" w:line="240" w:lineRule="auto"/>
              <w:ind w:right="-46"/>
              <w:jc w:val="center"/>
              <w:rPr>
                <w:rFonts w:ascii="Times New Roman" w:hAnsi="Times New Roman" w:cs="Times New Roman"/>
                <w:b/>
              </w:rPr>
            </w:pPr>
            <w:r w:rsidRPr="00B84389">
              <w:rPr>
                <w:rFonts w:ascii="Times New Roman" w:hAnsi="Times New Roman" w:cs="Times New Roman"/>
                <w:b/>
              </w:rPr>
              <w:t>1</w:t>
            </w:r>
          </w:p>
        </w:tc>
        <w:tc>
          <w:tcPr>
            <w:tcW w:w="6629" w:type="dxa"/>
            <w:tcBorders>
              <w:top w:val="single" w:sz="4" w:space="0" w:color="000000"/>
              <w:left w:val="single" w:sz="4" w:space="0" w:color="000000"/>
              <w:bottom w:val="single" w:sz="4" w:space="0" w:color="000000"/>
            </w:tcBorders>
            <w:vAlign w:val="center"/>
          </w:tcPr>
          <w:p w14:paraId="6E0F07D9" w14:textId="77777777" w:rsidR="00B307DB" w:rsidRPr="00B84389" w:rsidRDefault="00B307DB" w:rsidP="00B307DB">
            <w:pPr>
              <w:spacing w:after="0" w:line="240" w:lineRule="auto"/>
              <w:ind w:right="-568"/>
              <w:jc w:val="center"/>
              <w:rPr>
                <w:rFonts w:ascii="Times New Roman" w:hAnsi="Times New Roman" w:cs="Times New Roman"/>
              </w:rPr>
            </w:pPr>
            <w:r w:rsidRPr="00B84389">
              <w:rPr>
                <w:rFonts w:ascii="Times New Roman" w:hAnsi="Times New Roman" w:cs="Times New Roman"/>
                <w:b/>
              </w:rPr>
              <w:t>Módulo/Treinamento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1ACFB0E"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b/>
              </w:rPr>
              <w:t>Quantidade de usuários</w:t>
            </w:r>
          </w:p>
        </w:tc>
      </w:tr>
      <w:tr w:rsidR="00B307DB" w:rsidRPr="00B84389" w14:paraId="74CCE6AE" w14:textId="77777777" w:rsidTr="00B307DB">
        <w:trPr>
          <w:trHeight w:val="164"/>
        </w:trPr>
        <w:tc>
          <w:tcPr>
            <w:tcW w:w="884" w:type="dxa"/>
            <w:tcBorders>
              <w:left w:val="single" w:sz="4" w:space="0" w:color="000000"/>
              <w:bottom w:val="single" w:sz="4" w:space="0" w:color="000000"/>
            </w:tcBorders>
            <w:vAlign w:val="center"/>
          </w:tcPr>
          <w:p w14:paraId="4242D76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w:t>
            </w:r>
          </w:p>
        </w:tc>
        <w:tc>
          <w:tcPr>
            <w:tcW w:w="6629" w:type="dxa"/>
            <w:tcBorders>
              <w:left w:val="single" w:sz="4" w:space="0" w:color="000000"/>
              <w:bottom w:val="single" w:sz="4" w:space="0" w:color="000000"/>
            </w:tcBorders>
            <w:vAlign w:val="center"/>
          </w:tcPr>
          <w:p w14:paraId="194F450B"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Planejamento e Orçamento</w:t>
            </w:r>
          </w:p>
        </w:tc>
        <w:tc>
          <w:tcPr>
            <w:tcW w:w="1559" w:type="dxa"/>
            <w:tcBorders>
              <w:left w:val="single" w:sz="4" w:space="0" w:color="000000"/>
              <w:bottom w:val="single" w:sz="4" w:space="0" w:color="000000"/>
              <w:right w:val="single" w:sz="4" w:space="0" w:color="000000"/>
            </w:tcBorders>
            <w:vAlign w:val="center"/>
          </w:tcPr>
          <w:p w14:paraId="111885AD"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B307DB" w:rsidRPr="00B84389" w14:paraId="5F6921EE" w14:textId="77777777" w:rsidTr="00B307DB">
        <w:trPr>
          <w:trHeight w:val="226"/>
        </w:trPr>
        <w:tc>
          <w:tcPr>
            <w:tcW w:w="884" w:type="dxa"/>
            <w:tcBorders>
              <w:left w:val="single" w:sz="4" w:space="0" w:color="000000"/>
              <w:bottom w:val="single" w:sz="4" w:space="0" w:color="000000"/>
            </w:tcBorders>
            <w:vAlign w:val="center"/>
          </w:tcPr>
          <w:p w14:paraId="73BAA13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w:t>
            </w:r>
          </w:p>
        </w:tc>
        <w:tc>
          <w:tcPr>
            <w:tcW w:w="6629" w:type="dxa"/>
            <w:tcBorders>
              <w:left w:val="single" w:sz="4" w:space="0" w:color="000000"/>
              <w:bottom w:val="single" w:sz="4" w:space="0" w:color="000000"/>
            </w:tcBorders>
            <w:vAlign w:val="center"/>
          </w:tcPr>
          <w:p w14:paraId="59C6919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Gestão Contábil e Financeira</w:t>
            </w:r>
          </w:p>
        </w:tc>
        <w:tc>
          <w:tcPr>
            <w:tcW w:w="1559" w:type="dxa"/>
            <w:tcBorders>
              <w:left w:val="single" w:sz="4" w:space="0" w:color="000000"/>
              <w:bottom w:val="single" w:sz="4" w:space="0" w:color="000000"/>
              <w:right w:val="single" w:sz="4" w:space="0" w:color="000000"/>
            </w:tcBorders>
            <w:vAlign w:val="center"/>
          </w:tcPr>
          <w:p w14:paraId="31CB4D81"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B307DB" w:rsidRPr="00B84389" w14:paraId="06465D3E" w14:textId="77777777" w:rsidTr="00B307DB">
        <w:trPr>
          <w:trHeight w:val="146"/>
        </w:trPr>
        <w:tc>
          <w:tcPr>
            <w:tcW w:w="884" w:type="dxa"/>
            <w:tcBorders>
              <w:left w:val="single" w:sz="4" w:space="0" w:color="000000"/>
              <w:bottom w:val="single" w:sz="4" w:space="0" w:color="000000"/>
            </w:tcBorders>
            <w:vAlign w:val="center"/>
          </w:tcPr>
          <w:p w14:paraId="5F47A00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1.1.3</w:t>
            </w:r>
          </w:p>
        </w:tc>
        <w:tc>
          <w:tcPr>
            <w:tcW w:w="6629" w:type="dxa"/>
            <w:tcBorders>
              <w:left w:val="single" w:sz="4" w:space="0" w:color="000000"/>
              <w:bottom w:val="single" w:sz="4" w:space="0" w:color="000000"/>
            </w:tcBorders>
            <w:vAlign w:val="center"/>
          </w:tcPr>
          <w:p w14:paraId="59D2C39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Controle interno</w:t>
            </w:r>
          </w:p>
        </w:tc>
        <w:tc>
          <w:tcPr>
            <w:tcW w:w="1559" w:type="dxa"/>
            <w:tcBorders>
              <w:left w:val="single" w:sz="4" w:space="0" w:color="000000"/>
              <w:bottom w:val="single" w:sz="4" w:space="0" w:color="000000"/>
              <w:right w:val="single" w:sz="4" w:space="0" w:color="000000"/>
            </w:tcBorders>
            <w:vAlign w:val="center"/>
          </w:tcPr>
          <w:p w14:paraId="05A78282"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3</w:t>
            </w:r>
          </w:p>
        </w:tc>
      </w:tr>
      <w:tr w:rsidR="00B307DB" w:rsidRPr="00B84389" w14:paraId="6E4F7E44" w14:textId="77777777" w:rsidTr="00B307DB">
        <w:trPr>
          <w:trHeight w:val="276"/>
        </w:trPr>
        <w:tc>
          <w:tcPr>
            <w:tcW w:w="884" w:type="dxa"/>
            <w:tcBorders>
              <w:left w:val="single" w:sz="4" w:space="0" w:color="000000"/>
              <w:bottom w:val="single" w:sz="4" w:space="0" w:color="000000"/>
            </w:tcBorders>
            <w:vAlign w:val="center"/>
          </w:tcPr>
          <w:p w14:paraId="5473C6D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1.1.4</w:t>
            </w:r>
          </w:p>
        </w:tc>
        <w:tc>
          <w:tcPr>
            <w:tcW w:w="6629" w:type="dxa"/>
            <w:tcBorders>
              <w:left w:val="single" w:sz="4" w:space="0" w:color="000000"/>
              <w:bottom w:val="single" w:sz="4" w:space="0" w:color="000000"/>
            </w:tcBorders>
            <w:vAlign w:val="center"/>
          </w:tcPr>
          <w:p w14:paraId="78A05CE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Compras e licitações</w:t>
            </w:r>
          </w:p>
        </w:tc>
        <w:tc>
          <w:tcPr>
            <w:tcW w:w="1559" w:type="dxa"/>
            <w:tcBorders>
              <w:left w:val="single" w:sz="4" w:space="0" w:color="000000"/>
              <w:bottom w:val="single" w:sz="4" w:space="0" w:color="000000"/>
              <w:right w:val="single" w:sz="4" w:space="0" w:color="000000"/>
            </w:tcBorders>
            <w:vAlign w:val="center"/>
          </w:tcPr>
          <w:p w14:paraId="3B19F818"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4EE9B194" w14:textId="77777777" w:rsidTr="00B307DB">
        <w:trPr>
          <w:trHeight w:val="100"/>
        </w:trPr>
        <w:tc>
          <w:tcPr>
            <w:tcW w:w="884" w:type="dxa"/>
            <w:tcBorders>
              <w:left w:val="single" w:sz="4" w:space="0" w:color="000000"/>
              <w:bottom w:val="single" w:sz="4" w:space="0" w:color="000000"/>
            </w:tcBorders>
            <w:vAlign w:val="center"/>
          </w:tcPr>
          <w:p w14:paraId="7AABF6D4"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1.1.5</w:t>
            </w:r>
          </w:p>
        </w:tc>
        <w:tc>
          <w:tcPr>
            <w:tcW w:w="6629" w:type="dxa"/>
            <w:tcBorders>
              <w:left w:val="single" w:sz="4" w:space="0" w:color="000000"/>
              <w:bottom w:val="single" w:sz="4" w:space="0" w:color="000000"/>
            </w:tcBorders>
            <w:vAlign w:val="center"/>
          </w:tcPr>
          <w:p w14:paraId="3229143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Almoxarifado</w:t>
            </w:r>
          </w:p>
        </w:tc>
        <w:tc>
          <w:tcPr>
            <w:tcW w:w="1559" w:type="dxa"/>
            <w:tcBorders>
              <w:left w:val="single" w:sz="4" w:space="0" w:color="000000"/>
              <w:bottom w:val="single" w:sz="4" w:space="0" w:color="000000"/>
              <w:right w:val="single" w:sz="4" w:space="0" w:color="000000"/>
            </w:tcBorders>
            <w:vAlign w:val="center"/>
          </w:tcPr>
          <w:p w14:paraId="6CFA06F4"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115B7CE1" w14:textId="77777777" w:rsidTr="00B307DB">
        <w:trPr>
          <w:trHeight w:val="163"/>
        </w:trPr>
        <w:tc>
          <w:tcPr>
            <w:tcW w:w="884" w:type="dxa"/>
            <w:tcBorders>
              <w:left w:val="single" w:sz="4" w:space="0" w:color="000000"/>
              <w:bottom w:val="single" w:sz="4" w:space="0" w:color="000000"/>
            </w:tcBorders>
            <w:vAlign w:val="center"/>
          </w:tcPr>
          <w:p w14:paraId="764E6D2E"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1.1.6</w:t>
            </w:r>
          </w:p>
        </w:tc>
        <w:tc>
          <w:tcPr>
            <w:tcW w:w="6629" w:type="dxa"/>
            <w:tcBorders>
              <w:left w:val="single" w:sz="4" w:space="0" w:color="000000"/>
              <w:bottom w:val="single" w:sz="4" w:space="0" w:color="000000"/>
            </w:tcBorders>
            <w:vAlign w:val="center"/>
          </w:tcPr>
          <w:p w14:paraId="39BF659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Patrimônio</w:t>
            </w:r>
          </w:p>
        </w:tc>
        <w:tc>
          <w:tcPr>
            <w:tcW w:w="1559" w:type="dxa"/>
            <w:tcBorders>
              <w:left w:val="single" w:sz="4" w:space="0" w:color="000000"/>
              <w:bottom w:val="single" w:sz="4" w:space="0" w:color="000000"/>
              <w:right w:val="single" w:sz="4" w:space="0" w:color="000000"/>
            </w:tcBorders>
            <w:vAlign w:val="center"/>
          </w:tcPr>
          <w:p w14:paraId="7EA815DB"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1E7967DC" w14:textId="77777777" w:rsidTr="00B307DB">
        <w:trPr>
          <w:trHeight w:val="82"/>
        </w:trPr>
        <w:tc>
          <w:tcPr>
            <w:tcW w:w="884" w:type="dxa"/>
            <w:tcBorders>
              <w:left w:val="single" w:sz="4" w:space="0" w:color="000000"/>
              <w:bottom w:val="single" w:sz="4" w:space="0" w:color="000000"/>
            </w:tcBorders>
            <w:vAlign w:val="center"/>
          </w:tcPr>
          <w:p w14:paraId="7DD2833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1.1.7</w:t>
            </w:r>
          </w:p>
        </w:tc>
        <w:tc>
          <w:tcPr>
            <w:tcW w:w="6629" w:type="dxa"/>
            <w:tcBorders>
              <w:left w:val="single" w:sz="4" w:space="0" w:color="000000"/>
              <w:bottom w:val="single" w:sz="4" w:space="0" w:color="000000"/>
            </w:tcBorders>
            <w:vAlign w:val="center"/>
          </w:tcPr>
          <w:p w14:paraId="100035F7"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Frota</w:t>
            </w:r>
          </w:p>
        </w:tc>
        <w:tc>
          <w:tcPr>
            <w:tcW w:w="1559" w:type="dxa"/>
            <w:tcBorders>
              <w:left w:val="single" w:sz="4" w:space="0" w:color="000000"/>
              <w:bottom w:val="single" w:sz="4" w:space="0" w:color="000000"/>
              <w:right w:val="single" w:sz="4" w:space="0" w:color="000000"/>
            </w:tcBorders>
            <w:vAlign w:val="center"/>
          </w:tcPr>
          <w:p w14:paraId="7322F0B6"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B307DB" w:rsidRPr="00B84389" w14:paraId="0AAF27D6" w14:textId="77777777" w:rsidTr="00B307DB">
        <w:trPr>
          <w:trHeight w:val="144"/>
        </w:trPr>
        <w:tc>
          <w:tcPr>
            <w:tcW w:w="884" w:type="dxa"/>
            <w:tcBorders>
              <w:left w:val="single" w:sz="4" w:space="0" w:color="000000"/>
              <w:bottom w:val="single" w:sz="4" w:space="0" w:color="000000"/>
            </w:tcBorders>
            <w:vAlign w:val="center"/>
          </w:tcPr>
          <w:p w14:paraId="32923292"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1.1.8</w:t>
            </w:r>
          </w:p>
        </w:tc>
        <w:tc>
          <w:tcPr>
            <w:tcW w:w="6629" w:type="dxa"/>
            <w:tcBorders>
              <w:left w:val="single" w:sz="4" w:space="0" w:color="000000"/>
              <w:bottom w:val="single" w:sz="4" w:space="0" w:color="000000"/>
            </w:tcBorders>
            <w:vAlign w:val="center"/>
          </w:tcPr>
          <w:p w14:paraId="2DAAE81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Folha de Pagamento</w:t>
            </w:r>
          </w:p>
        </w:tc>
        <w:tc>
          <w:tcPr>
            <w:tcW w:w="1559" w:type="dxa"/>
            <w:tcBorders>
              <w:left w:val="single" w:sz="4" w:space="0" w:color="000000"/>
              <w:bottom w:val="single" w:sz="4" w:space="0" w:color="000000"/>
              <w:right w:val="single" w:sz="4" w:space="0" w:color="000000"/>
            </w:tcBorders>
            <w:vAlign w:val="center"/>
          </w:tcPr>
          <w:p w14:paraId="1096F7DA"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5CE138AD" w14:textId="77777777" w:rsidTr="00B307DB">
        <w:trPr>
          <w:trHeight w:val="276"/>
        </w:trPr>
        <w:tc>
          <w:tcPr>
            <w:tcW w:w="884" w:type="dxa"/>
            <w:tcBorders>
              <w:left w:val="single" w:sz="4" w:space="0" w:color="000000"/>
              <w:bottom w:val="single" w:sz="4" w:space="0" w:color="000000"/>
            </w:tcBorders>
            <w:vAlign w:val="center"/>
          </w:tcPr>
          <w:p w14:paraId="7C97F4B6"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1.1.9</w:t>
            </w:r>
          </w:p>
        </w:tc>
        <w:tc>
          <w:tcPr>
            <w:tcW w:w="6629" w:type="dxa"/>
            <w:tcBorders>
              <w:left w:val="single" w:sz="4" w:space="0" w:color="000000"/>
              <w:bottom w:val="single" w:sz="4" w:space="0" w:color="000000"/>
            </w:tcBorders>
            <w:vAlign w:val="center"/>
          </w:tcPr>
          <w:p w14:paraId="6C93DE4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Avaliação de Desempenho</w:t>
            </w:r>
          </w:p>
        </w:tc>
        <w:tc>
          <w:tcPr>
            <w:tcW w:w="1559" w:type="dxa"/>
            <w:tcBorders>
              <w:left w:val="single" w:sz="4" w:space="0" w:color="000000"/>
              <w:bottom w:val="single" w:sz="4" w:space="0" w:color="000000"/>
              <w:right w:val="single" w:sz="4" w:space="0" w:color="000000"/>
            </w:tcBorders>
            <w:vAlign w:val="center"/>
          </w:tcPr>
          <w:p w14:paraId="7FC2526E"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3BEE5EC5" w14:textId="77777777" w:rsidTr="00B307DB">
        <w:trPr>
          <w:trHeight w:val="254"/>
        </w:trPr>
        <w:tc>
          <w:tcPr>
            <w:tcW w:w="884" w:type="dxa"/>
            <w:tcBorders>
              <w:left w:val="single" w:sz="4" w:space="0" w:color="000000"/>
              <w:bottom w:val="single" w:sz="4" w:space="0" w:color="000000"/>
            </w:tcBorders>
            <w:vAlign w:val="center"/>
          </w:tcPr>
          <w:p w14:paraId="4748224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1.1.10</w:t>
            </w:r>
          </w:p>
        </w:tc>
        <w:tc>
          <w:tcPr>
            <w:tcW w:w="6629" w:type="dxa"/>
            <w:tcBorders>
              <w:left w:val="single" w:sz="4" w:space="0" w:color="000000"/>
              <w:bottom w:val="single" w:sz="4" w:space="0" w:color="000000"/>
            </w:tcBorders>
            <w:vAlign w:val="center"/>
          </w:tcPr>
          <w:p w14:paraId="35581167"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Segurança e Medicina do Trabalho</w:t>
            </w:r>
          </w:p>
        </w:tc>
        <w:tc>
          <w:tcPr>
            <w:tcW w:w="1559" w:type="dxa"/>
            <w:tcBorders>
              <w:left w:val="single" w:sz="4" w:space="0" w:color="000000"/>
              <w:bottom w:val="single" w:sz="4" w:space="0" w:color="000000"/>
              <w:right w:val="single" w:sz="4" w:space="0" w:color="000000"/>
            </w:tcBorders>
            <w:vAlign w:val="center"/>
          </w:tcPr>
          <w:p w14:paraId="0EA06FD1"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0F436E3B" w14:textId="77777777" w:rsidTr="00B307DB">
        <w:trPr>
          <w:trHeight w:val="174"/>
        </w:trPr>
        <w:tc>
          <w:tcPr>
            <w:tcW w:w="884" w:type="dxa"/>
            <w:tcBorders>
              <w:left w:val="single" w:sz="4" w:space="0" w:color="000000"/>
              <w:bottom w:val="single" w:sz="4" w:space="0" w:color="000000"/>
            </w:tcBorders>
            <w:vAlign w:val="center"/>
          </w:tcPr>
          <w:p w14:paraId="42B68E1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1.1.11</w:t>
            </w:r>
          </w:p>
        </w:tc>
        <w:tc>
          <w:tcPr>
            <w:tcW w:w="6629" w:type="dxa"/>
            <w:tcBorders>
              <w:left w:val="single" w:sz="4" w:space="0" w:color="000000"/>
              <w:bottom w:val="single" w:sz="4" w:space="0" w:color="000000"/>
            </w:tcBorders>
            <w:vAlign w:val="center"/>
          </w:tcPr>
          <w:p w14:paraId="7076297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Ponto Eletrônico</w:t>
            </w:r>
          </w:p>
        </w:tc>
        <w:tc>
          <w:tcPr>
            <w:tcW w:w="1559" w:type="dxa"/>
            <w:tcBorders>
              <w:left w:val="single" w:sz="4" w:space="0" w:color="000000"/>
              <w:bottom w:val="single" w:sz="4" w:space="0" w:color="000000"/>
              <w:right w:val="single" w:sz="4" w:space="0" w:color="000000"/>
            </w:tcBorders>
            <w:vAlign w:val="center"/>
          </w:tcPr>
          <w:p w14:paraId="00210EDA"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B307DB" w:rsidRPr="00B84389" w14:paraId="250DF1F7" w14:textId="77777777" w:rsidTr="00B307DB">
        <w:trPr>
          <w:trHeight w:val="236"/>
        </w:trPr>
        <w:tc>
          <w:tcPr>
            <w:tcW w:w="884" w:type="dxa"/>
            <w:tcBorders>
              <w:left w:val="single" w:sz="4" w:space="0" w:color="000000"/>
              <w:bottom w:val="single" w:sz="4" w:space="0" w:color="000000"/>
            </w:tcBorders>
            <w:vAlign w:val="center"/>
          </w:tcPr>
          <w:p w14:paraId="28E8874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1.1.12</w:t>
            </w:r>
          </w:p>
        </w:tc>
        <w:tc>
          <w:tcPr>
            <w:tcW w:w="6629" w:type="dxa"/>
            <w:tcBorders>
              <w:left w:val="single" w:sz="4" w:space="0" w:color="000000"/>
              <w:bottom w:val="single" w:sz="4" w:space="0" w:color="000000"/>
            </w:tcBorders>
            <w:vAlign w:val="center"/>
          </w:tcPr>
          <w:p w14:paraId="7B9A9FB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IPTU e Taxas</w:t>
            </w:r>
          </w:p>
        </w:tc>
        <w:tc>
          <w:tcPr>
            <w:tcW w:w="1559" w:type="dxa"/>
            <w:tcBorders>
              <w:left w:val="single" w:sz="4" w:space="0" w:color="000000"/>
              <w:bottom w:val="single" w:sz="4" w:space="0" w:color="000000"/>
              <w:right w:val="single" w:sz="4" w:space="0" w:color="000000"/>
            </w:tcBorders>
            <w:vAlign w:val="center"/>
          </w:tcPr>
          <w:p w14:paraId="75ED20BD"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3350B7E6" w14:textId="77777777" w:rsidTr="00B307DB">
        <w:trPr>
          <w:trHeight w:val="156"/>
        </w:trPr>
        <w:tc>
          <w:tcPr>
            <w:tcW w:w="884" w:type="dxa"/>
            <w:tcBorders>
              <w:left w:val="single" w:sz="4" w:space="0" w:color="000000"/>
              <w:bottom w:val="single" w:sz="4" w:space="0" w:color="000000"/>
            </w:tcBorders>
            <w:vAlign w:val="center"/>
          </w:tcPr>
          <w:p w14:paraId="23085B96"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1.1.13</w:t>
            </w:r>
          </w:p>
        </w:tc>
        <w:tc>
          <w:tcPr>
            <w:tcW w:w="6629" w:type="dxa"/>
            <w:tcBorders>
              <w:left w:val="single" w:sz="4" w:space="0" w:color="000000"/>
              <w:bottom w:val="single" w:sz="4" w:space="0" w:color="000000"/>
            </w:tcBorders>
            <w:vAlign w:val="center"/>
          </w:tcPr>
          <w:p w14:paraId="12AE4E94"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ISSQN e Taxas</w:t>
            </w:r>
          </w:p>
        </w:tc>
        <w:tc>
          <w:tcPr>
            <w:tcW w:w="1559" w:type="dxa"/>
            <w:tcBorders>
              <w:left w:val="single" w:sz="4" w:space="0" w:color="000000"/>
              <w:bottom w:val="single" w:sz="4" w:space="0" w:color="000000"/>
              <w:right w:val="single" w:sz="4" w:space="0" w:color="000000"/>
            </w:tcBorders>
            <w:vAlign w:val="center"/>
          </w:tcPr>
          <w:p w14:paraId="44094960"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5944E0D6" w14:textId="77777777" w:rsidTr="00B307DB">
        <w:trPr>
          <w:trHeight w:val="204"/>
        </w:trPr>
        <w:tc>
          <w:tcPr>
            <w:tcW w:w="884" w:type="dxa"/>
            <w:tcBorders>
              <w:left w:val="single" w:sz="4" w:space="0" w:color="000000"/>
              <w:bottom w:val="single" w:sz="4" w:space="0" w:color="000000"/>
            </w:tcBorders>
            <w:vAlign w:val="center"/>
          </w:tcPr>
          <w:p w14:paraId="3AABCC1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1.1.14</w:t>
            </w:r>
          </w:p>
        </w:tc>
        <w:tc>
          <w:tcPr>
            <w:tcW w:w="6629" w:type="dxa"/>
            <w:tcBorders>
              <w:left w:val="single" w:sz="4" w:space="0" w:color="000000"/>
              <w:bottom w:val="single" w:sz="4" w:space="0" w:color="000000"/>
            </w:tcBorders>
            <w:vAlign w:val="center"/>
          </w:tcPr>
          <w:p w14:paraId="6BC190E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ITBI e Taxas</w:t>
            </w:r>
          </w:p>
        </w:tc>
        <w:tc>
          <w:tcPr>
            <w:tcW w:w="1559" w:type="dxa"/>
            <w:tcBorders>
              <w:left w:val="single" w:sz="4" w:space="0" w:color="000000"/>
              <w:bottom w:val="single" w:sz="4" w:space="0" w:color="000000"/>
              <w:right w:val="single" w:sz="4" w:space="0" w:color="000000"/>
            </w:tcBorders>
            <w:vAlign w:val="center"/>
          </w:tcPr>
          <w:p w14:paraId="7BDFF19C"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6B499091" w14:textId="77777777" w:rsidTr="00B307DB">
        <w:trPr>
          <w:trHeight w:val="138"/>
        </w:trPr>
        <w:tc>
          <w:tcPr>
            <w:tcW w:w="884" w:type="dxa"/>
            <w:tcBorders>
              <w:left w:val="single" w:sz="4" w:space="0" w:color="000000"/>
              <w:bottom w:val="single" w:sz="4" w:space="0" w:color="000000"/>
            </w:tcBorders>
            <w:vAlign w:val="center"/>
          </w:tcPr>
          <w:p w14:paraId="427252A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1.1.15</w:t>
            </w:r>
          </w:p>
        </w:tc>
        <w:tc>
          <w:tcPr>
            <w:tcW w:w="6629" w:type="dxa"/>
            <w:tcBorders>
              <w:left w:val="single" w:sz="4" w:space="0" w:color="000000"/>
              <w:bottom w:val="single" w:sz="4" w:space="0" w:color="000000"/>
            </w:tcBorders>
            <w:vAlign w:val="center"/>
          </w:tcPr>
          <w:p w14:paraId="36D898A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Receitas Diversas</w:t>
            </w:r>
          </w:p>
        </w:tc>
        <w:tc>
          <w:tcPr>
            <w:tcW w:w="1559" w:type="dxa"/>
            <w:tcBorders>
              <w:left w:val="single" w:sz="4" w:space="0" w:color="000000"/>
              <w:bottom w:val="single" w:sz="4" w:space="0" w:color="000000"/>
              <w:right w:val="single" w:sz="4" w:space="0" w:color="000000"/>
            </w:tcBorders>
            <w:vAlign w:val="center"/>
          </w:tcPr>
          <w:p w14:paraId="2E64C796"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382B52A9" w14:textId="77777777" w:rsidTr="00B307DB">
        <w:trPr>
          <w:trHeight w:val="200"/>
        </w:trPr>
        <w:tc>
          <w:tcPr>
            <w:tcW w:w="884" w:type="dxa"/>
            <w:tcBorders>
              <w:left w:val="single" w:sz="4" w:space="0" w:color="000000"/>
              <w:bottom w:val="single" w:sz="4" w:space="0" w:color="000000"/>
            </w:tcBorders>
            <w:vAlign w:val="center"/>
          </w:tcPr>
          <w:p w14:paraId="003C0B0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1.1.16</w:t>
            </w:r>
          </w:p>
        </w:tc>
        <w:tc>
          <w:tcPr>
            <w:tcW w:w="6629" w:type="dxa"/>
            <w:tcBorders>
              <w:left w:val="single" w:sz="4" w:space="0" w:color="000000"/>
              <w:bottom w:val="single" w:sz="4" w:space="0" w:color="000000"/>
            </w:tcBorders>
            <w:vAlign w:val="center"/>
          </w:tcPr>
          <w:p w14:paraId="1A7FEB3B"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Dívida Ativa</w:t>
            </w:r>
          </w:p>
        </w:tc>
        <w:tc>
          <w:tcPr>
            <w:tcW w:w="1559" w:type="dxa"/>
            <w:tcBorders>
              <w:left w:val="single" w:sz="4" w:space="0" w:color="000000"/>
              <w:bottom w:val="single" w:sz="4" w:space="0" w:color="000000"/>
              <w:right w:val="single" w:sz="4" w:space="0" w:color="000000"/>
            </w:tcBorders>
            <w:vAlign w:val="center"/>
          </w:tcPr>
          <w:p w14:paraId="386FE830"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48BEBFA9" w14:textId="77777777" w:rsidTr="00B307DB">
        <w:trPr>
          <w:trHeight w:val="121"/>
        </w:trPr>
        <w:tc>
          <w:tcPr>
            <w:tcW w:w="884" w:type="dxa"/>
            <w:tcBorders>
              <w:left w:val="single" w:sz="4" w:space="0" w:color="000000"/>
              <w:bottom w:val="single" w:sz="4" w:space="0" w:color="000000"/>
            </w:tcBorders>
            <w:vAlign w:val="center"/>
          </w:tcPr>
          <w:p w14:paraId="710EE58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lastRenderedPageBreak/>
              <w:t>1.1.17</w:t>
            </w:r>
          </w:p>
        </w:tc>
        <w:tc>
          <w:tcPr>
            <w:tcW w:w="6629" w:type="dxa"/>
            <w:tcBorders>
              <w:left w:val="single" w:sz="4" w:space="0" w:color="000000"/>
              <w:bottom w:val="single" w:sz="4" w:space="0" w:color="000000"/>
            </w:tcBorders>
            <w:vAlign w:val="center"/>
          </w:tcPr>
          <w:p w14:paraId="638928F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Starter</w:t>
            </w:r>
          </w:p>
        </w:tc>
        <w:tc>
          <w:tcPr>
            <w:tcW w:w="1559" w:type="dxa"/>
            <w:tcBorders>
              <w:left w:val="single" w:sz="4" w:space="0" w:color="000000"/>
              <w:bottom w:val="single" w:sz="4" w:space="0" w:color="000000"/>
              <w:right w:val="single" w:sz="4" w:space="0" w:color="000000"/>
            </w:tcBorders>
            <w:vAlign w:val="center"/>
          </w:tcPr>
          <w:p w14:paraId="1FF658F0"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56CF154A" w14:textId="77777777" w:rsidTr="00B307DB">
        <w:trPr>
          <w:trHeight w:val="182"/>
        </w:trPr>
        <w:tc>
          <w:tcPr>
            <w:tcW w:w="884" w:type="dxa"/>
            <w:tcBorders>
              <w:left w:val="single" w:sz="4" w:space="0" w:color="000000"/>
              <w:bottom w:val="single" w:sz="4" w:space="0" w:color="000000"/>
            </w:tcBorders>
            <w:vAlign w:val="center"/>
          </w:tcPr>
          <w:p w14:paraId="58CB936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1.1.18</w:t>
            </w:r>
          </w:p>
        </w:tc>
        <w:tc>
          <w:tcPr>
            <w:tcW w:w="6629" w:type="dxa"/>
            <w:tcBorders>
              <w:left w:val="single" w:sz="4" w:space="0" w:color="000000"/>
              <w:bottom w:val="single" w:sz="4" w:space="0" w:color="000000"/>
            </w:tcBorders>
            <w:vAlign w:val="center"/>
          </w:tcPr>
          <w:p w14:paraId="14E1DA0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Procuradoria</w:t>
            </w:r>
          </w:p>
        </w:tc>
        <w:tc>
          <w:tcPr>
            <w:tcW w:w="1559" w:type="dxa"/>
            <w:tcBorders>
              <w:left w:val="single" w:sz="4" w:space="0" w:color="000000"/>
              <w:bottom w:val="single" w:sz="4" w:space="0" w:color="000000"/>
              <w:right w:val="single" w:sz="4" w:space="0" w:color="000000"/>
            </w:tcBorders>
            <w:vAlign w:val="center"/>
          </w:tcPr>
          <w:p w14:paraId="37767764"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7EB7E518" w14:textId="77777777" w:rsidTr="00B307DB">
        <w:trPr>
          <w:trHeight w:val="102"/>
        </w:trPr>
        <w:tc>
          <w:tcPr>
            <w:tcW w:w="884" w:type="dxa"/>
            <w:tcBorders>
              <w:left w:val="single" w:sz="4" w:space="0" w:color="000000"/>
              <w:bottom w:val="single" w:sz="4" w:space="0" w:color="000000"/>
            </w:tcBorders>
            <w:vAlign w:val="center"/>
          </w:tcPr>
          <w:p w14:paraId="6170892E"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1.1.19</w:t>
            </w:r>
          </w:p>
        </w:tc>
        <w:tc>
          <w:tcPr>
            <w:tcW w:w="6629" w:type="dxa"/>
            <w:tcBorders>
              <w:left w:val="single" w:sz="4" w:space="0" w:color="000000"/>
              <w:bottom w:val="single" w:sz="4" w:space="0" w:color="000000"/>
            </w:tcBorders>
            <w:vAlign w:val="center"/>
          </w:tcPr>
          <w:p w14:paraId="354B869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Obras e Posturas</w:t>
            </w:r>
          </w:p>
        </w:tc>
        <w:tc>
          <w:tcPr>
            <w:tcW w:w="1559" w:type="dxa"/>
            <w:tcBorders>
              <w:left w:val="single" w:sz="4" w:space="0" w:color="000000"/>
              <w:bottom w:val="single" w:sz="4" w:space="0" w:color="000000"/>
              <w:right w:val="single" w:sz="4" w:space="0" w:color="000000"/>
            </w:tcBorders>
            <w:vAlign w:val="center"/>
          </w:tcPr>
          <w:p w14:paraId="2D786498"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13F2811D" w14:textId="77777777" w:rsidTr="00B307DB">
        <w:trPr>
          <w:trHeight w:val="23"/>
        </w:trPr>
        <w:tc>
          <w:tcPr>
            <w:tcW w:w="884" w:type="dxa"/>
            <w:tcBorders>
              <w:left w:val="single" w:sz="4" w:space="0" w:color="000000"/>
              <w:bottom w:val="single" w:sz="4" w:space="0" w:color="000000"/>
            </w:tcBorders>
            <w:vAlign w:val="center"/>
          </w:tcPr>
          <w:p w14:paraId="6FDCCDA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1.1.20</w:t>
            </w:r>
          </w:p>
        </w:tc>
        <w:tc>
          <w:tcPr>
            <w:tcW w:w="6629" w:type="dxa"/>
            <w:tcBorders>
              <w:left w:val="single" w:sz="4" w:space="0" w:color="000000"/>
              <w:bottom w:val="single" w:sz="4" w:space="0" w:color="000000"/>
            </w:tcBorders>
            <w:vAlign w:val="center"/>
          </w:tcPr>
          <w:p w14:paraId="04CAEE0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Protocolo e Processo Digital</w:t>
            </w:r>
          </w:p>
        </w:tc>
        <w:tc>
          <w:tcPr>
            <w:tcW w:w="1559" w:type="dxa"/>
            <w:tcBorders>
              <w:left w:val="single" w:sz="4" w:space="0" w:color="000000"/>
              <w:bottom w:val="single" w:sz="4" w:space="0" w:color="000000"/>
              <w:right w:val="single" w:sz="4" w:space="0" w:color="000000"/>
            </w:tcBorders>
            <w:vAlign w:val="center"/>
          </w:tcPr>
          <w:p w14:paraId="7819E1A5"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57E75AFB" w14:textId="77777777" w:rsidTr="00B307DB">
        <w:trPr>
          <w:trHeight w:val="84"/>
        </w:trPr>
        <w:tc>
          <w:tcPr>
            <w:tcW w:w="884" w:type="dxa"/>
            <w:tcBorders>
              <w:left w:val="single" w:sz="4" w:space="0" w:color="000000"/>
              <w:bottom w:val="single" w:sz="4" w:space="0" w:color="000000"/>
            </w:tcBorders>
            <w:vAlign w:val="center"/>
          </w:tcPr>
          <w:p w14:paraId="594FE6E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1.1.21</w:t>
            </w:r>
          </w:p>
        </w:tc>
        <w:tc>
          <w:tcPr>
            <w:tcW w:w="6629" w:type="dxa"/>
            <w:tcBorders>
              <w:left w:val="single" w:sz="4" w:space="0" w:color="000000"/>
              <w:bottom w:val="single" w:sz="4" w:space="0" w:color="000000"/>
            </w:tcBorders>
            <w:vAlign w:val="center"/>
          </w:tcPr>
          <w:p w14:paraId="695A6D6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APP</w:t>
            </w:r>
          </w:p>
        </w:tc>
        <w:tc>
          <w:tcPr>
            <w:tcW w:w="1559" w:type="dxa"/>
            <w:tcBorders>
              <w:left w:val="single" w:sz="4" w:space="0" w:color="000000"/>
              <w:bottom w:val="single" w:sz="4" w:space="0" w:color="000000"/>
              <w:right w:val="single" w:sz="4" w:space="0" w:color="000000"/>
            </w:tcBorders>
            <w:vAlign w:val="center"/>
          </w:tcPr>
          <w:p w14:paraId="4D23224A"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3</w:t>
            </w:r>
          </w:p>
        </w:tc>
      </w:tr>
      <w:tr w:rsidR="00B307DB" w:rsidRPr="00B84389" w14:paraId="1D2F4DE2" w14:textId="77777777" w:rsidTr="00B307DB">
        <w:trPr>
          <w:trHeight w:val="146"/>
        </w:trPr>
        <w:tc>
          <w:tcPr>
            <w:tcW w:w="884" w:type="dxa"/>
            <w:tcBorders>
              <w:left w:val="single" w:sz="4" w:space="0" w:color="000000"/>
              <w:bottom w:val="single" w:sz="4" w:space="0" w:color="000000"/>
            </w:tcBorders>
            <w:vAlign w:val="center"/>
          </w:tcPr>
          <w:p w14:paraId="619A30D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1.1.22</w:t>
            </w:r>
          </w:p>
        </w:tc>
        <w:tc>
          <w:tcPr>
            <w:tcW w:w="6629" w:type="dxa"/>
            <w:tcBorders>
              <w:left w:val="single" w:sz="4" w:space="0" w:color="000000"/>
              <w:bottom w:val="single" w:sz="4" w:space="0" w:color="000000"/>
            </w:tcBorders>
            <w:vAlign w:val="center"/>
          </w:tcPr>
          <w:p w14:paraId="734F8F66"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e-Comunica</w:t>
            </w:r>
          </w:p>
        </w:tc>
        <w:tc>
          <w:tcPr>
            <w:tcW w:w="1559" w:type="dxa"/>
            <w:tcBorders>
              <w:left w:val="single" w:sz="4" w:space="0" w:color="000000"/>
              <w:bottom w:val="single" w:sz="4" w:space="0" w:color="000000"/>
              <w:right w:val="single" w:sz="4" w:space="0" w:color="000000"/>
            </w:tcBorders>
            <w:vAlign w:val="center"/>
          </w:tcPr>
          <w:p w14:paraId="4E3D3537"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3</w:t>
            </w:r>
          </w:p>
        </w:tc>
      </w:tr>
      <w:tr w:rsidR="00B307DB" w:rsidRPr="00B84389" w14:paraId="6C3D7C44" w14:textId="77777777" w:rsidTr="00B307DB">
        <w:trPr>
          <w:trHeight w:val="209"/>
        </w:trPr>
        <w:tc>
          <w:tcPr>
            <w:tcW w:w="884" w:type="dxa"/>
            <w:tcBorders>
              <w:left w:val="single" w:sz="4" w:space="0" w:color="000000"/>
              <w:bottom w:val="single" w:sz="4" w:space="0" w:color="000000"/>
            </w:tcBorders>
            <w:vAlign w:val="center"/>
          </w:tcPr>
          <w:p w14:paraId="3ACB94D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1.1.23</w:t>
            </w:r>
          </w:p>
        </w:tc>
        <w:tc>
          <w:tcPr>
            <w:tcW w:w="6629" w:type="dxa"/>
            <w:tcBorders>
              <w:left w:val="single" w:sz="4" w:space="0" w:color="000000"/>
              <w:bottom w:val="single" w:sz="4" w:space="0" w:color="000000"/>
            </w:tcBorders>
            <w:vAlign w:val="center"/>
          </w:tcPr>
          <w:p w14:paraId="2F19EFB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Portal de Autoatendimento</w:t>
            </w:r>
          </w:p>
        </w:tc>
        <w:tc>
          <w:tcPr>
            <w:tcW w:w="1559" w:type="dxa"/>
            <w:tcBorders>
              <w:left w:val="single" w:sz="4" w:space="0" w:color="000000"/>
              <w:bottom w:val="single" w:sz="4" w:space="0" w:color="000000"/>
              <w:right w:val="single" w:sz="4" w:space="0" w:color="000000"/>
            </w:tcBorders>
            <w:vAlign w:val="center"/>
          </w:tcPr>
          <w:p w14:paraId="110E4A1A"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25C9C203" w14:textId="77777777" w:rsidTr="00B307DB">
        <w:trPr>
          <w:trHeight w:val="128"/>
        </w:trPr>
        <w:tc>
          <w:tcPr>
            <w:tcW w:w="884" w:type="dxa"/>
            <w:tcBorders>
              <w:left w:val="single" w:sz="4" w:space="0" w:color="000000"/>
              <w:bottom w:val="single" w:sz="4" w:space="0" w:color="000000"/>
            </w:tcBorders>
            <w:vAlign w:val="center"/>
          </w:tcPr>
          <w:p w14:paraId="0DD53F1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1.1.24</w:t>
            </w:r>
          </w:p>
        </w:tc>
        <w:tc>
          <w:tcPr>
            <w:tcW w:w="6629" w:type="dxa"/>
            <w:tcBorders>
              <w:left w:val="single" w:sz="4" w:space="0" w:color="000000"/>
              <w:bottom w:val="single" w:sz="4" w:space="0" w:color="000000"/>
            </w:tcBorders>
            <w:vAlign w:val="center"/>
          </w:tcPr>
          <w:p w14:paraId="48E1BE34"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Portal da Transparência</w:t>
            </w:r>
          </w:p>
        </w:tc>
        <w:tc>
          <w:tcPr>
            <w:tcW w:w="1559" w:type="dxa"/>
            <w:tcBorders>
              <w:left w:val="single" w:sz="4" w:space="0" w:color="000000"/>
              <w:bottom w:val="single" w:sz="4" w:space="0" w:color="000000"/>
              <w:right w:val="single" w:sz="4" w:space="0" w:color="000000"/>
            </w:tcBorders>
            <w:vAlign w:val="center"/>
          </w:tcPr>
          <w:p w14:paraId="174AA5DD"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67005B34" w14:textId="77777777" w:rsidTr="00B307DB">
        <w:trPr>
          <w:trHeight w:val="48"/>
        </w:trPr>
        <w:tc>
          <w:tcPr>
            <w:tcW w:w="884" w:type="dxa"/>
            <w:tcBorders>
              <w:left w:val="single" w:sz="4" w:space="0" w:color="000000"/>
              <w:bottom w:val="single" w:sz="4" w:space="0" w:color="000000"/>
            </w:tcBorders>
            <w:vAlign w:val="center"/>
          </w:tcPr>
          <w:p w14:paraId="4824C5CE"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1.1.25</w:t>
            </w:r>
          </w:p>
        </w:tc>
        <w:tc>
          <w:tcPr>
            <w:tcW w:w="6629" w:type="dxa"/>
            <w:tcBorders>
              <w:left w:val="single" w:sz="4" w:space="0" w:color="000000"/>
              <w:bottom w:val="single" w:sz="4" w:space="0" w:color="000000"/>
            </w:tcBorders>
            <w:vAlign w:val="center"/>
          </w:tcPr>
          <w:p w14:paraId="45C54C1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Portal institucional</w:t>
            </w:r>
          </w:p>
        </w:tc>
        <w:tc>
          <w:tcPr>
            <w:tcW w:w="1559" w:type="dxa"/>
            <w:tcBorders>
              <w:left w:val="single" w:sz="4" w:space="0" w:color="000000"/>
              <w:bottom w:val="single" w:sz="4" w:space="0" w:color="000000"/>
              <w:right w:val="single" w:sz="4" w:space="0" w:color="000000"/>
            </w:tcBorders>
            <w:vAlign w:val="center"/>
          </w:tcPr>
          <w:p w14:paraId="3D043F62"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4D6CCF15" w14:textId="77777777" w:rsidTr="00B307DB">
        <w:trPr>
          <w:trHeight w:val="110"/>
        </w:trPr>
        <w:tc>
          <w:tcPr>
            <w:tcW w:w="884" w:type="dxa"/>
            <w:tcBorders>
              <w:left w:val="single" w:sz="4" w:space="0" w:color="000000"/>
              <w:bottom w:val="single" w:sz="4" w:space="0" w:color="000000"/>
            </w:tcBorders>
            <w:vAlign w:val="center"/>
          </w:tcPr>
          <w:p w14:paraId="13B7DA7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1.1.26</w:t>
            </w:r>
          </w:p>
        </w:tc>
        <w:tc>
          <w:tcPr>
            <w:tcW w:w="6629" w:type="dxa"/>
            <w:tcBorders>
              <w:left w:val="single" w:sz="4" w:space="0" w:color="000000"/>
              <w:bottom w:val="single" w:sz="4" w:space="0" w:color="000000"/>
            </w:tcBorders>
            <w:vAlign w:val="center"/>
          </w:tcPr>
          <w:p w14:paraId="0F44FBB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Nota Fiscal Eletrônica</w:t>
            </w:r>
          </w:p>
        </w:tc>
        <w:tc>
          <w:tcPr>
            <w:tcW w:w="1559" w:type="dxa"/>
            <w:tcBorders>
              <w:left w:val="single" w:sz="4" w:space="0" w:color="000000"/>
              <w:bottom w:val="single" w:sz="4" w:space="0" w:color="000000"/>
              <w:right w:val="single" w:sz="4" w:space="0" w:color="000000"/>
            </w:tcBorders>
            <w:vAlign w:val="center"/>
          </w:tcPr>
          <w:p w14:paraId="647A932B"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0FA0D9FE" w14:textId="77777777" w:rsidTr="00B307DB">
        <w:trPr>
          <w:trHeight w:val="172"/>
        </w:trPr>
        <w:tc>
          <w:tcPr>
            <w:tcW w:w="884" w:type="dxa"/>
            <w:tcBorders>
              <w:left w:val="single" w:sz="4" w:space="0" w:color="000000"/>
              <w:bottom w:val="single" w:sz="4" w:space="0" w:color="000000"/>
            </w:tcBorders>
            <w:vAlign w:val="center"/>
          </w:tcPr>
          <w:p w14:paraId="6251392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1.1.27</w:t>
            </w:r>
          </w:p>
        </w:tc>
        <w:tc>
          <w:tcPr>
            <w:tcW w:w="6629" w:type="dxa"/>
            <w:tcBorders>
              <w:left w:val="single" w:sz="4" w:space="0" w:color="000000"/>
              <w:bottom w:val="single" w:sz="4" w:space="0" w:color="000000"/>
            </w:tcBorders>
            <w:vAlign w:val="center"/>
          </w:tcPr>
          <w:p w14:paraId="6109CBC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Escrita Fiscal</w:t>
            </w:r>
          </w:p>
        </w:tc>
        <w:tc>
          <w:tcPr>
            <w:tcW w:w="1559" w:type="dxa"/>
            <w:tcBorders>
              <w:left w:val="single" w:sz="4" w:space="0" w:color="000000"/>
              <w:bottom w:val="single" w:sz="4" w:space="0" w:color="000000"/>
              <w:right w:val="single" w:sz="4" w:space="0" w:color="000000"/>
            </w:tcBorders>
            <w:vAlign w:val="center"/>
          </w:tcPr>
          <w:p w14:paraId="4FDA955C"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059F778F" w14:textId="77777777" w:rsidTr="00B307DB">
        <w:trPr>
          <w:trHeight w:val="92"/>
        </w:trPr>
        <w:tc>
          <w:tcPr>
            <w:tcW w:w="884" w:type="dxa"/>
            <w:tcBorders>
              <w:left w:val="single" w:sz="4" w:space="0" w:color="000000"/>
              <w:bottom w:val="single" w:sz="4" w:space="0" w:color="000000"/>
            </w:tcBorders>
            <w:vAlign w:val="center"/>
          </w:tcPr>
          <w:p w14:paraId="28D7AA82"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1.1.28</w:t>
            </w:r>
          </w:p>
        </w:tc>
        <w:tc>
          <w:tcPr>
            <w:tcW w:w="6629" w:type="dxa"/>
            <w:tcBorders>
              <w:left w:val="single" w:sz="4" w:space="0" w:color="000000"/>
              <w:bottom w:val="single" w:sz="4" w:space="0" w:color="000000"/>
            </w:tcBorders>
            <w:vAlign w:val="center"/>
          </w:tcPr>
          <w:p w14:paraId="74B510C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Simples Nacional</w:t>
            </w:r>
          </w:p>
        </w:tc>
        <w:tc>
          <w:tcPr>
            <w:tcW w:w="1559" w:type="dxa"/>
            <w:tcBorders>
              <w:left w:val="single" w:sz="4" w:space="0" w:color="000000"/>
              <w:bottom w:val="single" w:sz="4" w:space="0" w:color="000000"/>
              <w:right w:val="single" w:sz="4" w:space="0" w:color="000000"/>
            </w:tcBorders>
            <w:vAlign w:val="center"/>
          </w:tcPr>
          <w:p w14:paraId="615143B6"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6687BAAB" w14:textId="77777777" w:rsidTr="00B307DB">
        <w:trPr>
          <w:trHeight w:val="154"/>
        </w:trPr>
        <w:tc>
          <w:tcPr>
            <w:tcW w:w="884" w:type="dxa"/>
            <w:tcBorders>
              <w:left w:val="single" w:sz="4" w:space="0" w:color="000000"/>
              <w:bottom w:val="single" w:sz="4" w:space="0" w:color="000000"/>
            </w:tcBorders>
            <w:vAlign w:val="center"/>
          </w:tcPr>
          <w:p w14:paraId="51BA65A4"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1.1.29</w:t>
            </w:r>
          </w:p>
        </w:tc>
        <w:tc>
          <w:tcPr>
            <w:tcW w:w="6629" w:type="dxa"/>
            <w:tcBorders>
              <w:left w:val="single" w:sz="4" w:space="0" w:color="000000"/>
              <w:bottom w:val="single" w:sz="4" w:space="0" w:color="000000"/>
            </w:tcBorders>
            <w:vAlign w:val="center"/>
          </w:tcPr>
          <w:p w14:paraId="76DA235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Fiscalização fazendária</w:t>
            </w:r>
          </w:p>
        </w:tc>
        <w:tc>
          <w:tcPr>
            <w:tcW w:w="1559" w:type="dxa"/>
            <w:tcBorders>
              <w:left w:val="single" w:sz="4" w:space="0" w:color="000000"/>
              <w:bottom w:val="single" w:sz="4" w:space="0" w:color="000000"/>
              <w:right w:val="single" w:sz="4" w:space="0" w:color="000000"/>
            </w:tcBorders>
            <w:vAlign w:val="center"/>
          </w:tcPr>
          <w:p w14:paraId="298B7802"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5</w:t>
            </w:r>
          </w:p>
        </w:tc>
      </w:tr>
      <w:tr w:rsidR="00B307DB" w:rsidRPr="00B84389" w14:paraId="4CC78887" w14:textId="77777777" w:rsidTr="00B307DB">
        <w:trPr>
          <w:trHeight w:val="216"/>
        </w:trPr>
        <w:tc>
          <w:tcPr>
            <w:tcW w:w="884" w:type="dxa"/>
            <w:tcBorders>
              <w:left w:val="single" w:sz="4" w:space="0" w:color="000000"/>
              <w:bottom w:val="single" w:sz="4" w:space="0" w:color="000000"/>
            </w:tcBorders>
            <w:vAlign w:val="center"/>
          </w:tcPr>
          <w:p w14:paraId="00111914"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1.1.30</w:t>
            </w:r>
          </w:p>
        </w:tc>
        <w:tc>
          <w:tcPr>
            <w:tcW w:w="6629" w:type="dxa"/>
            <w:tcBorders>
              <w:left w:val="single" w:sz="4" w:space="0" w:color="000000"/>
              <w:bottom w:val="single" w:sz="4" w:space="0" w:color="000000"/>
            </w:tcBorders>
            <w:vAlign w:val="center"/>
          </w:tcPr>
          <w:p w14:paraId="2AFBB76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Agricultura</w:t>
            </w:r>
          </w:p>
        </w:tc>
        <w:tc>
          <w:tcPr>
            <w:tcW w:w="1559" w:type="dxa"/>
            <w:tcBorders>
              <w:left w:val="single" w:sz="4" w:space="0" w:color="000000"/>
              <w:bottom w:val="single" w:sz="4" w:space="0" w:color="000000"/>
              <w:right w:val="single" w:sz="4" w:space="0" w:color="000000"/>
            </w:tcBorders>
            <w:vAlign w:val="center"/>
          </w:tcPr>
          <w:p w14:paraId="15B7F1E5" w14:textId="77777777" w:rsidR="00B307DB" w:rsidRPr="00B84389" w:rsidRDefault="00B307DB" w:rsidP="00B307DB">
            <w:pPr>
              <w:spacing w:after="0" w:line="240" w:lineRule="auto"/>
              <w:jc w:val="center"/>
              <w:rPr>
                <w:rFonts w:ascii="Times New Roman" w:hAnsi="Times New Roman" w:cs="Times New Roman"/>
              </w:rPr>
            </w:pPr>
            <w:r w:rsidRPr="00B84389">
              <w:rPr>
                <w:rFonts w:ascii="Times New Roman" w:hAnsi="Times New Roman" w:cs="Times New Roman"/>
              </w:rPr>
              <w:t>10</w:t>
            </w:r>
          </w:p>
        </w:tc>
      </w:tr>
      <w:tr w:rsidR="00B307DB" w:rsidRPr="00B84389" w14:paraId="05176571" w14:textId="77777777" w:rsidTr="00B307DB">
        <w:trPr>
          <w:trHeight w:val="278"/>
        </w:trPr>
        <w:tc>
          <w:tcPr>
            <w:tcW w:w="884" w:type="dxa"/>
            <w:tcBorders>
              <w:left w:val="single" w:sz="4" w:space="0" w:color="000000"/>
              <w:bottom w:val="single" w:sz="4" w:space="0" w:color="000000"/>
            </w:tcBorders>
            <w:vAlign w:val="center"/>
          </w:tcPr>
          <w:p w14:paraId="1DCD6E93" w14:textId="77777777" w:rsidR="00B307DB" w:rsidRPr="00B84389" w:rsidRDefault="00B307DB" w:rsidP="00B307D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6D17B47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1.1</w:t>
            </w:r>
          </w:p>
        </w:tc>
        <w:tc>
          <w:tcPr>
            <w:tcW w:w="1559" w:type="dxa"/>
            <w:tcBorders>
              <w:left w:val="single" w:sz="4" w:space="0" w:color="000000"/>
              <w:bottom w:val="single" w:sz="4" w:space="0" w:color="000000"/>
              <w:right w:val="single" w:sz="4" w:space="0" w:color="000000"/>
            </w:tcBorders>
            <w:vAlign w:val="center"/>
          </w:tcPr>
          <w:p w14:paraId="41737334" w14:textId="77777777" w:rsidR="00B307DB" w:rsidRPr="00B84389" w:rsidRDefault="00B307DB" w:rsidP="00B307DB">
            <w:pPr>
              <w:spacing w:after="0" w:line="240" w:lineRule="auto"/>
              <w:jc w:val="center"/>
              <w:rPr>
                <w:rFonts w:ascii="Times New Roman" w:hAnsi="Times New Roman" w:cs="Times New Roman"/>
                <w:b/>
              </w:rPr>
            </w:pPr>
            <w:r w:rsidRPr="00B84389">
              <w:rPr>
                <w:rFonts w:ascii="Times New Roman" w:hAnsi="Times New Roman" w:cs="Times New Roman"/>
                <w:b/>
              </w:rPr>
              <w:t>169</w:t>
            </w:r>
          </w:p>
        </w:tc>
      </w:tr>
      <w:tr w:rsidR="00B307DB" w:rsidRPr="00B84389" w14:paraId="35E31D4C" w14:textId="77777777" w:rsidTr="00B307DB">
        <w:trPr>
          <w:trHeight w:val="184"/>
        </w:trPr>
        <w:tc>
          <w:tcPr>
            <w:tcW w:w="884" w:type="dxa"/>
            <w:tcBorders>
              <w:left w:val="single" w:sz="4" w:space="0" w:color="000000"/>
              <w:bottom w:val="single" w:sz="4" w:space="0" w:color="000000"/>
            </w:tcBorders>
            <w:vAlign w:val="center"/>
          </w:tcPr>
          <w:p w14:paraId="6D9B4177"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1.2</w:t>
            </w:r>
          </w:p>
        </w:tc>
        <w:tc>
          <w:tcPr>
            <w:tcW w:w="8188" w:type="dxa"/>
            <w:gridSpan w:val="2"/>
            <w:tcBorders>
              <w:left w:val="single" w:sz="4" w:space="0" w:color="000000"/>
              <w:bottom w:val="single" w:sz="4" w:space="0" w:color="000000"/>
              <w:right w:val="single" w:sz="4" w:space="0" w:color="000000"/>
            </w:tcBorders>
            <w:vAlign w:val="center"/>
          </w:tcPr>
          <w:p w14:paraId="782B72E1" w14:textId="77777777" w:rsidR="00B307DB" w:rsidRPr="00B84389" w:rsidRDefault="00B307DB" w:rsidP="00B307D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DO FUNDO MUNICIPAL DE SAÚDE DE RIQUEZA</w:t>
            </w:r>
          </w:p>
        </w:tc>
      </w:tr>
      <w:tr w:rsidR="00B307DB" w:rsidRPr="00B84389" w14:paraId="386322C7" w14:textId="77777777" w:rsidTr="00B307DB">
        <w:trPr>
          <w:trHeight w:val="276"/>
        </w:trPr>
        <w:tc>
          <w:tcPr>
            <w:tcW w:w="884" w:type="dxa"/>
            <w:tcBorders>
              <w:left w:val="single" w:sz="4" w:space="0" w:color="000000"/>
              <w:bottom w:val="single" w:sz="4" w:space="0" w:color="000000"/>
            </w:tcBorders>
            <w:vAlign w:val="center"/>
          </w:tcPr>
          <w:p w14:paraId="64E7B45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1.2.1</w:t>
            </w:r>
          </w:p>
        </w:tc>
        <w:tc>
          <w:tcPr>
            <w:tcW w:w="6629" w:type="dxa"/>
            <w:tcBorders>
              <w:left w:val="single" w:sz="4" w:space="0" w:color="000000"/>
              <w:bottom w:val="single" w:sz="4" w:space="0" w:color="000000"/>
            </w:tcBorders>
            <w:vAlign w:val="center"/>
          </w:tcPr>
          <w:p w14:paraId="27FD5AB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Planejamento e orçamento</w:t>
            </w:r>
          </w:p>
        </w:tc>
        <w:tc>
          <w:tcPr>
            <w:tcW w:w="1559" w:type="dxa"/>
            <w:tcBorders>
              <w:left w:val="single" w:sz="4" w:space="0" w:color="000000"/>
              <w:bottom w:val="single" w:sz="4" w:space="0" w:color="000000"/>
              <w:right w:val="single" w:sz="4" w:space="0" w:color="000000"/>
            </w:tcBorders>
            <w:vAlign w:val="center"/>
          </w:tcPr>
          <w:p w14:paraId="3D8F2AA0"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B307DB" w:rsidRPr="00B84389" w14:paraId="56DF7A73" w14:textId="77777777" w:rsidTr="00B307DB">
        <w:trPr>
          <w:trHeight w:val="241"/>
        </w:trPr>
        <w:tc>
          <w:tcPr>
            <w:tcW w:w="884" w:type="dxa"/>
            <w:tcBorders>
              <w:left w:val="single" w:sz="4" w:space="0" w:color="000000"/>
              <w:bottom w:val="single" w:sz="4" w:space="0" w:color="000000"/>
            </w:tcBorders>
            <w:vAlign w:val="center"/>
          </w:tcPr>
          <w:p w14:paraId="4E3A004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1.2.2</w:t>
            </w:r>
          </w:p>
        </w:tc>
        <w:tc>
          <w:tcPr>
            <w:tcW w:w="6629" w:type="dxa"/>
            <w:tcBorders>
              <w:left w:val="single" w:sz="4" w:space="0" w:color="000000"/>
              <w:bottom w:val="single" w:sz="4" w:space="0" w:color="000000"/>
            </w:tcBorders>
            <w:vAlign w:val="center"/>
          </w:tcPr>
          <w:p w14:paraId="2229E21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Gestão contábil e financeira</w:t>
            </w:r>
          </w:p>
        </w:tc>
        <w:tc>
          <w:tcPr>
            <w:tcW w:w="1559" w:type="dxa"/>
            <w:tcBorders>
              <w:left w:val="single" w:sz="4" w:space="0" w:color="000000"/>
              <w:bottom w:val="single" w:sz="4" w:space="0" w:color="000000"/>
              <w:right w:val="single" w:sz="4" w:space="0" w:color="000000"/>
            </w:tcBorders>
            <w:vAlign w:val="center"/>
          </w:tcPr>
          <w:p w14:paraId="3BD43419"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B307DB" w:rsidRPr="00B84389" w14:paraId="50D07C31" w14:textId="77777777" w:rsidTr="00B307DB">
        <w:trPr>
          <w:trHeight w:val="161"/>
        </w:trPr>
        <w:tc>
          <w:tcPr>
            <w:tcW w:w="884" w:type="dxa"/>
            <w:tcBorders>
              <w:left w:val="single" w:sz="4" w:space="0" w:color="000000"/>
              <w:bottom w:val="single" w:sz="4" w:space="0" w:color="000000"/>
            </w:tcBorders>
            <w:vAlign w:val="center"/>
          </w:tcPr>
          <w:p w14:paraId="56695FA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1.2.3</w:t>
            </w:r>
          </w:p>
        </w:tc>
        <w:tc>
          <w:tcPr>
            <w:tcW w:w="6629" w:type="dxa"/>
            <w:tcBorders>
              <w:left w:val="single" w:sz="4" w:space="0" w:color="000000"/>
              <w:bottom w:val="single" w:sz="4" w:space="0" w:color="000000"/>
            </w:tcBorders>
            <w:vAlign w:val="center"/>
          </w:tcPr>
          <w:p w14:paraId="238837C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Gestão de compras, licitações e contratos</w:t>
            </w:r>
          </w:p>
        </w:tc>
        <w:tc>
          <w:tcPr>
            <w:tcW w:w="1559" w:type="dxa"/>
            <w:tcBorders>
              <w:left w:val="single" w:sz="4" w:space="0" w:color="000000"/>
              <w:bottom w:val="single" w:sz="4" w:space="0" w:color="000000"/>
              <w:right w:val="single" w:sz="4" w:space="0" w:color="000000"/>
            </w:tcBorders>
            <w:vAlign w:val="center"/>
          </w:tcPr>
          <w:p w14:paraId="3BD0B585"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B307DB" w:rsidRPr="00B84389" w14:paraId="0011D586" w14:textId="77777777" w:rsidTr="00B307DB">
        <w:trPr>
          <w:trHeight w:val="223"/>
        </w:trPr>
        <w:tc>
          <w:tcPr>
            <w:tcW w:w="884" w:type="dxa"/>
            <w:tcBorders>
              <w:left w:val="single" w:sz="4" w:space="0" w:color="000000"/>
              <w:bottom w:val="single" w:sz="4" w:space="0" w:color="000000"/>
            </w:tcBorders>
            <w:vAlign w:val="center"/>
          </w:tcPr>
          <w:p w14:paraId="69394B9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1.2.4</w:t>
            </w:r>
          </w:p>
        </w:tc>
        <w:tc>
          <w:tcPr>
            <w:tcW w:w="6629" w:type="dxa"/>
            <w:tcBorders>
              <w:left w:val="single" w:sz="4" w:space="0" w:color="000000"/>
              <w:bottom w:val="single" w:sz="4" w:space="0" w:color="000000"/>
            </w:tcBorders>
            <w:vAlign w:val="center"/>
          </w:tcPr>
          <w:p w14:paraId="56153632"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Folha de pagamento</w:t>
            </w:r>
          </w:p>
        </w:tc>
        <w:tc>
          <w:tcPr>
            <w:tcW w:w="1559" w:type="dxa"/>
            <w:tcBorders>
              <w:left w:val="single" w:sz="4" w:space="0" w:color="000000"/>
              <w:bottom w:val="single" w:sz="4" w:space="0" w:color="000000"/>
              <w:right w:val="single" w:sz="4" w:space="0" w:color="000000"/>
            </w:tcBorders>
            <w:vAlign w:val="center"/>
          </w:tcPr>
          <w:p w14:paraId="06CCF64E"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B307DB" w:rsidRPr="00B84389" w14:paraId="4716A418" w14:textId="77777777" w:rsidTr="00B307DB">
        <w:trPr>
          <w:trHeight w:val="143"/>
        </w:trPr>
        <w:tc>
          <w:tcPr>
            <w:tcW w:w="884" w:type="dxa"/>
            <w:tcBorders>
              <w:left w:val="single" w:sz="4" w:space="0" w:color="000000"/>
              <w:bottom w:val="single" w:sz="4" w:space="0" w:color="000000"/>
            </w:tcBorders>
            <w:vAlign w:val="center"/>
          </w:tcPr>
          <w:p w14:paraId="4739183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1.2.5</w:t>
            </w:r>
          </w:p>
        </w:tc>
        <w:tc>
          <w:tcPr>
            <w:tcW w:w="6629" w:type="dxa"/>
            <w:tcBorders>
              <w:left w:val="single" w:sz="4" w:space="0" w:color="000000"/>
              <w:bottom w:val="single" w:sz="4" w:space="0" w:color="000000"/>
            </w:tcBorders>
            <w:vAlign w:val="center"/>
          </w:tcPr>
          <w:p w14:paraId="7463126E"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Segurança e medicina do trabalho</w:t>
            </w:r>
          </w:p>
        </w:tc>
        <w:tc>
          <w:tcPr>
            <w:tcW w:w="1559" w:type="dxa"/>
            <w:tcBorders>
              <w:left w:val="single" w:sz="4" w:space="0" w:color="000000"/>
              <w:bottom w:val="single" w:sz="4" w:space="0" w:color="000000"/>
              <w:right w:val="single" w:sz="4" w:space="0" w:color="000000"/>
            </w:tcBorders>
            <w:vAlign w:val="center"/>
          </w:tcPr>
          <w:p w14:paraId="17C6F7A1"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B307DB" w:rsidRPr="00B84389" w14:paraId="0CD1A569" w14:textId="77777777" w:rsidTr="00B307DB">
        <w:trPr>
          <w:trHeight w:val="204"/>
        </w:trPr>
        <w:tc>
          <w:tcPr>
            <w:tcW w:w="884" w:type="dxa"/>
            <w:tcBorders>
              <w:left w:val="single" w:sz="4" w:space="0" w:color="000000"/>
              <w:bottom w:val="single" w:sz="4" w:space="0" w:color="000000"/>
            </w:tcBorders>
            <w:vAlign w:val="center"/>
          </w:tcPr>
          <w:p w14:paraId="4AA206E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1.2.6</w:t>
            </w:r>
          </w:p>
        </w:tc>
        <w:tc>
          <w:tcPr>
            <w:tcW w:w="6629" w:type="dxa"/>
            <w:tcBorders>
              <w:left w:val="single" w:sz="4" w:space="0" w:color="000000"/>
              <w:bottom w:val="single" w:sz="4" w:space="0" w:color="000000"/>
            </w:tcBorders>
            <w:vAlign w:val="center"/>
          </w:tcPr>
          <w:p w14:paraId="44F0CCF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Ponto Eletrônico</w:t>
            </w:r>
          </w:p>
        </w:tc>
        <w:tc>
          <w:tcPr>
            <w:tcW w:w="1559" w:type="dxa"/>
            <w:tcBorders>
              <w:left w:val="single" w:sz="4" w:space="0" w:color="000000"/>
              <w:bottom w:val="single" w:sz="4" w:space="0" w:color="000000"/>
              <w:right w:val="single" w:sz="4" w:space="0" w:color="000000"/>
            </w:tcBorders>
            <w:vAlign w:val="center"/>
          </w:tcPr>
          <w:p w14:paraId="64F4579A"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10</w:t>
            </w:r>
          </w:p>
        </w:tc>
      </w:tr>
      <w:tr w:rsidR="00B307DB" w:rsidRPr="00B84389" w14:paraId="1F0F38C1" w14:textId="77777777" w:rsidTr="00B307DB">
        <w:trPr>
          <w:trHeight w:val="276"/>
        </w:trPr>
        <w:tc>
          <w:tcPr>
            <w:tcW w:w="884" w:type="dxa"/>
            <w:tcBorders>
              <w:left w:val="single" w:sz="4" w:space="0" w:color="000000"/>
              <w:bottom w:val="single" w:sz="4" w:space="0" w:color="000000"/>
            </w:tcBorders>
            <w:vAlign w:val="center"/>
          </w:tcPr>
          <w:p w14:paraId="61C3674A" w14:textId="77777777" w:rsidR="00B307DB" w:rsidRPr="00B84389" w:rsidRDefault="00B307DB" w:rsidP="00B307D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205E59E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1.2</w:t>
            </w:r>
          </w:p>
        </w:tc>
        <w:tc>
          <w:tcPr>
            <w:tcW w:w="1559" w:type="dxa"/>
            <w:tcBorders>
              <w:left w:val="single" w:sz="4" w:space="0" w:color="000000"/>
              <w:bottom w:val="single" w:sz="4" w:space="0" w:color="000000"/>
              <w:right w:val="single" w:sz="4" w:space="0" w:color="000000"/>
            </w:tcBorders>
            <w:vAlign w:val="center"/>
          </w:tcPr>
          <w:p w14:paraId="5EAC9CFB" w14:textId="77777777" w:rsidR="00B307DB" w:rsidRPr="00B84389" w:rsidRDefault="00B307DB" w:rsidP="00B307DB">
            <w:pPr>
              <w:spacing w:after="0" w:line="240" w:lineRule="auto"/>
              <w:ind w:right="-57"/>
              <w:jc w:val="center"/>
              <w:rPr>
                <w:rFonts w:ascii="Times New Roman" w:hAnsi="Times New Roman" w:cs="Times New Roman"/>
                <w:b/>
              </w:rPr>
            </w:pPr>
            <w:r w:rsidRPr="00B84389">
              <w:rPr>
                <w:rFonts w:ascii="Times New Roman" w:hAnsi="Times New Roman" w:cs="Times New Roman"/>
                <w:b/>
              </w:rPr>
              <w:t>70</w:t>
            </w:r>
          </w:p>
        </w:tc>
      </w:tr>
      <w:tr w:rsidR="00B307DB" w:rsidRPr="00B84389" w14:paraId="273A7585" w14:textId="77777777" w:rsidTr="00B307DB">
        <w:trPr>
          <w:trHeight w:val="276"/>
        </w:trPr>
        <w:tc>
          <w:tcPr>
            <w:tcW w:w="884" w:type="dxa"/>
            <w:tcBorders>
              <w:left w:val="single" w:sz="4" w:space="0" w:color="000000"/>
              <w:bottom w:val="single" w:sz="4" w:space="0" w:color="000000"/>
            </w:tcBorders>
            <w:vAlign w:val="center"/>
          </w:tcPr>
          <w:p w14:paraId="2601095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1.3</w:t>
            </w:r>
          </w:p>
        </w:tc>
        <w:tc>
          <w:tcPr>
            <w:tcW w:w="8188" w:type="dxa"/>
            <w:gridSpan w:val="2"/>
            <w:tcBorders>
              <w:left w:val="single" w:sz="4" w:space="0" w:color="000000"/>
              <w:bottom w:val="single" w:sz="4" w:space="0" w:color="000000"/>
              <w:right w:val="single" w:sz="4" w:space="0" w:color="000000"/>
            </w:tcBorders>
            <w:vAlign w:val="center"/>
          </w:tcPr>
          <w:p w14:paraId="10D06EE1" w14:textId="77777777" w:rsidR="00B307DB" w:rsidRPr="00B84389" w:rsidRDefault="00B307DB" w:rsidP="00B307D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DA CÂMARA MUNICIPAL DE RIQUEZA</w:t>
            </w:r>
          </w:p>
        </w:tc>
      </w:tr>
      <w:tr w:rsidR="00B307DB" w:rsidRPr="00B84389" w14:paraId="12BECA9A" w14:textId="77777777" w:rsidTr="00B307DB">
        <w:trPr>
          <w:trHeight w:val="254"/>
        </w:trPr>
        <w:tc>
          <w:tcPr>
            <w:tcW w:w="884" w:type="dxa"/>
            <w:tcBorders>
              <w:left w:val="single" w:sz="4" w:space="0" w:color="000000"/>
              <w:bottom w:val="single" w:sz="4" w:space="0" w:color="000000"/>
            </w:tcBorders>
            <w:vAlign w:val="center"/>
          </w:tcPr>
          <w:p w14:paraId="08BB499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1.3.1</w:t>
            </w:r>
          </w:p>
        </w:tc>
        <w:tc>
          <w:tcPr>
            <w:tcW w:w="6629" w:type="dxa"/>
            <w:tcBorders>
              <w:left w:val="single" w:sz="4" w:space="0" w:color="000000"/>
              <w:bottom w:val="single" w:sz="4" w:space="0" w:color="000000"/>
            </w:tcBorders>
            <w:vAlign w:val="center"/>
          </w:tcPr>
          <w:p w14:paraId="1403946E"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Planejamento e orçamento</w:t>
            </w:r>
          </w:p>
        </w:tc>
        <w:tc>
          <w:tcPr>
            <w:tcW w:w="1559" w:type="dxa"/>
            <w:tcBorders>
              <w:left w:val="single" w:sz="4" w:space="0" w:color="000000"/>
              <w:bottom w:val="single" w:sz="4" w:space="0" w:color="000000"/>
              <w:right w:val="single" w:sz="4" w:space="0" w:color="000000"/>
            </w:tcBorders>
            <w:vAlign w:val="center"/>
          </w:tcPr>
          <w:p w14:paraId="6862009F"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B307DB" w:rsidRPr="00B84389" w14:paraId="1B3E933A" w14:textId="77777777" w:rsidTr="00B307DB">
        <w:trPr>
          <w:trHeight w:val="174"/>
        </w:trPr>
        <w:tc>
          <w:tcPr>
            <w:tcW w:w="884" w:type="dxa"/>
            <w:tcBorders>
              <w:left w:val="single" w:sz="4" w:space="0" w:color="000000"/>
              <w:bottom w:val="single" w:sz="4" w:space="0" w:color="000000"/>
            </w:tcBorders>
            <w:vAlign w:val="center"/>
          </w:tcPr>
          <w:p w14:paraId="3C6F2C92"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1.3.2</w:t>
            </w:r>
          </w:p>
        </w:tc>
        <w:tc>
          <w:tcPr>
            <w:tcW w:w="6629" w:type="dxa"/>
            <w:tcBorders>
              <w:left w:val="single" w:sz="4" w:space="0" w:color="000000"/>
              <w:bottom w:val="single" w:sz="4" w:space="0" w:color="000000"/>
            </w:tcBorders>
            <w:vAlign w:val="center"/>
          </w:tcPr>
          <w:p w14:paraId="100DA07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Gestão contábil e financeira</w:t>
            </w:r>
          </w:p>
        </w:tc>
        <w:tc>
          <w:tcPr>
            <w:tcW w:w="1559" w:type="dxa"/>
            <w:tcBorders>
              <w:left w:val="single" w:sz="4" w:space="0" w:color="000000"/>
              <w:bottom w:val="single" w:sz="4" w:space="0" w:color="000000"/>
              <w:right w:val="single" w:sz="4" w:space="0" w:color="000000"/>
            </w:tcBorders>
            <w:vAlign w:val="center"/>
          </w:tcPr>
          <w:p w14:paraId="75D22E13"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B307DB" w:rsidRPr="00B84389" w14:paraId="7601E670" w14:textId="77777777" w:rsidTr="00B307DB">
        <w:trPr>
          <w:trHeight w:val="222"/>
        </w:trPr>
        <w:tc>
          <w:tcPr>
            <w:tcW w:w="884" w:type="dxa"/>
            <w:tcBorders>
              <w:left w:val="single" w:sz="4" w:space="0" w:color="000000"/>
              <w:bottom w:val="single" w:sz="4" w:space="0" w:color="000000"/>
            </w:tcBorders>
            <w:vAlign w:val="center"/>
          </w:tcPr>
          <w:p w14:paraId="4AA2E984"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1.3.3</w:t>
            </w:r>
          </w:p>
        </w:tc>
        <w:tc>
          <w:tcPr>
            <w:tcW w:w="6629" w:type="dxa"/>
            <w:tcBorders>
              <w:left w:val="single" w:sz="4" w:space="0" w:color="000000"/>
              <w:bottom w:val="single" w:sz="4" w:space="0" w:color="000000"/>
            </w:tcBorders>
            <w:vAlign w:val="center"/>
          </w:tcPr>
          <w:p w14:paraId="66E557C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Controle interno</w:t>
            </w:r>
          </w:p>
        </w:tc>
        <w:tc>
          <w:tcPr>
            <w:tcW w:w="1559" w:type="dxa"/>
            <w:tcBorders>
              <w:left w:val="single" w:sz="4" w:space="0" w:color="000000"/>
              <w:bottom w:val="single" w:sz="4" w:space="0" w:color="000000"/>
              <w:right w:val="single" w:sz="4" w:space="0" w:color="000000"/>
            </w:tcBorders>
            <w:vAlign w:val="center"/>
          </w:tcPr>
          <w:p w14:paraId="07662E11"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B307DB" w:rsidRPr="00B84389" w14:paraId="1EDFAF06" w14:textId="77777777" w:rsidTr="00B307DB">
        <w:trPr>
          <w:trHeight w:val="284"/>
        </w:trPr>
        <w:tc>
          <w:tcPr>
            <w:tcW w:w="884" w:type="dxa"/>
            <w:tcBorders>
              <w:left w:val="single" w:sz="4" w:space="0" w:color="000000"/>
              <w:bottom w:val="single" w:sz="4" w:space="0" w:color="000000"/>
            </w:tcBorders>
            <w:vAlign w:val="center"/>
          </w:tcPr>
          <w:p w14:paraId="41F2539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1.3.4</w:t>
            </w:r>
          </w:p>
        </w:tc>
        <w:tc>
          <w:tcPr>
            <w:tcW w:w="6629" w:type="dxa"/>
            <w:tcBorders>
              <w:left w:val="single" w:sz="4" w:space="0" w:color="000000"/>
              <w:bottom w:val="single" w:sz="4" w:space="0" w:color="000000"/>
            </w:tcBorders>
            <w:vAlign w:val="center"/>
          </w:tcPr>
          <w:p w14:paraId="087DC04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Compras e licitações</w:t>
            </w:r>
          </w:p>
        </w:tc>
        <w:tc>
          <w:tcPr>
            <w:tcW w:w="1559" w:type="dxa"/>
            <w:tcBorders>
              <w:left w:val="single" w:sz="4" w:space="0" w:color="000000"/>
              <w:bottom w:val="single" w:sz="4" w:space="0" w:color="000000"/>
              <w:right w:val="single" w:sz="4" w:space="0" w:color="000000"/>
            </w:tcBorders>
            <w:vAlign w:val="center"/>
          </w:tcPr>
          <w:p w14:paraId="5B45C692"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B307DB" w:rsidRPr="00B84389" w14:paraId="1604B1A6" w14:textId="77777777" w:rsidTr="00B307DB">
        <w:trPr>
          <w:trHeight w:val="176"/>
        </w:trPr>
        <w:tc>
          <w:tcPr>
            <w:tcW w:w="884" w:type="dxa"/>
            <w:tcBorders>
              <w:left w:val="single" w:sz="4" w:space="0" w:color="000000"/>
              <w:bottom w:val="single" w:sz="4" w:space="0" w:color="000000"/>
            </w:tcBorders>
            <w:vAlign w:val="center"/>
          </w:tcPr>
          <w:p w14:paraId="064A46C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1.3.5</w:t>
            </w:r>
          </w:p>
        </w:tc>
        <w:tc>
          <w:tcPr>
            <w:tcW w:w="6629" w:type="dxa"/>
            <w:tcBorders>
              <w:left w:val="single" w:sz="4" w:space="0" w:color="000000"/>
              <w:bottom w:val="single" w:sz="4" w:space="0" w:color="000000"/>
            </w:tcBorders>
            <w:vAlign w:val="center"/>
          </w:tcPr>
          <w:p w14:paraId="6A8B2D9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Almoxarifado</w:t>
            </w:r>
          </w:p>
        </w:tc>
        <w:tc>
          <w:tcPr>
            <w:tcW w:w="1559" w:type="dxa"/>
            <w:tcBorders>
              <w:left w:val="single" w:sz="4" w:space="0" w:color="000000"/>
              <w:bottom w:val="single" w:sz="4" w:space="0" w:color="000000"/>
              <w:right w:val="single" w:sz="4" w:space="0" w:color="000000"/>
            </w:tcBorders>
            <w:vAlign w:val="center"/>
          </w:tcPr>
          <w:p w14:paraId="7860009E"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2</w:t>
            </w:r>
          </w:p>
        </w:tc>
      </w:tr>
      <w:tr w:rsidR="00B307DB" w:rsidRPr="00B84389" w14:paraId="5578BD8D" w14:textId="77777777" w:rsidTr="00B307DB">
        <w:trPr>
          <w:trHeight w:val="238"/>
        </w:trPr>
        <w:tc>
          <w:tcPr>
            <w:tcW w:w="884" w:type="dxa"/>
            <w:tcBorders>
              <w:left w:val="single" w:sz="4" w:space="0" w:color="000000"/>
              <w:bottom w:val="single" w:sz="4" w:space="0" w:color="000000"/>
            </w:tcBorders>
            <w:vAlign w:val="center"/>
          </w:tcPr>
          <w:p w14:paraId="4D1FF7B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1.3.6</w:t>
            </w:r>
          </w:p>
        </w:tc>
        <w:tc>
          <w:tcPr>
            <w:tcW w:w="6629" w:type="dxa"/>
            <w:tcBorders>
              <w:left w:val="single" w:sz="4" w:space="0" w:color="000000"/>
              <w:bottom w:val="single" w:sz="4" w:space="0" w:color="000000"/>
            </w:tcBorders>
            <w:vAlign w:val="center"/>
          </w:tcPr>
          <w:p w14:paraId="5E6EC2C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Patrimônio</w:t>
            </w:r>
          </w:p>
        </w:tc>
        <w:tc>
          <w:tcPr>
            <w:tcW w:w="1559" w:type="dxa"/>
            <w:tcBorders>
              <w:left w:val="single" w:sz="4" w:space="0" w:color="000000"/>
              <w:bottom w:val="single" w:sz="4" w:space="0" w:color="000000"/>
              <w:right w:val="single" w:sz="4" w:space="0" w:color="000000"/>
            </w:tcBorders>
            <w:vAlign w:val="center"/>
          </w:tcPr>
          <w:p w14:paraId="5A324472"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B307DB" w:rsidRPr="00B84389" w14:paraId="28A80849" w14:textId="77777777" w:rsidTr="00B307DB">
        <w:trPr>
          <w:trHeight w:val="276"/>
        </w:trPr>
        <w:tc>
          <w:tcPr>
            <w:tcW w:w="884" w:type="dxa"/>
            <w:tcBorders>
              <w:left w:val="single" w:sz="4" w:space="0" w:color="000000"/>
              <w:bottom w:val="single" w:sz="4" w:space="0" w:color="000000"/>
            </w:tcBorders>
            <w:vAlign w:val="center"/>
          </w:tcPr>
          <w:p w14:paraId="140CB8E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1.3.7</w:t>
            </w:r>
          </w:p>
        </w:tc>
        <w:tc>
          <w:tcPr>
            <w:tcW w:w="6629" w:type="dxa"/>
            <w:tcBorders>
              <w:left w:val="single" w:sz="4" w:space="0" w:color="000000"/>
              <w:bottom w:val="single" w:sz="4" w:space="0" w:color="000000"/>
            </w:tcBorders>
            <w:vAlign w:val="center"/>
          </w:tcPr>
          <w:p w14:paraId="471DE78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Folha de Pagamento</w:t>
            </w:r>
          </w:p>
        </w:tc>
        <w:tc>
          <w:tcPr>
            <w:tcW w:w="1559" w:type="dxa"/>
            <w:tcBorders>
              <w:left w:val="single" w:sz="4" w:space="0" w:color="000000"/>
              <w:bottom w:val="single" w:sz="4" w:space="0" w:color="000000"/>
              <w:right w:val="single" w:sz="4" w:space="0" w:color="000000"/>
            </w:tcBorders>
            <w:vAlign w:val="center"/>
          </w:tcPr>
          <w:p w14:paraId="61482B0A"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B307DB" w:rsidRPr="00B84389" w14:paraId="00A05B58" w14:textId="77777777" w:rsidTr="00B307DB">
        <w:trPr>
          <w:trHeight w:val="276"/>
        </w:trPr>
        <w:tc>
          <w:tcPr>
            <w:tcW w:w="884" w:type="dxa"/>
            <w:tcBorders>
              <w:left w:val="single" w:sz="4" w:space="0" w:color="000000"/>
              <w:bottom w:val="single" w:sz="4" w:space="0" w:color="000000"/>
            </w:tcBorders>
            <w:vAlign w:val="center"/>
          </w:tcPr>
          <w:p w14:paraId="51529057"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1.3.8</w:t>
            </w:r>
          </w:p>
        </w:tc>
        <w:tc>
          <w:tcPr>
            <w:tcW w:w="6629" w:type="dxa"/>
            <w:tcBorders>
              <w:left w:val="single" w:sz="4" w:space="0" w:color="000000"/>
              <w:bottom w:val="single" w:sz="4" w:space="0" w:color="000000"/>
            </w:tcBorders>
            <w:vAlign w:val="center"/>
          </w:tcPr>
          <w:p w14:paraId="67783FCE"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Segurança e Medicina do Trabalho</w:t>
            </w:r>
          </w:p>
        </w:tc>
        <w:tc>
          <w:tcPr>
            <w:tcW w:w="1559" w:type="dxa"/>
            <w:tcBorders>
              <w:left w:val="single" w:sz="4" w:space="0" w:color="000000"/>
              <w:bottom w:val="single" w:sz="4" w:space="0" w:color="000000"/>
              <w:right w:val="single" w:sz="4" w:space="0" w:color="000000"/>
            </w:tcBorders>
            <w:vAlign w:val="center"/>
          </w:tcPr>
          <w:p w14:paraId="0B34B8C0"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B307DB" w:rsidRPr="00B84389" w14:paraId="58AFC403" w14:textId="77777777" w:rsidTr="00B307DB">
        <w:trPr>
          <w:trHeight w:val="240"/>
        </w:trPr>
        <w:tc>
          <w:tcPr>
            <w:tcW w:w="884" w:type="dxa"/>
            <w:tcBorders>
              <w:left w:val="single" w:sz="4" w:space="0" w:color="000000"/>
              <w:bottom w:val="single" w:sz="4" w:space="0" w:color="000000"/>
            </w:tcBorders>
            <w:vAlign w:val="center"/>
          </w:tcPr>
          <w:p w14:paraId="22DCFE4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1.3.9</w:t>
            </w:r>
          </w:p>
        </w:tc>
        <w:tc>
          <w:tcPr>
            <w:tcW w:w="6629" w:type="dxa"/>
            <w:tcBorders>
              <w:left w:val="single" w:sz="4" w:space="0" w:color="000000"/>
              <w:bottom w:val="single" w:sz="4" w:space="0" w:color="000000"/>
            </w:tcBorders>
            <w:vAlign w:val="center"/>
          </w:tcPr>
          <w:p w14:paraId="1313FCA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Ponto Eletrônico</w:t>
            </w:r>
          </w:p>
        </w:tc>
        <w:tc>
          <w:tcPr>
            <w:tcW w:w="1559" w:type="dxa"/>
            <w:tcBorders>
              <w:left w:val="single" w:sz="4" w:space="0" w:color="000000"/>
              <w:bottom w:val="single" w:sz="4" w:space="0" w:color="000000"/>
              <w:right w:val="single" w:sz="4" w:space="0" w:color="000000"/>
            </w:tcBorders>
            <w:vAlign w:val="center"/>
          </w:tcPr>
          <w:p w14:paraId="00D0789D"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B307DB" w:rsidRPr="00B84389" w14:paraId="3C1794F7" w14:textId="77777777" w:rsidTr="00B307DB">
        <w:trPr>
          <w:trHeight w:val="288"/>
        </w:trPr>
        <w:tc>
          <w:tcPr>
            <w:tcW w:w="884" w:type="dxa"/>
            <w:tcBorders>
              <w:left w:val="single" w:sz="4" w:space="0" w:color="000000"/>
              <w:bottom w:val="single" w:sz="4" w:space="0" w:color="000000"/>
            </w:tcBorders>
            <w:vAlign w:val="center"/>
          </w:tcPr>
          <w:p w14:paraId="69FF864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1.3.10</w:t>
            </w:r>
          </w:p>
        </w:tc>
        <w:tc>
          <w:tcPr>
            <w:tcW w:w="6629" w:type="dxa"/>
            <w:tcBorders>
              <w:left w:val="single" w:sz="4" w:space="0" w:color="000000"/>
              <w:bottom w:val="single" w:sz="4" w:space="0" w:color="000000"/>
            </w:tcBorders>
            <w:vAlign w:val="center"/>
          </w:tcPr>
          <w:p w14:paraId="0ACF8E64"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rPr>
              <w:t>Portal da Transparência</w:t>
            </w:r>
          </w:p>
        </w:tc>
        <w:tc>
          <w:tcPr>
            <w:tcW w:w="1559" w:type="dxa"/>
            <w:tcBorders>
              <w:left w:val="single" w:sz="4" w:space="0" w:color="000000"/>
              <w:bottom w:val="single" w:sz="4" w:space="0" w:color="000000"/>
              <w:right w:val="single" w:sz="4" w:space="0" w:color="000000"/>
            </w:tcBorders>
            <w:vAlign w:val="center"/>
          </w:tcPr>
          <w:p w14:paraId="57964D12"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5</w:t>
            </w:r>
          </w:p>
        </w:tc>
      </w:tr>
      <w:tr w:rsidR="00B307DB" w:rsidRPr="00B84389" w14:paraId="7D841682" w14:textId="77777777" w:rsidTr="00B307DB">
        <w:trPr>
          <w:trHeight w:val="180"/>
        </w:trPr>
        <w:tc>
          <w:tcPr>
            <w:tcW w:w="884" w:type="dxa"/>
            <w:tcBorders>
              <w:left w:val="single" w:sz="4" w:space="0" w:color="000000"/>
              <w:bottom w:val="single" w:sz="4" w:space="0" w:color="000000"/>
            </w:tcBorders>
            <w:vAlign w:val="center"/>
          </w:tcPr>
          <w:p w14:paraId="6FBA9102" w14:textId="77777777" w:rsidR="00B307DB" w:rsidRPr="00B84389" w:rsidRDefault="00B307DB" w:rsidP="00B307D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6359EC4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1.3</w:t>
            </w:r>
          </w:p>
        </w:tc>
        <w:tc>
          <w:tcPr>
            <w:tcW w:w="1559" w:type="dxa"/>
            <w:tcBorders>
              <w:left w:val="single" w:sz="4" w:space="0" w:color="000000"/>
              <w:bottom w:val="single" w:sz="4" w:space="0" w:color="000000"/>
              <w:right w:val="single" w:sz="4" w:space="0" w:color="000000"/>
            </w:tcBorders>
            <w:vAlign w:val="center"/>
          </w:tcPr>
          <w:p w14:paraId="0BCAC8C0" w14:textId="77777777" w:rsidR="00B307DB" w:rsidRPr="00B84389" w:rsidRDefault="00B307DB" w:rsidP="00B307DB">
            <w:pPr>
              <w:spacing w:after="0" w:line="240" w:lineRule="auto"/>
              <w:ind w:right="-57"/>
              <w:jc w:val="center"/>
              <w:rPr>
                <w:rFonts w:ascii="Times New Roman" w:hAnsi="Times New Roman" w:cs="Times New Roman"/>
                <w:b/>
              </w:rPr>
            </w:pPr>
            <w:r w:rsidRPr="00B84389">
              <w:rPr>
                <w:rFonts w:ascii="Times New Roman" w:hAnsi="Times New Roman" w:cs="Times New Roman"/>
                <w:b/>
              </w:rPr>
              <w:t>47</w:t>
            </w:r>
          </w:p>
        </w:tc>
      </w:tr>
      <w:tr w:rsidR="00B307DB" w:rsidRPr="00B84389" w14:paraId="46E7449C" w14:textId="77777777" w:rsidTr="00B307DB">
        <w:trPr>
          <w:trHeight w:val="274"/>
        </w:trPr>
        <w:tc>
          <w:tcPr>
            <w:tcW w:w="884" w:type="dxa"/>
            <w:tcBorders>
              <w:left w:val="single" w:sz="4" w:space="0" w:color="000000"/>
              <w:bottom w:val="single" w:sz="4" w:space="0" w:color="000000"/>
            </w:tcBorders>
            <w:vAlign w:val="center"/>
          </w:tcPr>
          <w:p w14:paraId="4F60723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1.4</w:t>
            </w:r>
          </w:p>
        </w:tc>
        <w:tc>
          <w:tcPr>
            <w:tcW w:w="8188" w:type="dxa"/>
            <w:gridSpan w:val="2"/>
            <w:tcBorders>
              <w:left w:val="single" w:sz="4" w:space="0" w:color="000000"/>
              <w:bottom w:val="single" w:sz="4" w:space="0" w:color="000000"/>
              <w:right w:val="single" w:sz="4" w:space="0" w:color="000000"/>
            </w:tcBorders>
            <w:vAlign w:val="center"/>
          </w:tcPr>
          <w:p w14:paraId="420B4F20" w14:textId="77777777" w:rsidR="00B307DB" w:rsidRPr="00B84389" w:rsidRDefault="00B307DB" w:rsidP="00B307D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SECRETARIA DE SAÚDE</w:t>
            </w:r>
          </w:p>
        </w:tc>
      </w:tr>
      <w:tr w:rsidR="00B307DB" w:rsidRPr="00B84389" w14:paraId="2DAC7825" w14:textId="77777777" w:rsidTr="00B307DB">
        <w:trPr>
          <w:trHeight w:val="308"/>
        </w:trPr>
        <w:tc>
          <w:tcPr>
            <w:tcW w:w="884" w:type="dxa"/>
            <w:tcBorders>
              <w:left w:val="single" w:sz="4" w:space="0" w:color="000000"/>
              <w:bottom w:val="single" w:sz="4" w:space="0" w:color="000000"/>
            </w:tcBorders>
            <w:vAlign w:val="center"/>
          </w:tcPr>
          <w:p w14:paraId="313FE12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1.4.1</w:t>
            </w:r>
          </w:p>
        </w:tc>
        <w:tc>
          <w:tcPr>
            <w:tcW w:w="6629" w:type="dxa"/>
            <w:tcBorders>
              <w:left w:val="single" w:sz="4" w:space="0" w:color="000000"/>
              <w:bottom w:val="single" w:sz="4" w:space="0" w:color="000000"/>
            </w:tcBorders>
            <w:vAlign w:val="center"/>
          </w:tcPr>
          <w:p w14:paraId="7AAE4047"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Gestão da saúde</w:t>
            </w:r>
          </w:p>
        </w:tc>
        <w:tc>
          <w:tcPr>
            <w:tcW w:w="1559" w:type="dxa"/>
            <w:tcBorders>
              <w:left w:val="single" w:sz="4" w:space="0" w:color="000000"/>
              <w:bottom w:val="single" w:sz="4" w:space="0" w:color="000000"/>
              <w:right w:val="single" w:sz="4" w:space="0" w:color="000000"/>
            </w:tcBorders>
            <w:vAlign w:val="center"/>
          </w:tcPr>
          <w:p w14:paraId="09E4E832"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20</w:t>
            </w:r>
          </w:p>
        </w:tc>
      </w:tr>
      <w:tr w:rsidR="00B307DB" w:rsidRPr="00B84389" w14:paraId="3103C636" w14:textId="77777777" w:rsidTr="00B307DB">
        <w:trPr>
          <w:trHeight w:val="172"/>
        </w:trPr>
        <w:tc>
          <w:tcPr>
            <w:tcW w:w="884" w:type="dxa"/>
            <w:tcBorders>
              <w:left w:val="single" w:sz="4" w:space="0" w:color="000000"/>
              <w:bottom w:val="single" w:sz="4" w:space="0" w:color="000000"/>
            </w:tcBorders>
            <w:vAlign w:val="center"/>
          </w:tcPr>
          <w:p w14:paraId="4C89DCD6" w14:textId="77777777" w:rsidR="00B307DB" w:rsidRPr="00B84389" w:rsidRDefault="00B307DB" w:rsidP="00B307D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5FE9DCD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1.4</w:t>
            </w:r>
          </w:p>
        </w:tc>
        <w:tc>
          <w:tcPr>
            <w:tcW w:w="1559" w:type="dxa"/>
            <w:tcBorders>
              <w:left w:val="single" w:sz="4" w:space="0" w:color="000000"/>
              <w:bottom w:val="single" w:sz="4" w:space="0" w:color="000000"/>
              <w:right w:val="single" w:sz="4" w:space="0" w:color="000000"/>
            </w:tcBorders>
            <w:vAlign w:val="center"/>
          </w:tcPr>
          <w:p w14:paraId="29C977C0" w14:textId="77777777" w:rsidR="00B307DB" w:rsidRPr="00B84389" w:rsidRDefault="00B307DB" w:rsidP="00B307DB">
            <w:pPr>
              <w:spacing w:after="0" w:line="240" w:lineRule="auto"/>
              <w:ind w:right="-57"/>
              <w:jc w:val="center"/>
              <w:rPr>
                <w:rFonts w:ascii="Times New Roman" w:hAnsi="Times New Roman" w:cs="Times New Roman"/>
                <w:b/>
              </w:rPr>
            </w:pPr>
            <w:r w:rsidRPr="00B84389">
              <w:rPr>
                <w:rFonts w:ascii="Times New Roman" w:hAnsi="Times New Roman" w:cs="Times New Roman"/>
                <w:b/>
              </w:rPr>
              <w:t>20</w:t>
            </w:r>
          </w:p>
        </w:tc>
      </w:tr>
      <w:tr w:rsidR="00B307DB" w:rsidRPr="00B84389" w14:paraId="0B66417A" w14:textId="77777777" w:rsidTr="00B307DB">
        <w:trPr>
          <w:trHeight w:val="206"/>
        </w:trPr>
        <w:tc>
          <w:tcPr>
            <w:tcW w:w="884" w:type="dxa"/>
            <w:tcBorders>
              <w:left w:val="single" w:sz="4" w:space="0" w:color="000000"/>
              <w:bottom w:val="single" w:sz="4" w:space="0" w:color="000000"/>
            </w:tcBorders>
            <w:vAlign w:val="center"/>
          </w:tcPr>
          <w:p w14:paraId="78D7C7B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lastRenderedPageBreak/>
              <w:t>1.5</w:t>
            </w:r>
          </w:p>
        </w:tc>
        <w:tc>
          <w:tcPr>
            <w:tcW w:w="8188" w:type="dxa"/>
            <w:gridSpan w:val="2"/>
            <w:tcBorders>
              <w:left w:val="single" w:sz="4" w:space="0" w:color="000000"/>
              <w:bottom w:val="single" w:sz="4" w:space="0" w:color="000000"/>
              <w:right w:val="single" w:sz="4" w:space="0" w:color="000000"/>
            </w:tcBorders>
            <w:vAlign w:val="center"/>
          </w:tcPr>
          <w:p w14:paraId="0915262D" w14:textId="77777777" w:rsidR="00B307DB" w:rsidRPr="00B84389" w:rsidRDefault="00B307DB" w:rsidP="00B307D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SECRETARIA DE EDUCAÇÃO</w:t>
            </w:r>
          </w:p>
        </w:tc>
      </w:tr>
      <w:tr w:rsidR="00B307DB" w:rsidRPr="00B84389" w14:paraId="5031B106" w14:textId="77777777" w:rsidTr="00B307DB">
        <w:trPr>
          <w:trHeight w:val="226"/>
        </w:trPr>
        <w:tc>
          <w:tcPr>
            <w:tcW w:w="884" w:type="dxa"/>
            <w:tcBorders>
              <w:left w:val="single" w:sz="4" w:space="0" w:color="000000"/>
              <w:bottom w:val="single" w:sz="4" w:space="0" w:color="000000"/>
            </w:tcBorders>
            <w:vAlign w:val="center"/>
          </w:tcPr>
          <w:p w14:paraId="6CEA907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1.5.1</w:t>
            </w:r>
          </w:p>
        </w:tc>
        <w:tc>
          <w:tcPr>
            <w:tcW w:w="6629" w:type="dxa"/>
            <w:tcBorders>
              <w:left w:val="single" w:sz="4" w:space="0" w:color="000000"/>
              <w:bottom w:val="single" w:sz="4" w:space="0" w:color="000000"/>
            </w:tcBorders>
            <w:vAlign w:val="center"/>
          </w:tcPr>
          <w:p w14:paraId="7DB58A22"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Gestão da Educação</w:t>
            </w:r>
          </w:p>
        </w:tc>
        <w:tc>
          <w:tcPr>
            <w:tcW w:w="1559" w:type="dxa"/>
            <w:tcBorders>
              <w:left w:val="single" w:sz="4" w:space="0" w:color="000000"/>
              <w:bottom w:val="single" w:sz="4" w:space="0" w:color="000000"/>
              <w:right w:val="single" w:sz="4" w:space="0" w:color="000000"/>
            </w:tcBorders>
            <w:vAlign w:val="center"/>
          </w:tcPr>
          <w:p w14:paraId="38813742"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20</w:t>
            </w:r>
          </w:p>
        </w:tc>
      </w:tr>
      <w:tr w:rsidR="00B307DB" w:rsidRPr="00B84389" w14:paraId="0390C9F5" w14:textId="77777777" w:rsidTr="00B307DB">
        <w:trPr>
          <w:trHeight w:val="260"/>
        </w:trPr>
        <w:tc>
          <w:tcPr>
            <w:tcW w:w="884" w:type="dxa"/>
            <w:tcBorders>
              <w:left w:val="single" w:sz="4" w:space="0" w:color="000000"/>
              <w:bottom w:val="single" w:sz="4" w:space="0" w:color="000000"/>
            </w:tcBorders>
            <w:vAlign w:val="center"/>
          </w:tcPr>
          <w:p w14:paraId="1D61090D" w14:textId="77777777" w:rsidR="00B307DB" w:rsidRPr="00B84389" w:rsidRDefault="00B307DB" w:rsidP="00B307D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2EA4F15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1.5</w:t>
            </w:r>
          </w:p>
        </w:tc>
        <w:tc>
          <w:tcPr>
            <w:tcW w:w="1559" w:type="dxa"/>
            <w:tcBorders>
              <w:left w:val="single" w:sz="4" w:space="0" w:color="000000"/>
              <w:bottom w:val="single" w:sz="4" w:space="0" w:color="000000"/>
              <w:right w:val="single" w:sz="4" w:space="0" w:color="000000"/>
            </w:tcBorders>
            <w:vAlign w:val="center"/>
          </w:tcPr>
          <w:p w14:paraId="08CB8A99" w14:textId="77777777" w:rsidR="00B307DB" w:rsidRPr="00B84389" w:rsidRDefault="00B307DB" w:rsidP="00B307DB">
            <w:pPr>
              <w:spacing w:after="0" w:line="240" w:lineRule="auto"/>
              <w:ind w:right="-57"/>
              <w:jc w:val="center"/>
              <w:rPr>
                <w:rFonts w:ascii="Times New Roman" w:hAnsi="Times New Roman" w:cs="Times New Roman"/>
                <w:b/>
              </w:rPr>
            </w:pPr>
            <w:r w:rsidRPr="00B84389">
              <w:rPr>
                <w:rFonts w:ascii="Times New Roman" w:hAnsi="Times New Roman" w:cs="Times New Roman"/>
                <w:b/>
              </w:rPr>
              <w:t>20</w:t>
            </w:r>
          </w:p>
        </w:tc>
      </w:tr>
      <w:tr w:rsidR="00B307DB" w:rsidRPr="00B84389" w14:paraId="292E958D" w14:textId="77777777" w:rsidTr="00B307DB">
        <w:trPr>
          <w:trHeight w:val="138"/>
        </w:trPr>
        <w:tc>
          <w:tcPr>
            <w:tcW w:w="884" w:type="dxa"/>
            <w:tcBorders>
              <w:left w:val="single" w:sz="4" w:space="0" w:color="000000"/>
              <w:bottom w:val="single" w:sz="4" w:space="0" w:color="000000"/>
            </w:tcBorders>
            <w:vAlign w:val="center"/>
          </w:tcPr>
          <w:p w14:paraId="64A05C3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1.6</w:t>
            </w:r>
          </w:p>
        </w:tc>
        <w:tc>
          <w:tcPr>
            <w:tcW w:w="8188" w:type="dxa"/>
            <w:gridSpan w:val="2"/>
            <w:tcBorders>
              <w:left w:val="single" w:sz="4" w:space="0" w:color="000000"/>
              <w:bottom w:val="single" w:sz="4" w:space="0" w:color="000000"/>
              <w:right w:val="single" w:sz="4" w:space="0" w:color="000000"/>
            </w:tcBorders>
            <w:vAlign w:val="center"/>
          </w:tcPr>
          <w:p w14:paraId="76FED497" w14:textId="77777777" w:rsidR="00B307DB" w:rsidRPr="00B84389" w:rsidRDefault="00B307DB" w:rsidP="00B307DB">
            <w:pPr>
              <w:spacing w:after="0" w:line="240" w:lineRule="auto"/>
              <w:ind w:right="-568"/>
              <w:jc w:val="center"/>
              <w:rPr>
                <w:rFonts w:ascii="Times New Roman" w:hAnsi="Times New Roman" w:cs="Times New Roman"/>
              </w:rPr>
            </w:pPr>
            <w:r w:rsidRPr="00B84389">
              <w:rPr>
                <w:rFonts w:ascii="Times New Roman" w:hAnsi="Times New Roman" w:cs="Times New Roman"/>
                <w:b/>
              </w:rPr>
              <w:t>MÓDULOS PARA USO SECRETARIA DE ASSISTÊNCIA SOCIAL</w:t>
            </w:r>
          </w:p>
        </w:tc>
      </w:tr>
      <w:tr w:rsidR="00B307DB" w:rsidRPr="00B84389" w14:paraId="3929B34E" w14:textId="77777777" w:rsidTr="00B307DB">
        <w:trPr>
          <w:trHeight w:val="158"/>
        </w:trPr>
        <w:tc>
          <w:tcPr>
            <w:tcW w:w="884" w:type="dxa"/>
            <w:tcBorders>
              <w:left w:val="single" w:sz="4" w:space="0" w:color="000000"/>
              <w:bottom w:val="single" w:sz="4" w:space="0" w:color="000000"/>
            </w:tcBorders>
            <w:vAlign w:val="center"/>
          </w:tcPr>
          <w:p w14:paraId="7B2BFCE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1.6.1</w:t>
            </w:r>
          </w:p>
        </w:tc>
        <w:tc>
          <w:tcPr>
            <w:tcW w:w="6629" w:type="dxa"/>
            <w:tcBorders>
              <w:left w:val="single" w:sz="4" w:space="0" w:color="000000"/>
              <w:bottom w:val="single" w:sz="4" w:space="0" w:color="000000"/>
            </w:tcBorders>
            <w:vAlign w:val="center"/>
          </w:tcPr>
          <w:p w14:paraId="6191994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Gestão da Assistência Social</w:t>
            </w:r>
          </w:p>
        </w:tc>
        <w:tc>
          <w:tcPr>
            <w:tcW w:w="1559" w:type="dxa"/>
            <w:tcBorders>
              <w:left w:val="single" w:sz="4" w:space="0" w:color="000000"/>
              <w:bottom w:val="single" w:sz="4" w:space="0" w:color="000000"/>
              <w:right w:val="single" w:sz="4" w:space="0" w:color="000000"/>
            </w:tcBorders>
            <w:vAlign w:val="center"/>
          </w:tcPr>
          <w:p w14:paraId="29B25312" w14:textId="77777777" w:rsidR="00B307DB" w:rsidRPr="00B84389" w:rsidRDefault="00B307DB" w:rsidP="00B307DB">
            <w:pPr>
              <w:spacing w:after="0" w:line="240" w:lineRule="auto"/>
              <w:ind w:right="-57"/>
              <w:jc w:val="center"/>
              <w:rPr>
                <w:rFonts w:ascii="Times New Roman" w:hAnsi="Times New Roman" w:cs="Times New Roman"/>
              </w:rPr>
            </w:pPr>
            <w:r w:rsidRPr="00B84389">
              <w:rPr>
                <w:rFonts w:ascii="Times New Roman" w:hAnsi="Times New Roman" w:cs="Times New Roman"/>
              </w:rPr>
              <w:t>20</w:t>
            </w:r>
          </w:p>
        </w:tc>
      </w:tr>
      <w:tr w:rsidR="00B307DB" w:rsidRPr="00B84389" w14:paraId="408AF085" w14:textId="77777777" w:rsidTr="00B307DB">
        <w:trPr>
          <w:trHeight w:val="178"/>
        </w:trPr>
        <w:tc>
          <w:tcPr>
            <w:tcW w:w="884" w:type="dxa"/>
            <w:tcBorders>
              <w:left w:val="single" w:sz="4" w:space="0" w:color="000000"/>
              <w:bottom w:val="single" w:sz="4" w:space="0" w:color="000000"/>
            </w:tcBorders>
            <w:vAlign w:val="center"/>
          </w:tcPr>
          <w:p w14:paraId="0FD0820B" w14:textId="77777777" w:rsidR="00B307DB" w:rsidRPr="00B84389" w:rsidRDefault="00B307DB" w:rsidP="00B307DB">
            <w:pPr>
              <w:spacing w:after="0" w:line="240" w:lineRule="auto"/>
              <w:ind w:right="-568"/>
              <w:jc w:val="both"/>
              <w:rPr>
                <w:rFonts w:ascii="Times New Roman" w:hAnsi="Times New Roman" w:cs="Times New Roman"/>
                <w:b/>
              </w:rPr>
            </w:pPr>
          </w:p>
        </w:tc>
        <w:tc>
          <w:tcPr>
            <w:tcW w:w="6629" w:type="dxa"/>
            <w:tcBorders>
              <w:left w:val="single" w:sz="4" w:space="0" w:color="000000"/>
              <w:bottom w:val="single" w:sz="4" w:space="0" w:color="000000"/>
            </w:tcBorders>
            <w:vAlign w:val="center"/>
          </w:tcPr>
          <w:p w14:paraId="4D19972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Total subitem 1.6</w:t>
            </w:r>
          </w:p>
        </w:tc>
        <w:tc>
          <w:tcPr>
            <w:tcW w:w="1559" w:type="dxa"/>
            <w:tcBorders>
              <w:left w:val="single" w:sz="4" w:space="0" w:color="000000"/>
              <w:bottom w:val="single" w:sz="4" w:space="0" w:color="000000"/>
              <w:right w:val="single" w:sz="4" w:space="0" w:color="000000"/>
            </w:tcBorders>
            <w:vAlign w:val="center"/>
          </w:tcPr>
          <w:p w14:paraId="69C8344A" w14:textId="77777777" w:rsidR="00B307DB" w:rsidRPr="00B84389" w:rsidRDefault="00B307DB" w:rsidP="00B307DB">
            <w:pPr>
              <w:spacing w:after="0" w:line="240" w:lineRule="auto"/>
              <w:ind w:right="-57"/>
              <w:jc w:val="center"/>
              <w:rPr>
                <w:rFonts w:ascii="Times New Roman" w:hAnsi="Times New Roman" w:cs="Times New Roman"/>
                <w:b/>
              </w:rPr>
            </w:pPr>
            <w:r w:rsidRPr="00B84389">
              <w:rPr>
                <w:rFonts w:ascii="Times New Roman" w:hAnsi="Times New Roman" w:cs="Times New Roman"/>
                <w:b/>
              </w:rPr>
              <w:t>20</w:t>
            </w:r>
          </w:p>
        </w:tc>
      </w:tr>
      <w:tr w:rsidR="00B307DB" w:rsidRPr="00B84389" w14:paraId="13FA86A2" w14:textId="77777777" w:rsidTr="00B307DB">
        <w:trPr>
          <w:trHeight w:val="198"/>
        </w:trPr>
        <w:tc>
          <w:tcPr>
            <w:tcW w:w="884" w:type="dxa"/>
            <w:tcBorders>
              <w:left w:val="single" w:sz="4" w:space="0" w:color="000000"/>
              <w:bottom w:val="single" w:sz="4" w:space="0" w:color="000000"/>
            </w:tcBorders>
            <w:vAlign w:val="bottom"/>
          </w:tcPr>
          <w:p w14:paraId="2D39FEE7" w14:textId="77777777" w:rsidR="00B307DB" w:rsidRPr="00B84389" w:rsidRDefault="00B307DB" w:rsidP="00B307DB">
            <w:pPr>
              <w:spacing w:after="0" w:line="240" w:lineRule="auto"/>
              <w:ind w:right="-568"/>
              <w:jc w:val="both"/>
              <w:rPr>
                <w:rFonts w:ascii="Times New Roman" w:hAnsi="Times New Roman" w:cs="Times New Roman"/>
              </w:rPr>
            </w:pPr>
          </w:p>
        </w:tc>
        <w:tc>
          <w:tcPr>
            <w:tcW w:w="6629" w:type="dxa"/>
            <w:tcBorders>
              <w:left w:val="single" w:sz="4" w:space="0" w:color="000000"/>
              <w:bottom w:val="single" w:sz="4" w:space="0" w:color="000000"/>
            </w:tcBorders>
            <w:vAlign w:val="bottom"/>
          </w:tcPr>
          <w:p w14:paraId="24F49C9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Totais usuários</w:t>
            </w:r>
          </w:p>
        </w:tc>
        <w:tc>
          <w:tcPr>
            <w:tcW w:w="1559" w:type="dxa"/>
            <w:tcBorders>
              <w:left w:val="single" w:sz="4" w:space="0" w:color="000000"/>
              <w:bottom w:val="single" w:sz="4" w:space="0" w:color="000000"/>
              <w:right w:val="single" w:sz="4" w:space="0" w:color="000000"/>
            </w:tcBorders>
            <w:vAlign w:val="center"/>
          </w:tcPr>
          <w:p w14:paraId="57272670" w14:textId="77777777" w:rsidR="00B307DB" w:rsidRPr="00B84389" w:rsidRDefault="00B307DB" w:rsidP="00B307DB">
            <w:pPr>
              <w:spacing w:after="0" w:line="240" w:lineRule="auto"/>
              <w:ind w:right="-57"/>
              <w:jc w:val="center"/>
              <w:rPr>
                <w:rFonts w:ascii="Times New Roman" w:hAnsi="Times New Roman" w:cs="Times New Roman"/>
                <w:b/>
              </w:rPr>
            </w:pPr>
            <w:r w:rsidRPr="00B84389">
              <w:rPr>
                <w:rFonts w:ascii="Times New Roman" w:hAnsi="Times New Roman" w:cs="Times New Roman"/>
                <w:b/>
              </w:rPr>
              <w:t>346</w:t>
            </w:r>
          </w:p>
        </w:tc>
      </w:tr>
    </w:tbl>
    <w:p w14:paraId="0D0BB691"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i/>
          <w:sz w:val="22"/>
          <w:szCs w:val="22"/>
        </w:rPr>
      </w:pPr>
      <w:r>
        <w:rPr>
          <w:rFonts w:ascii="Times New Roman" w:hAnsi="Times New Roman" w:cs="Times New Roman"/>
          <w:b/>
          <w:i/>
          <w:color w:val="auto"/>
          <w:sz w:val="22"/>
          <w:szCs w:val="22"/>
        </w:rPr>
        <w:t xml:space="preserve">4.4 </w:t>
      </w:r>
      <w:r w:rsidRPr="00B84389">
        <w:rPr>
          <w:rFonts w:ascii="Times New Roman" w:hAnsi="Times New Roman" w:cs="Times New Roman"/>
          <w:b/>
          <w:i/>
          <w:color w:val="auto"/>
          <w:sz w:val="22"/>
          <w:szCs w:val="22"/>
        </w:rPr>
        <w:t>Capacitação Pós Implantação:</w:t>
      </w:r>
      <w:r w:rsidRPr="00B84389">
        <w:rPr>
          <w:rFonts w:ascii="Times New Roman" w:hAnsi="Times New Roman" w:cs="Times New Roman"/>
          <w:bCs/>
          <w:i/>
          <w:sz w:val="22"/>
          <w:szCs w:val="22"/>
        </w:rPr>
        <w:t xml:space="preserve"> </w:t>
      </w:r>
    </w:p>
    <w:p w14:paraId="1567979E"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4.4.1 </w:t>
      </w:r>
      <w:r w:rsidRPr="00B84389">
        <w:rPr>
          <w:rFonts w:ascii="Times New Roman" w:hAnsi="Times New Roman" w:cs="Times New Roman"/>
          <w:sz w:val="22"/>
          <w:szCs w:val="22"/>
        </w:rPr>
        <w:t>Após o período de implantação, a contratante poderá solicitar a contratada a realização de novos treinamentos, provenientes da substituição de pessoal, demissões, mudanças de cargos, ou outras situações que porventura sejam necessárias;</w:t>
      </w:r>
    </w:p>
    <w:p w14:paraId="4230520E"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4.4.2 </w:t>
      </w:r>
      <w:r w:rsidRPr="00B84389">
        <w:rPr>
          <w:rFonts w:ascii="Times New Roman" w:hAnsi="Times New Roman" w:cs="Times New Roman"/>
          <w:sz w:val="22"/>
          <w:szCs w:val="22"/>
        </w:rPr>
        <w:t>Previsto no Acordo de Nível de Serviços (ANS) como fora de garantia, o treinamento pós-implantação eventualmente realizado será faturado à parte e pago conforme as horas prestadas e orçamento previamente aprovado pela contratante.</w:t>
      </w:r>
    </w:p>
    <w:p w14:paraId="52C8ABC4"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4.4.2.1 </w:t>
      </w:r>
      <w:r w:rsidRPr="00B84389">
        <w:rPr>
          <w:rFonts w:ascii="Times New Roman" w:hAnsi="Times New Roman" w:cs="Times New Roman"/>
          <w:sz w:val="22"/>
          <w:szCs w:val="22"/>
        </w:rPr>
        <w:t>Quando solicitado o treinamento, acompanhado das especificações necessárias, como número de educandos e módulos a serem abordados, a contratada formalizará orçamento para prévia aprovação por parte da contratante;</w:t>
      </w:r>
    </w:p>
    <w:p w14:paraId="77725F62"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4.4.3 </w:t>
      </w:r>
      <w:r w:rsidRPr="00B84389">
        <w:rPr>
          <w:rFonts w:ascii="Times New Roman" w:hAnsi="Times New Roman" w:cs="Times New Roman"/>
          <w:sz w:val="22"/>
          <w:szCs w:val="22"/>
        </w:rPr>
        <w:t>O treinamento na operacionalização dos sistemas, quando contratado, será realizado via internet, com recursos tecnológicos de acesso a rede mundial de computadores, impressora, periféricos, espaço físico aos treinandos e demais recursos locais à cargo da contratante;</w:t>
      </w:r>
    </w:p>
    <w:p w14:paraId="79C222FE"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4.4.4 </w:t>
      </w:r>
      <w:r w:rsidRPr="00B84389">
        <w:rPr>
          <w:rFonts w:ascii="Times New Roman" w:hAnsi="Times New Roman" w:cs="Times New Roman"/>
          <w:sz w:val="22"/>
          <w:szCs w:val="22"/>
        </w:rPr>
        <w:t>O treinamento via web será considerado prestado independentemente da ocorrência de problemas com o provedor de internet ou rede local, com o fornecimento de energia, desídia dos servidores públicos ou com qualquer outro fator correlato de responsabilidade do CONTRATANTE ou terceiros, podendo ser novamente faturado quando refeito sem culpa da contratada;</w:t>
      </w:r>
    </w:p>
    <w:p w14:paraId="27C555CC" w14:textId="77777777" w:rsidR="00B307DB" w:rsidRPr="00B84389" w:rsidRDefault="00B307DB" w:rsidP="00B307DB">
      <w:pPr>
        <w:pStyle w:val="Recuodecorpodetexto31"/>
        <w:numPr>
          <w:ilvl w:val="1"/>
          <w:numId w:val="158"/>
        </w:numPr>
        <w:tabs>
          <w:tab w:val="left" w:pos="426"/>
          <w:tab w:val="left" w:pos="720"/>
        </w:tabs>
        <w:ind w:right="-568"/>
        <w:rPr>
          <w:rFonts w:ascii="Times New Roman" w:hAnsi="Times New Roman" w:cs="Times New Roman"/>
          <w:i/>
          <w:sz w:val="22"/>
          <w:szCs w:val="22"/>
        </w:rPr>
      </w:pPr>
      <w:r w:rsidRPr="00B84389">
        <w:rPr>
          <w:rFonts w:ascii="Times New Roman" w:hAnsi="Times New Roman" w:cs="Times New Roman"/>
          <w:b/>
          <w:i/>
          <w:sz w:val="22"/>
          <w:szCs w:val="22"/>
        </w:rPr>
        <w:t>Suporte Técnico:</w:t>
      </w:r>
      <w:r w:rsidRPr="00B84389">
        <w:rPr>
          <w:rFonts w:ascii="Times New Roman" w:hAnsi="Times New Roman" w:cs="Times New Roman"/>
          <w:bCs/>
          <w:i/>
          <w:sz w:val="22"/>
          <w:szCs w:val="22"/>
        </w:rPr>
        <w:t xml:space="preserve"> </w:t>
      </w:r>
    </w:p>
    <w:p w14:paraId="58793FC3"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4.5.1 </w:t>
      </w:r>
      <w:r w:rsidRPr="00B84389">
        <w:rPr>
          <w:rFonts w:ascii="Times New Roman" w:hAnsi="Times New Roman" w:cs="Times New Roman"/>
          <w:sz w:val="22"/>
          <w:szCs w:val="22"/>
        </w:rPr>
        <w:t>Conforme previsto no Acordo de Nível de Serviço (ANS), durante todo o período contratual deverá ser garantido pela contratada atendimento para suporte técnico, no horário das 08h às 12h e das 13h 30min às 18 horas, de segundas às sextas feiras, através de técnicos habilitados com o objetivo de:</w:t>
      </w:r>
    </w:p>
    <w:p w14:paraId="3E8FEEB6" w14:textId="77777777" w:rsidR="00B307DB" w:rsidRPr="00052EBD" w:rsidRDefault="00B307DB" w:rsidP="00B307DB">
      <w:pPr>
        <w:tabs>
          <w:tab w:val="left" w:pos="284"/>
          <w:tab w:val="left" w:pos="1560"/>
        </w:tabs>
        <w:suppressAutoHyphens/>
        <w:spacing w:after="0" w:line="240" w:lineRule="auto"/>
        <w:ind w:right="-568"/>
        <w:jc w:val="both"/>
        <w:rPr>
          <w:rFonts w:ascii="Times New Roman" w:hAnsi="Times New Roman" w:cs="Times New Roman"/>
        </w:rPr>
      </w:pPr>
      <w:r w:rsidRPr="00052EBD">
        <w:rPr>
          <w:rFonts w:ascii="Times New Roman" w:hAnsi="Times New Roman" w:cs="Times New Roman"/>
          <w:b/>
        </w:rPr>
        <w:t>a)</w:t>
      </w:r>
      <w:r>
        <w:rPr>
          <w:rFonts w:ascii="Times New Roman" w:hAnsi="Times New Roman" w:cs="Times New Roman"/>
        </w:rPr>
        <w:t xml:space="preserve"> </w:t>
      </w:r>
      <w:r w:rsidRPr="00052EBD">
        <w:rPr>
          <w:rFonts w:ascii="Times New Roman" w:hAnsi="Times New Roman" w:cs="Times New Roman"/>
        </w:rPr>
        <w:t xml:space="preserve">esclarecer dúvidas que possam surgir durante a operação e utilização dos sistemas; </w:t>
      </w:r>
    </w:p>
    <w:p w14:paraId="32C591E9" w14:textId="77777777" w:rsidR="00B307DB" w:rsidRPr="00B84389" w:rsidRDefault="00B307DB" w:rsidP="00B307DB">
      <w:pPr>
        <w:pStyle w:val="PargrafodaLista"/>
        <w:tabs>
          <w:tab w:val="left" w:pos="284"/>
          <w:tab w:val="left" w:pos="1560"/>
        </w:tabs>
        <w:suppressAutoHyphens/>
        <w:spacing w:after="0" w:line="240" w:lineRule="auto"/>
        <w:ind w:left="0" w:right="-568"/>
        <w:contextualSpacing w:val="0"/>
        <w:jc w:val="both"/>
        <w:rPr>
          <w:rFonts w:ascii="Times New Roman" w:hAnsi="Times New Roman" w:cs="Times New Roman"/>
        </w:rPr>
      </w:pPr>
      <w:r w:rsidRPr="00052EBD">
        <w:rPr>
          <w:rFonts w:ascii="Times New Roman" w:hAnsi="Times New Roman" w:cs="Times New Roman"/>
          <w:b/>
        </w:rPr>
        <w:t>b)</w:t>
      </w:r>
      <w:r>
        <w:rPr>
          <w:rFonts w:ascii="Times New Roman" w:hAnsi="Times New Roman" w:cs="Times New Roman"/>
        </w:rPr>
        <w:t xml:space="preserve"> </w:t>
      </w:r>
      <w:r w:rsidRPr="00B84389">
        <w:rPr>
          <w:rFonts w:ascii="Times New Roman" w:hAnsi="Times New Roman" w:cs="Times New Roman"/>
        </w:rPr>
        <w:t xml:space="preserve">auxílio na recuperação da base de dados por problemas originados em erros de operação, queda de energia ou falha de equipamentos; </w:t>
      </w:r>
    </w:p>
    <w:p w14:paraId="607B70A8" w14:textId="77777777" w:rsidR="00B307DB" w:rsidRPr="00B84389" w:rsidRDefault="00B307DB" w:rsidP="00B307DB">
      <w:pPr>
        <w:pStyle w:val="PargrafodaLista"/>
        <w:tabs>
          <w:tab w:val="left" w:pos="284"/>
          <w:tab w:val="left" w:pos="1560"/>
        </w:tabs>
        <w:suppressAutoHyphens/>
        <w:spacing w:after="0" w:line="240" w:lineRule="auto"/>
        <w:ind w:left="0" w:right="-568"/>
        <w:contextualSpacing w:val="0"/>
        <w:jc w:val="both"/>
        <w:rPr>
          <w:rFonts w:ascii="Times New Roman" w:hAnsi="Times New Roman" w:cs="Times New Roman"/>
        </w:rPr>
      </w:pPr>
      <w:r w:rsidRPr="00052EBD">
        <w:rPr>
          <w:rFonts w:ascii="Times New Roman" w:hAnsi="Times New Roman" w:cs="Times New Roman"/>
          <w:b/>
        </w:rPr>
        <w:t>c)</w:t>
      </w:r>
      <w:r>
        <w:rPr>
          <w:rFonts w:ascii="Times New Roman" w:hAnsi="Times New Roman" w:cs="Times New Roman"/>
        </w:rPr>
        <w:t xml:space="preserve"> </w:t>
      </w:r>
      <w:r w:rsidRPr="00B84389">
        <w:rPr>
          <w:rFonts w:ascii="Times New Roman" w:hAnsi="Times New Roman" w:cs="Times New Roman"/>
        </w:rPr>
        <w:t>orientar os servidores na operação ou utilização dos sistemas em função de substituição de pessoal, tendo em vista demissões, licenças, mudanças de cargos, etc;</w:t>
      </w:r>
    </w:p>
    <w:p w14:paraId="7A9DD523" w14:textId="77777777" w:rsidR="00B307DB" w:rsidRPr="00052EBD" w:rsidRDefault="00B307DB" w:rsidP="00B307DB">
      <w:pPr>
        <w:tabs>
          <w:tab w:val="left" w:pos="0"/>
          <w:tab w:val="left" w:pos="1560"/>
        </w:tabs>
        <w:suppressAutoHyphens/>
        <w:spacing w:after="0" w:line="240" w:lineRule="auto"/>
        <w:ind w:right="-568"/>
        <w:jc w:val="both"/>
        <w:rPr>
          <w:rFonts w:ascii="Times New Roman" w:hAnsi="Times New Roman" w:cs="Times New Roman"/>
        </w:rPr>
      </w:pPr>
      <w:r w:rsidRPr="00052EBD">
        <w:rPr>
          <w:rFonts w:ascii="Times New Roman" w:hAnsi="Times New Roman" w:cs="Times New Roman"/>
          <w:b/>
        </w:rPr>
        <w:t>d)</w:t>
      </w:r>
      <w:r w:rsidRPr="00052EBD">
        <w:rPr>
          <w:rFonts w:ascii="Times New Roman" w:hAnsi="Times New Roman" w:cs="Times New Roman"/>
        </w:rPr>
        <w:t xml:space="preserve"> auxiliar o usuário, em caso de dúvidas, na elaboração de quaisquer atividades técnicas relacionadas à utilização dos sistemas.</w:t>
      </w:r>
    </w:p>
    <w:p w14:paraId="1406A670"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4.5.2 </w:t>
      </w:r>
      <w:r w:rsidRPr="00B84389">
        <w:rPr>
          <w:rFonts w:ascii="Times New Roman" w:hAnsi="Times New Roman" w:cs="Times New Roman"/>
          <w:sz w:val="22"/>
          <w:szCs w:val="22"/>
        </w:rPr>
        <w:t xml:space="preserve">O atendimento técnico </w:t>
      </w:r>
      <w:r w:rsidRPr="00B84389">
        <w:rPr>
          <w:rFonts w:ascii="Times New Roman" w:hAnsi="Times New Roman" w:cs="Times New Roman"/>
          <w:bCs/>
          <w:sz w:val="22"/>
          <w:szCs w:val="22"/>
        </w:rPr>
        <w:t>poderá</w:t>
      </w:r>
      <w:r w:rsidRPr="00B84389">
        <w:rPr>
          <w:rFonts w:ascii="Times New Roman" w:hAnsi="Times New Roman" w:cs="Times New Roman"/>
          <w:sz w:val="22"/>
          <w:szCs w:val="22"/>
        </w:rPr>
        <w:t xml:space="preserve"> ser realizado por telefone, ou Skype, ou CHAT, ou VOIP, ou e-mail, ou internet, ou ferramenta de vídeo conferência, ou pelo próprio sistema, através de serviços de suporte remoto;</w:t>
      </w:r>
    </w:p>
    <w:p w14:paraId="5E2BE0F1"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4.5.3 </w:t>
      </w:r>
      <w:r w:rsidRPr="00B84389">
        <w:rPr>
          <w:rFonts w:ascii="Times New Roman" w:hAnsi="Times New Roman" w:cs="Times New Roman"/>
          <w:sz w:val="22"/>
          <w:szCs w:val="22"/>
        </w:rPr>
        <w:t>O atendimento a solicitação do suporte deverá ser realizado por atendente apto a prover o devido suporte ao sistema, ou redirecionar o atendimento a pessoa qualificada;</w:t>
      </w:r>
    </w:p>
    <w:p w14:paraId="5461579D" w14:textId="77777777" w:rsidR="00B307DB" w:rsidRPr="00B84389" w:rsidRDefault="00B307DB" w:rsidP="00B307DB">
      <w:pPr>
        <w:pStyle w:val="Recuodecorpodetexto31"/>
        <w:tabs>
          <w:tab w:val="left" w:pos="426"/>
          <w:tab w:val="left" w:pos="720"/>
        </w:tabs>
        <w:ind w:right="-568" w:firstLine="0"/>
        <w:rPr>
          <w:rFonts w:ascii="Times New Roman" w:hAnsi="Times New Roman" w:cs="Times New Roman"/>
          <w:sz w:val="22"/>
          <w:szCs w:val="22"/>
        </w:rPr>
      </w:pPr>
      <w:r w:rsidRPr="00B84389">
        <w:rPr>
          <w:rFonts w:ascii="Times New Roman" w:hAnsi="Times New Roman" w:cs="Times New Roman"/>
          <w:b/>
          <w:sz w:val="22"/>
          <w:szCs w:val="22"/>
        </w:rPr>
        <w:t xml:space="preserve">4.5.4 </w:t>
      </w:r>
      <w:r w:rsidRPr="00B84389">
        <w:rPr>
          <w:rFonts w:ascii="Times New Roman" w:hAnsi="Times New Roman" w:cs="Times New Roman"/>
          <w:sz w:val="22"/>
          <w:szCs w:val="22"/>
        </w:rPr>
        <w:t>Poderá a contratante chamar a central de atendimento da provedora via linha telefônica, hipótese em que os custos com as ligações serão suportados pelo contratante;</w:t>
      </w:r>
    </w:p>
    <w:p w14:paraId="356B089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5.1</w:t>
      </w:r>
      <w:r w:rsidRPr="00B84389">
        <w:rPr>
          <w:rFonts w:ascii="Times New Roman" w:hAnsi="Times New Roman" w:cs="Times New Roman"/>
        </w:rPr>
        <w:t xml:space="preserve"> </w:t>
      </w:r>
      <w:r w:rsidRPr="00B84389">
        <w:rPr>
          <w:rFonts w:ascii="Times New Roman" w:hAnsi="Times New Roman" w:cs="Times New Roman"/>
          <w:b/>
          <w:bCs/>
          <w:i/>
        </w:rPr>
        <w:t>Atualização de Softwares:</w:t>
      </w:r>
    </w:p>
    <w:p w14:paraId="66363C0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5.1.1 </w:t>
      </w:r>
      <w:r w:rsidRPr="00B84389">
        <w:rPr>
          <w:rFonts w:ascii="Times New Roman" w:hAnsi="Times New Roman" w:cs="Times New Roman"/>
        </w:rPr>
        <w:t>Devem ser respeitadas as janelas de atualização acordadas com a gestão de TI do Município, tanto para os ambientes de produção quanto para os de homologação e de testes;</w:t>
      </w:r>
    </w:p>
    <w:p w14:paraId="49AB0129"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5.1.2 </w:t>
      </w:r>
      <w:r w:rsidRPr="00B84389">
        <w:rPr>
          <w:rFonts w:ascii="Times New Roman" w:hAnsi="Times New Roman" w:cs="Times New Roman"/>
        </w:rPr>
        <w:t>O processo de atualização de qualquer software, módulo, sistema operacional entre outros necessários ao funcionamento da solução deve ser comunicado formalmente à CONTRATANTE pelo menos 7 dias úteis antes da data prevista de atualização;</w:t>
      </w:r>
    </w:p>
    <w:p w14:paraId="40586972"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5.1.3 </w:t>
      </w:r>
      <w:r w:rsidRPr="00B84389">
        <w:rPr>
          <w:rFonts w:ascii="Times New Roman" w:hAnsi="Times New Roman" w:cs="Times New Roman"/>
        </w:rPr>
        <w:t>Caso sejam detectados problemas em produção que inviabilizam o serviço ou parte dele, de alta criticidade, a atualização deverá ser revertida imediatamente;</w:t>
      </w:r>
    </w:p>
    <w:p w14:paraId="1AD2154E"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5.1.4 </w:t>
      </w:r>
      <w:r w:rsidRPr="00B84389">
        <w:rPr>
          <w:rFonts w:ascii="Times New Roman" w:hAnsi="Times New Roman" w:cs="Times New Roman"/>
        </w:rPr>
        <w:t xml:space="preserve">A CONTRATADA deve informar à CONTRATANTE todos os detalhes referentes ao processo de atualização, tais como quais softwares serão atualizados, as versões destes softwares, configurações, </w:t>
      </w:r>
      <w:r w:rsidRPr="00B84389">
        <w:rPr>
          <w:rFonts w:ascii="Times New Roman" w:hAnsi="Times New Roman" w:cs="Times New Roman"/>
        </w:rPr>
        <w:lastRenderedPageBreak/>
        <w:t>tempo de indisponibilidade, solicitações atendidas com a atualização ou novas funcionalidades disponibilizadas, atualização de tabelas de parâmetros ou outras configurações, garantindo também a continuidade da integração dos sistemas em uso, necessárias para o funcionamento do sistema pós-atualização;</w:t>
      </w:r>
    </w:p>
    <w:p w14:paraId="0888117A"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5.1.5 </w:t>
      </w:r>
      <w:r w:rsidRPr="00B84389">
        <w:rPr>
          <w:rFonts w:ascii="Times New Roman" w:hAnsi="Times New Roman" w:cs="Times New Roman"/>
        </w:rPr>
        <w:t>Toda e qualquer atualização, deve ser realizada fora dos horários comerciais e em finais de semana, conforme previamente acordado com a gestão de TI, e sem qualquer tipo de ônus para o município. No entanto, todas as configurações necessárias para o funcionamento do sistema devem ser informadas dentro do horário de funcionamento da CONTRATANTE, seguindo o prazo mínimo estipulado nas cláusulas anteriores;</w:t>
      </w:r>
    </w:p>
    <w:p w14:paraId="67133B60"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5.1.6</w:t>
      </w:r>
      <w:r w:rsidRPr="00B84389">
        <w:rPr>
          <w:rFonts w:ascii="Times New Roman" w:hAnsi="Times New Roman" w:cs="Times New Roman"/>
          <w:color w:val="000009"/>
        </w:rPr>
        <w:t xml:space="preserve"> A CONTRATADA e a CONTRATANTE se responsabilizam, mutuamente, pela atualização dos softwares envolvidos no correto e otimizado funcionamento da solução de ERP WEB integrada;</w:t>
      </w:r>
    </w:p>
    <w:p w14:paraId="67D9CBB5"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5.1.7 </w:t>
      </w:r>
      <w:r w:rsidRPr="00B84389">
        <w:rPr>
          <w:rFonts w:ascii="Times New Roman" w:hAnsi="Times New Roman" w:cs="Times New Roman"/>
          <w:color w:val="000009"/>
        </w:rPr>
        <w:t>A CONTRATADA se responsabiliza por adequar o sistema aos principais navegadores do mercado (Safari, Edge, Chrome, Mozilla) nas versões correntemente suportadas pelos fabricantes;</w:t>
      </w:r>
    </w:p>
    <w:p w14:paraId="2968C5EF"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5.1.8 </w:t>
      </w:r>
      <w:r w:rsidRPr="00B84389">
        <w:rPr>
          <w:rFonts w:ascii="Times New Roman" w:hAnsi="Times New Roman" w:cs="Times New Roman"/>
          <w:color w:val="000009"/>
        </w:rPr>
        <w:t>A CONTRATADA se responsabiliza em disponibilizar e instalar todas as atualizações de software do objeto contratado, pelo período de vigência do contrato, tão logo seja disponibilizada a atualização ao consumidor final, e devidamente acordado com a CONTRATANTE, respeitando os critérios elencados neste termo quanto as janelas de atualização da solução;</w:t>
      </w:r>
    </w:p>
    <w:p w14:paraId="337E19DF"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5.1.9 </w:t>
      </w:r>
      <w:r w:rsidRPr="00B84389">
        <w:rPr>
          <w:rFonts w:ascii="Times New Roman" w:hAnsi="Times New Roman" w:cs="Times New Roman"/>
          <w:color w:val="000009"/>
        </w:rPr>
        <w:t>O conjunto de softwares que compõem a solução (sistema operacional, banco de dados, servidor de aplicação, etc) devem estar todos em suas versões mais atuais ou, no mínimo, em uma versão ainda suportada pelo fabricante/desenvolvedor;</w:t>
      </w:r>
    </w:p>
    <w:p w14:paraId="07B354C2"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5.1.10 </w:t>
      </w:r>
      <w:r w:rsidRPr="00B84389">
        <w:rPr>
          <w:rFonts w:ascii="Times New Roman" w:hAnsi="Times New Roman" w:cs="Times New Roman"/>
        </w:rPr>
        <w:t>O procedimento de atualização deverá ser automatizado sem necessidade de interferência do usuário, executado, controlado e auditado pela própria CONTRATANTE, garantindo que o sistema esteja disponível imediatamente após os procedimentos de atualização;</w:t>
      </w:r>
    </w:p>
    <w:p w14:paraId="05C75AAA"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 xml:space="preserve">5.1.11 </w:t>
      </w:r>
      <w:r w:rsidRPr="00B84389">
        <w:rPr>
          <w:rFonts w:ascii="Times New Roman" w:hAnsi="Times New Roman" w:cs="Times New Roman"/>
        </w:rPr>
        <w:t>As atualizações, assim que executadas deverão surtir efeito imediato em todas as estações de trabalho da CONTRATANTE. Excetua-se aqui arquivos da camada front-end em cache no navegador, que poderão ser atualizados com regras específicas.</w:t>
      </w:r>
    </w:p>
    <w:p w14:paraId="4BEDEA7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 xml:space="preserve">6.1 </w:t>
      </w:r>
      <w:r w:rsidRPr="00B84389">
        <w:rPr>
          <w:rFonts w:ascii="Times New Roman" w:hAnsi="Times New Roman" w:cs="Times New Roman"/>
          <w:b/>
          <w:bCs/>
          <w:i/>
        </w:rPr>
        <w:t>Armazenamento e Processamento:</w:t>
      </w:r>
    </w:p>
    <w:p w14:paraId="0148FF13" w14:textId="77777777" w:rsidR="00B307DB" w:rsidRPr="00B84389" w:rsidRDefault="00B307DB" w:rsidP="00B307DB">
      <w:pPr>
        <w:pStyle w:val="Standard"/>
        <w:tabs>
          <w:tab w:val="left" w:pos="709"/>
          <w:tab w:val="left" w:pos="1167"/>
          <w:tab w:val="left" w:pos="1276"/>
          <w:tab w:val="left" w:pos="1422"/>
          <w:tab w:val="left" w:pos="1677"/>
          <w:tab w:val="left" w:pos="1992"/>
          <w:tab w:val="left" w:pos="2247"/>
          <w:tab w:val="left" w:leader="underscore" w:pos="7363"/>
        </w:tabs>
        <w:ind w:right="-568"/>
        <w:jc w:val="both"/>
        <w:rPr>
          <w:rStyle w:val="Fontepargpadro1"/>
          <w:rFonts w:cs="Times New Roman"/>
          <w:sz w:val="22"/>
          <w:szCs w:val="22"/>
        </w:rPr>
      </w:pPr>
      <w:r w:rsidRPr="00B84389">
        <w:rPr>
          <w:rStyle w:val="Fontepargpadro1"/>
          <w:rFonts w:cs="Times New Roman"/>
          <w:b/>
          <w:sz w:val="22"/>
          <w:szCs w:val="22"/>
        </w:rPr>
        <w:t xml:space="preserve">6.1.1 </w:t>
      </w:r>
      <w:r w:rsidRPr="00B84389">
        <w:rPr>
          <w:rStyle w:val="Fontepargpadro1"/>
          <w:rFonts w:cs="Times New Roman"/>
          <w:sz w:val="22"/>
          <w:szCs w:val="22"/>
        </w:rPr>
        <w:t xml:space="preserve">A contratação de sistema de gestão, com a necessidade de exigências mínimas quanto ao armazenamento das informações, disponibilidade e segurança dos dados, remete a construção de um modelo onde o Software (SaaS - </w:t>
      </w:r>
      <w:r w:rsidRPr="00B84389">
        <w:rPr>
          <w:rStyle w:val="Fontepargpadro1"/>
          <w:rFonts w:cs="Times New Roman"/>
          <w:i/>
          <w:iCs/>
          <w:sz w:val="22"/>
          <w:szCs w:val="22"/>
        </w:rPr>
        <w:t>Software as a Service</w:t>
      </w:r>
      <w:r w:rsidRPr="00B84389">
        <w:rPr>
          <w:rStyle w:val="Fontepargpadro1"/>
          <w:rFonts w:cs="Times New Roman"/>
          <w:sz w:val="22"/>
          <w:szCs w:val="22"/>
        </w:rPr>
        <w:t>) e a infraestrutura são vistos como um serviço inerente para soluções de ERP web e em nuvem para a administração pública;</w:t>
      </w:r>
    </w:p>
    <w:p w14:paraId="686E2A95" w14:textId="77777777" w:rsidR="00B307DB" w:rsidRPr="00B84389" w:rsidRDefault="00B307DB" w:rsidP="00B307DB">
      <w:pPr>
        <w:pStyle w:val="Standard"/>
        <w:tabs>
          <w:tab w:val="left" w:pos="709"/>
          <w:tab w:val="left" w:pos="1167"/>
          <w:tab w:val="left" w:pos="1276"/>
          <w:tab w:val="left" w:pos="1422"/>
          <w:tab w:val="left" w:pos="1677"/>
          <w:tab w:val="left" w:pos="1992"/>
          <w:tab w:val="left" w:pos="2247"/>
          <w:tab w:val="left" w:leader="underscore" w:pos="7363"/>
        </w:tabs>
        <w:ind w:right="-568"/>
        <w:jc w:val="both"/>
        <w:rPr>
          <w:rFonts w:cs="Times New Roman"/>
          <w:sz w:val="22"/>
          <w:szCs w:val="22"/>
        </w:rPr>
      </w:pPr>
      <w:r w:rsidRPr="00B84389">
        <w:rPr>
          <w:rFonts w:cs="Times New Roman"/>
          <w:b/>
          <w:sz w:val="22"/>
          <w:szCs w:val="22"/>
        </w:rPr>
        <w:t xml:space="preserve">6.1.2 </w:t>
      </w:r>
      <w:r w:rsidRPr="00B84389">
        <w:rPr>
          <w:rFonts w:cs="Times New Roman"/>
          <w:sz w:val="22"/>
          <w:szCs w:val="22"/>
        </w:rPr>
        <w:t>A Contratante pagará a Contratada uma taxa de assinatura que engloba o acesso ao software, manutenção, suporte, atualizações e a infraestrutura para hospedagem. A taxa de assinatura do serviço, portanto, deve contemplar todos os gastos referentes à infraestrutura do datacenter, como servidores, armazenamento, refrigeração, energia, segurança, etc.</w:t>
      </w:r>
    </w:p>
    <w:p w14:paraId="65647630" w14:textId="77777777" w:rsidR="00B307DB" w:rsidRPr="00B84389" w:rsidRDefault="00B307DB" w:rsidP="00B307DB">
      <w:pPr>
        <w:spacing w:after="0" w:line="240" w:lineRule="auto"/>
        <w:ind w:left="-5" w:right="-568"/>
        <w:jc w:val="both"/>
        <w:rPr>
          <w:rFonts w:ascii="Times New Roman" w:hAnsi="Times New Roman" w:cs="Times New Roman"/>
          <w:b/>
        </w:rPr>
      </w:pPr>
      <w:r w:rsidRPr="00B84389">
        <w:rPr>
          <w:rFonts w:ascii="Times New Roman" w:hAnsi="Times New Roman" w:cs="Times New Roman"/>
          <w:b/>
        </w:rPr>
        <w:t xml:space="preserve">7 </w:t>
      </w:r>
      <w:r w:rsidRPr="00B84389">
        <w:rPr>
          <w:rFonts w:ascii="Times New Roman" w:hAnsi="Times New Roman" w:cs="Times New Roman"/>
          <w:b/>
          <w:i/>
        </w:rPr>
        <w:t>Acordo de Nível de Serviços (ANS)</w:t>
      </w:r>
    </w:p>
    <w:p w14:paraId="5A16EF7F" w14:textId="77777777" w:rsidR="00B307DB" w:rsidRPr="00B84389" w:rsidRDefault="00B307DB" w:rsidP="00B307DB">
      <w:pPr>
        <w:spacing w:after="0" w:line="240" w:lineRule="auto"/>
        <w:ind w:left="-5" w:right="-568"/>
        <w:jc w:val="both"/>
        <w:rPr>
          <w:rFonts w:ascii="Times New Roman" w:hAnsi="Times New Roman" w:cs="Times New Roman"/>
        </w:rPr>
      </w:pPr>
      <w:r w:rsidRPr="00B84389">
        <w:rPr>
          <w:rFonts w:ascii="Times New Roman" w:hAnsi="Times New Roman" w:cs="Times New Roman"/>
          <w:b/>
        </w:rPr>
        <w:t>7.1</w:t>
      </w:r>
      <w:r w:rsidRPr="00B84389">
        <w:rPr>
          <w:rFonts w:ascii="Times New Roman" w:hAnsi="Times New Roman" w:cs="Times New Roman"/>
        </w:rPr>
        <w:t xml:space="preserve"> Os serviços após a implantação estão regrados pelo acordo de Nível Mínimo de Serviço (ANS), em consonância a forma de classificação da urgência no atendimento das solicitações, conforme segue:</w:t>
      </w:r>
    </w:p>
    <w:p w14:paraId="3CEEAFBB" w14:textId="77777777" w:rsidR="00B307DB" w:rsidRPr="00B84389" w:rsidRDefault="00B307DB" w:rsidP="00B307DB">
      <w:pPr>
        <w:spacing w:after="0" w:line="240" w:lineRule="auto"/>
        <w:ind w:right="-568"/>
        <w:jc w:val="both"/>
        <w:rPr>
          <w:rFonts w:ascii="Times New Roman" w:hAnsi="Times New Roman" w:cs="Times New Roman"/>
          <w:color w:val="000000" w:themeColor="text1"/>
        </w:rPr>
      </w:pPr>
      <w:r w:rsidRPr="00B84389">
        <w:rPr>
          <w:rFonts w:ascii="Times New Roman" w:hAnsi="Times New Roman" w:cs="Times New Roman"/>
          <w:b/>
          <w:bCs/>
          <w:color w:val="000000" w:themeColor="text1"/>
        </w:rPr>
        <w:t>7.1.1</w:t>
      </w:r>
      <w:r w:rsidRPr="00B84389">
        <w:rPr>
          <w:rFonts w:ascii="Times New Roman" w:hAnsi="Times New Roman" w:cs="Times New Roman"/>
          <w:color w:val="000000" w:themeColor="text1"/>
        </w:rPr>
        <w:t xml:space="preserve"> A prestação dos serviços divide-se em serviços em garantia, que são aqueles oriundos ao objeto e contratualmente previstos, os quais serão prestados pela Contratada sem custos adicionais, de acordo com os limites contratuais; e os serviços sem garantia, </w:t>
      </w:r>
    </w:p>
    <w:p w14:paraId="2BD8758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color w:val="000000" w:themeColor="text1"/>
        </w:rPr>
        <w:t>ue compreendem aqueles que, embora ultrapassem os limites do contratualmente previsto para a prestação dos serviços, poderão ser prestados pela Contratada a partir da contratação prévia da Contratante por hora técnica, observadas as disposições contratuais e sua viabilidade técnica;</w:t>
      </w:r>
    </w:p>
    <w:p w14:paraId="2A2242D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7.1.2</w:t>
      </w:r>
      <w:r w:rsidRPr="00B84389">
        <w:rPr>
          <w:rFonts w:ascii="Times New Roman" w:hAnsi="Times New Roman" w:cs="Times New Roman"/>
          <w:color w:val="000000" w:themeColor="text1"/>
        </w:rPr>
        <w:t xml:space="preserve"> São considerados serviços em garantia, devendo ser prestados sem a cobrança de custos adicionais ao Município:</w:t>
      </w:r>
    </w:p>
    <w:p w14:paraId="7F6A2649" w14:textId="77777777" w:rsidR="00B307DB" w:rsidRPr="00B84389" w:rsidRDefault="00B307DB" w:rsidP="00B307DB">
      <w:pPr>
        <w:pStyle w:val="PargrafodaLista"/>
        <w:tabs>
          <w:tab w:val="left" w:pos="284"/>
        </w:tabs>
        <w:suppressAutoHyphens/>
        <w:spacing w:after="0" w:line="240" w:lineRule="auto"/>
        <w:ind w:left="0" w:right="-568"/>
        <w:jc w:val="both"/>
        <w:rPr>
          <w:rFonts w:ascii="Times New Roman" w:hAnsi="Times New Roman" w:cs="Times New Roman"/>
        </w:rPr>
      </w:pPr>
      <w:r w:rsidRPr="00052EBD">
        <w:rPr>
          <w:rFonts w:ascii="Times New Roman" w:hAnsi="Times New Roman" w:cs="Times New Roman"/>
          <w:b/>
          <w:i/>
          <w:color w:val="000000" w:themeColor="text1"/>
          <w:u w:val="single"/>
        </w:rPr>
        <w:t>a)</w:t>
      </w:r>
      <w:r>
        <w:rPr>
          <w:rFonts w:ascii="Times New Roman" w:hAnsi="Times New Roman" w:cs="Times New Roman"/>
          <w:i/>
          <w:color w:val="000000" w:themeColor="text1"/>
          <w:u w:val="single"/>
        </w:rPr>
        <w:t xml:space="preserve"> </w:t>
      </w:r>
      <w:r w:rsidRPr="00B84389">
        <w:rPr>
          <w:rFonts w:ascii="Times New Roman" w:hAnsi="Times New Roman" w:cs="Times New Roman"/>
          <w:b/>
          <w:i/>
          <w:color w:val="000000" w:themeColor="text1"/>
          <w:u w:val="single"/>
        </w:rPr>
        <w:t>Software</w:t>
      </w:r>
      <w:r w:rsidRPr="00B84389">
        <w:rPr>
          <w:rFonts w:ascii="Times New Roman" w:hAnsi="Times New Roman" w:cs="Times New Roman"/>
          <w:b/>
          <w:color w:val="000000" w:themeColor="text1"/>
          <w:u w:val="single"/>
        </w:rPr>
        <w:t xml:space="preserve"> Inacessível</w:t>
      </w:r>
      <w:r w:rsidRPr="00B84389">
        <w:rPr>
          <w:rFonts w:ascii="Times New Roman" w:hAnsi="Times New Roman" w:cs="Times New Roman"/>
          <w:color w:val="000000" w:themeColor="text1"/>
        </w:rPr>
        <w:t xml:space="preserve">. Que se entende como </w:t>
      </w:r>
      <w:r w:rsidRPr="00B84389">
        <w:rPr>
          <w:rFonts w:ascii="Times New Roman" w:hAnsi="Times New Roman" w:cs="Times New Roman"/>
          <w:i/>
          <w:color w:val="000000" w:themeColor="text1"/>
        </w:rPr>
        <w:t>Software</w:t>
      </w:r>
      <w:r w:rsidRPr="00B84389">
        <w:rPr>
          <w:rFonts w:ascii="Times New Roman" w:hAnsi="Times New Roman" w:cs="Times New Roman"/>
          <w:color w:val="000000" w:themeColor="text1"/>
        </w:rPr>
        <w:t xml:space="preserve"> fora do ar, exceto em manutenções programadas, como por exemplo, atualização de </w:t>
      </w:r>
      <w:r w:rsidRPr="00B84389">
        <w:rPr>
          <w:rFonts w:ascii="Times New Roman" w:hAnsi="Times New Roman" w:cs="Times New Roman"/>
          <w:i/>
          <w:color w:val="000000" w:themeColor="text1"/>
        </w:rPr>
        <w:t>releases</w:t>
      </w:r>
      <w:r w:rsidRPr="00B84389">
        <w:rPr>
          <w:rFonts w:ascii="Times New Roman" w:hAnsi="Times New Roman" w:cs="Times New Roman"/>
          <w:color w:val="000000" w:themeColor="text1"/>
        </w:rPr>
        <w:t xml:space="preserve">, atualização da versão do SGBD, ampliação de </w:t>
      </w:r>
      <w:r w:rsidRPr="00B84389">
        <w:rPr>
          <w:rFonts w:ascii="Times New Roman" w:hAnsi="Times New Roman" w:cs="Times New Roman"/>
          <w:i/>
          <w:color w:val="000000" w:themeColor="text1"/>
        </w:rPr>
        <w:t>hardware</w:t>
      </w:r>
      <w:r w:rsidRPr="00B84389">
        <w:rPr>
          <w:rFonts w:ascii="Times New Roman" w:hAnsi="Times New Roman" w:cs="Times New Roman"/>
          <w:color w:val="000000" w:themeColor="text1"/>
        </w:rPr>
        <w:t xml:space="preserve">, entre outras inerentes a prestação de serviços pela manutenção do sistema, de acordo com as obrigações contratuais e oriundas de contratações adicionais da Contratante. Para os casos em que as manutenções programadas exijam parada total do </w:t>
      </w:r>
      <w:r w:rsidRPr="00B84389">
        <w:rPr>
          <w:rFonts w:ascii="Times New Roman" w:hAnsi="Times New Roman" w:cs="Times New Roman"/>
          <w:i/>
          <w:color w:val="000000" w:themeColor="text1"/>
        </w:rPr>
        <w:t xml:space="preserve">Software, </w:t>
      </w:r>
      <w:r w:rsidRPr="00B84389">
        <w:rPr>
          <w:rFonts w:ascii="Times New Roman" w:hAnsi="Times New Roman" w:cs="Times New Roman"/>
          <w:color w:val="000000" w:themeColor="text1"/>
        </w:rPr>
        <w:t>a Contratada expedirá comunicação prévia à Contratante através dos canais de atendimento para contato direto e ciência daquela;</w:t>
      </w:r>
    </w:p>
    <w:p w14:paraId="264BC0F9"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b) </w:t>
      </w:r>
      <w:r w:rsidRPr="00B84389">
        <w:rPr>
          <w:rFonts w:ascii="Times New Roman" w:hAnsi="Times New Roman" w:cs="Times New Roman"/>
          <w:b/>
          <w:color w:val="000000" w:themeColor="text1"/>
          <w:u w:val="single"/>
        </w:rPr>
        <w:t xml:space="preserve">Inconformidade em </w:t>
      </w:r>
      <w:r w:rsidRPr="00B84389">
        <w:rPr>
          <w:rFonts w:ascii="Times New Roman" w:hAnsi="Times New Roman" w:cs="Times New Roman"/>
          <w:b/>
          <w:i/>
          <w:color w:val="000000" w:themeColor="text1"/>
          <w:u w:val="single"/>
        </w:rPr>
        <w:t>Software</w:t>
      </w:r>
      <w:r w:rsidRPr="00B84389">
        <w:rPr>
          <w:rFonts w:ascii="Times New Roman" w:hAnsi="Times New Roman" w:cs="Times New Roman"/>
          <w:i/>
          <w:color w:val="000000" w:themeColor="text1"/>
        </w:rPr>
        <w:t xml:space="preserve">: </w:t>
      </w:r>
      <w:r w:rsidRPr="00B84389">
        <w:rPr>
          <w:rFonts w:ascii="Times New Roman" w:hAnsi="Times New Roman" w:cs="Times New Roman"/>
          <w:iCs/>
          <w:color w:val="000000" w:themeColor="text1"/>
        </w:rPr>
        <w:t xml:space="preserve">consideradas </w:t>
      </w:r>
      <w:r w:rsidRPr="00B84389">
        <w:rPr>
          <w:rFonts w:ascii="Times New Roman" w:hAnsi="Times New Roman" w:cs="Times New Roman"/>
          <w:iCs/>
        </w:rPr>
        <w:t>anomalias relacionadas a “erros de software” e não tem correlação com parametrizações, inserções incorretas</w:t>
      </w:r>
      <w:r w:rsidRPr="00B84389">
        <w:rPr>
          <w:rFonts w:ascii="Times New Roman" w:hAnsi="Times New Roman" w:cs="Times New Roman"/>
        </w:rPr>
        <w:t xml:space="preserve"> de dados, inconsistências nos bancos de dados e tabelas ou erros de operação dos usuários. É previsível, pois ocorre porque não é razoável presumir que a atividade de testes descobrirá todos os erros latentes na implantação de um grande sistema de software. </w:t>
      </w:r>
      <w:r w:rsidRPr="00B84389">
        <w:rPr>
          <w:rFonts w:ascii="Times New Roman" w:hAnsi="Times New Roman" w:cs="Times New Roman"/>
        </w:rPr>
        <w:lastRenderedPageBreak/>
        <w:t>Durante o uso de qualquer sistema de grande porte, erros ocorrerão e deverão ser relatados à Contratada visando a sua correção sem qualquer custo adicional;</w:t>
      </w:r>
    </w:p>
    <w:p w14:paraId="4336CD13"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c) </w:t>
      </w:r>
      <w:r w:rsidRPr="00B84389">
        <w:rPr>
          <w:rFonts w:ascii="Times New Roman" w:hAnsi="Times New Roman" w:cs="Times New Roman"/>
          <w:b/>
          <w:color w:val="000000" w:themeColor="text1"/>
          <w:u w:val="single"/>
        </w:rPr>
        <w:t xml:space="preserve">Adequação do </w:t>
      </w:r>
      <w:r w:rsidRPr="00B84389">
        <w:rPr>
          <w:rFonts w:ascii="Times New Roman" w:hAnsi="Times New Roman" w:cs="Times New Roman"/>
          <w:b/>
          <w:i/>
          <w:color w:val="000000" w:themeColor="text1"/>
          <w:u w:val="single"/>
        </w:rPr>
        <w:t>Software</w:t>
      </w:r>
      <w:r w:rsidRPr="00B84389">
        <w:rPr>
          <w:rFonts w:ascii="Times New Roman" w:hAnsi="Times New Roman" w:cs="Times New Roman"/>
          <w:b/>
          <w:color w:val="000000" w:themeColor="text1"/>
          <w:u w:val="single"/>
        </w:rPr>
        <w:t xml:space="preserve"> para atendimento às legislações</w:t>
      </w:r>
      <w:r w:rsidRPr="00B84389">
        <w:rPr>
          <w:rFonts w:ascii="Times New Roman" w:hAnsi="Times New Roman" w:cs="Times New Roman"/>
          <w:color w:val="000000" w:themeColor="text1"/>
        </w:rPr>
        <w:t xml:space="preserve"> federais e estaduais, observados os limites contratuais. </w:t>
      </w:r>
      <w:r w:rsidRPr="00B84389">
        <w:rPr>
          <w:rFonts w:ascii="Times New Roman" w:hAnsi="Times New Roman" w:cs="Times New Roman"/>
        </w:rPr>
        <w:t>Em caso de mudanças na legislação federal, estadual ou em normas infra legais dos órgãos de controle externo (por exemplo: Tribunais de Contas, STN), quanto a prestações de contas e contabilidade pública durante a vigência contratual. A Contratada deverá elaborar uma programação para atendimento às mudanças ocorridas na legislação, sem prejuízos à operação do sistema</w:t>
      </w:r>
      <w:r w:rsidRPr="00B84389">
        <w:rPr>
          <w:rFonts w:ascii="Times New Roman" w:hAnsi="Times New Roman" w:cs="Times New Roman"/>
          <w:color w:val="000000" w:themeColor="text1"/>
        </w:rPr>
        <w:t>;</w:t>
      </w:r>
    </w:p>
    <w:p w14:paraId="286629B8"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d) </w:t>
      </w:r>
      <w:r w:rsidRPr="00B84389">
        <w:rPr>
          <w:rFonts w:ascii="Times New Roman" w:hAnsi="Times New Roman" w:cs="Times New Roman"/>
          <w:b/>
          <w:color w:val="000000" w:themeColor="text1"/>
          <w:u w:val="single"/>
        </w:rPr>
        <w:t>Intervenções em banco de dados</w:t>
      </w:r>
      <w:r w:rsidRPr="00B84389">
        <w:rPr>
          <w:rFonts w:ascii="Times New Roman" w:hAnsi="Times New Roman" w:cs="Times New Roman"/>
          <w:color w:val="000000" w:themeColor="text1"/>
        </w:rPr>
        <w:t xml:space="preserve"> para reparar inconsistências ocasionadas por falhas do </w:t>
      </w:r>
      <w:r w:rsidRPr="00B84389">
        <w:rPr>
          <w:rFonts w:ascii="Times New Roman" w:hAnsi="Times New Roman" w:cs="Times New Roman"/>
          <w:i/>
          <w:color w:val="000000" w:themeColor="text1"/>
        </w:rPr>
        <w:t>Software</w:t>
      </w:r>
      <w:r w:rsidRPr="00B84389">
        <w:rPr>
          <w:rFonts w:ascii="Times New Roman" w:hAnsi="Times New Roman" w:cs="Times New Roman"/>
          <w:color w:val="000000" w:themeColor="text1"/>
        </w:rPr>
        <w:t xml:space="preserve"> ou eventualmente derivados de operações técnicas da Contratada;</w:t>
      </w:r>
    </w:p>
    <w:p w14:paraId="725B4D2F"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e) </w:t>
      </w:r>
      <w:r w:rsidRPr="00B84389">
        <w:rPr>
          <w:rFonts w:ascii="Times New Roman" w:hAnsi="Times New Roman" w:cs="Times New Roman"/>
          <w:b/>
          <w:color w:val="000000" w:themeColor="text1"/>
          <w:u w:val="single"/>
        </w:rPr>
        <w:t>Operações inconsistentes durante configurações</w:t>
      </w:r>
      <w:r w:rsidRPr="00B84389">
        <w:rPr>
          <w:rFonts w:ascii="Times New Roman" w:hAnsi="Times New Roman" w:cs="Times New Roman"/>
          <w:color w:val="000000" w:themeColor="text1"/>
        </w:rPr>
        <w:t xml:space="preserve"> que possam ser realizadas pela Contratada;</w:t>
      </w:r>
    </w:p>
    <w:p w14:paraId="33AD0002"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u w:val="single"/>
        </w:rPr>
        <w:t xml:space="preserve">f) </w:t>
      </w:r>
      <w:r w:rsidRPr="00B84389">
        <w:rPr>
          <w:rFonts w:ascii="Times New Roman" w:hAnsi="Times New Roman" w:cs="Times New Roman"/>
          <w:b/>
          <w:u w:val="single"/>
        </w:rPr>
        <w:t xml:space="preserve">Serviço </w:t>
      </w:r>
      <w:r w:rsidRPr="00B84389">
        <w:rPr>
          <w:rFonts w:ascii="Times New Roman" w:hAnsi="Times New Roman" w:cs="Times New Roman"/>
          <w:b/>
          <w:color w:val="000000" w:themeColor="text1"/>
          <w:u w:val="single"/>
        </w:rPr>
        <w:t>de suporte técnico</w:t>
      </w:r>
      <w:r w:rsidRPr="00B84389">
        <w:rPr>
          <w:rFonts w:ascii="Times New Roman" w:hAnsi="Times New Roman" w:cs="Times New Roman"/>
        </w:rPr>
        <w:t>,</w:t>
      </w:r>
      <w:r w:rsidRPr="00B84389">
        <w:rPr>
          <w:rFonts w:ascii="Times New Roman" w:hAnsi="Times New Roman" w:cs="Times New Roman"/>
          <w:color w:val="000000" w:themeColor="text1"/>
        </w:rPr>
        <w:t xml:space="preserve"> pela Central de Atendimento através dos canais de atendimento disponíveis, quais sejam o </w:t>
      </w:r>
      <w:r w:rsidRPr="00B84389">
        <w:rPr>
          <w:rFonts w:ascii="Times New Roman" w:hAnsi="Times New Roman" w:cs="Times New Roman"/>
          <w:i/>
          <w:color w:val="000000" w:themeColor="text1"/>
        </w:rPr>
        <w:t>Chat Online</w:t>
      </w:r>
      <w:r w:rsidRPr="00B84389">
        <w:rPr>
          <w:rFonts w:ascii="Times New Roman" w:hAnsi="Times New Roman" w:cs="Times New Roman"/>
          <w:color w:val="000000" w:themeColor="text1"/>
        </w:rPr>
        <w:t>, telefone e e-mail.</w:t>
      </w:r>
    </w:p>
    <w:p w14:paraId="0EE610F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7.1.3</w:t>
      </w:r>
      <w:r w:rsidRPr="00B84389">
        <w:rPr>
          <w:rFonts w:ascii="Times New Roman" w:hAnsi="Times New Roman" w:cs="Times New Roman"/>
          <w:color w:val="000000" w:themeColor="text1"/>
        </w:rPr>
        <w:t xml:space="preserve"> São considerados serviços sem garantia, que serão prestados mediante solicitação da Contratante, e pagamento por hora técnica, conforme preços vigentes no Contrato assinado pelas partes:</w:t>
      </w:r>
    </w:p>
    <w:p w14:paraId="2B267F98" w14:textId="77777777" w:rsidR="00B307DB" w:rsidRPr="00B84389" w:rsidRDefault="00B307DB" w:rsidP="00B307DB">
      <w:pPr>
        <w:pStyle w:val="PargrafodaLista"/>
        <w:tabs>
          <w:tab w:val="left" w:pos="284"/>
        </w:tabs>
        <w:suppressAutoHyphens/>
        <w:spacing w:after="0" w:line="240" w:lineRule="auto"/>
        <w:ind w:left="0" w:right="-568"/>
        <w:jc w:val="both"/>
        <w:rPr>
          <w:rFonts w:ascii="Times New Roman" w:hAnsi="Times New Roman" w:cs="Times New Roman"/>
        </w:rPr>
      </w:pPr>
      <w:r>
        <w:rPr>
          <w:rFonts w:ascii="Times New Roman" w:hAnsi="Times New Roman" w:cs="Times New Roman"/>
          <w:b/>
          <w:color w:val="000000" w:themeColor="text1"/>
          <w:u w:val="single"/>
        </w:rPr>
        <w:t xml:space="preserve">a) </w:t>
      </w:r>
      <w:r w:rsidRPr="00B84389">
        <w:rPr>
          <w:rFonts w:ascii="Times New Roman" w:hAnsi="Times New Roman" w:cs="Times New Roman"/>
          <w:b/>
          <w:color w:val="000000" w:themeColor="text1"/>
          <w:u w:val="single"/>
        </w:rPr>
        <w:t xml:space="preserve">Customizações do </w:t>
      </w:r>
      <w:r w:rsidRPr="00B84389">
        <w:rPr>
          <w:rFonts w:ascii="Times New Roman" w:hAnsi="Times New Roman" w:cs="Times New Roman"/>
          <w:b/>
          <w:i/>
          <w:color w:val="000000" w:themeColor="text1"/>
          <w:u w:val="single"/>
        </w:rPr>
        <w:t>Software</w:t>
      </w:r>
      <w:r w:rsidRPr="00B84389">
        <w:rPr>
          <w:rFonts w:ascii="Times New Roman" w:hAnsi="Times New Roman" w:cs="Times New Roman"/>
          <w:i/>
          <w:color w:val="000000" w:themeColor="text1"/>
        </w:rPr>
        <w:t xml:space="preserve"> </w:t>
      </w:r>
      <w:r w:rsidRPr="00B84389">
        <w:rPr>
          <w:rFonts w:ascii="Times New Roman" w:hAnsi="Times New Roman" w:cs="Times New Roman"/>
          <w:color w:val="000000" w:themeColor="text1"/>
        </w:rPr>
        <w:t xml:space="preserve">a partir das especificidades apresentadas pela Contratante e não previstas contratualmente, desde que tecnicamente viáveis, preservando-se a integridade da estrutura do </w:t>
      </w:r>
      <w:r w:rsidRPr="00B84389">
        <w:rPr>
          <w:rFonts w:ascii="Times New Roman" w:hAnsi="Times New Roman" w:cs="Times New Roman"/>
          <w:i/>
          <w:color w:val="000000" w:themeColor="text1"/>
        </w:rPr>
        <w:t>Software</w:t>
      </w:r>
      <w:r w:rsidRPr="00B84389">
        <w:rPr>
          <w:rFonts w:ascii="Times New Roman" w:hAnsi="Times New Roman" w:cs="Times New Roman"/>
          <w:color w:val="000000" w:themeColor="text1"/>
        </w:rPr>
        <w:t>;</w:t>
      </w:r>
    </w:p>
    <w:p w14:paraId="7EF9C135"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b) </w:t>
      </w:r>
      <w:r w:rsidRPr="00B84389">
        <w:rPr>
          <w:rFonts w:ascii="Times New Roman" w:hAnsi="Times New Roman" w:cs="Times New Roman"/>
          <w:b/>
          <w:color w:val="000000" w:themeColor="text1"/>
          <w:u w:val="single"/>
        </w:rPr>
        <w:t>Personalização de relatórios</w:t>
      </w:r>
      <w:r w:rsidRPr="00B84389">
        <w:rPr>
          <w:rFonts w:ascii="Times New Roman" w:hAnsi="Times New Roman" w:cs="Times New Roman"/>
          <w:color w:val="000000" w:themeColor="text1"/>
        </w:rPr>
        <w:t xml:space="preserve"> diversos dentre os diversos módulos, que possam resultar na inclusão ou subtração de informações, além da criação de relatórios específicos e próprios à Contratante;</w:t>
      </w:r>
    </w:p>
    <w:p w14:paraId="4E760A09"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c) </w:t>
      </w:r>
      <w:r w:rsidRPr="00B84389">
        <w:rPr>
          <w:rFonts w:ascii="Times New Roman" w:hAnsi="Times New Roman" w:cs="Times New Roman"/>
          <w:b/>
          <w:color w:val="000000" w:themeColor="text1"/>
          <w:u w:val="single"/>
        </w:rPr>
        <w:t xml:space="preserve">Criação ou alterações em configurações do </w:t>
      </w:r>
      <w:r w:rsidRPr="00B84389">
        <w:rPr>
          <w:rFonts w:ascii="Times New Roman" w:hAnsi="Times New Roman" w:cs="Times New Roman"/>
          <w:b/>
          <w:i/>
          <w:color w:val="000000" w:themeColor="text1"/>
          <w:u w:val="single"/>
        </w:rPr>
        <w:t>Software</w:t>
      </w:r>
      <w:r w:rsidRPr="00B84389">
        <w:rPr>
          <w:rFonts w:ascii="Times New Roman" w:hAnsi="Times New Roman" w:cs="Times New Roman"/>
          <w:i/>
          <w:color w:val="000000" w:themeColor="text1"/>
        </w:rPr>
        <w:t>,</w:t>
      </w:r>
      <w:r w:rsidRPr="00B84389">
        <w:rPr>
          <w:rFonts w:ascii="Times New Roman" w:hAnsi="Times New Roman" w:cs="Times New Roman"/>
          <w:color w:val="000000" w:themeColor="text1"/>
        </w:rPr>
        <w:t xml:space="preserve"> como por exemplo, configuração de convênios bancários, configuração de carnês com carteira registrada, configuração de parcelamentos, fórmulas de cálculos, cálculos de folhas de pagamentos e décimo terceiro, provisões de férias, décimo terceiro e licença prêmio, contabilização da receita, configurações de integração entre os diversos módulos com a Contabilidade, bem como configuração de rotinas para as LOA, LDO e PPA, configurações e a criação de serviços para autoatendimento, criação de consultas específicas via SQL no banco de dados,  dentre outros não abrangidos na previsão pela prestação do suporte técnico, observados os limites contratuais, além daqueles que possam estar contratualmente relacionados as demandas para atendimento técnico remoto ou </w:t>
      </w:r>
      <w:r w:rsidRPr="00B84389">
        <w:rPr>
          <w:rFonts w:ascii="Times New Roman" w:hAnsi="Times New Roman" w:cs="Times New Roman"/>
          <w:i/>
          <w:color w:val="000000" w:themeColor="text1"/>
        </w:rPr>
        <w:t>in loco</w:t>
      </w:r>
      <w:r w:rsidRPr="00B84389">
        <w:rPr>
          <w:rFonts w:ascii="Times New Roman" w:hAnsi="Times New Roman" w:cs="Times New Roman"/>
          <w:color w:val="000000" w:themeColor="text1"/>
        </w:rPr>
        <w:t>;</w:t>
      </w:r>
    </w:p>
    <w:p w14:paraId="216BD7CF"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d) </w:t>
      </w:r>
      <w:r w:rsidRPr="00B84389">
        <w:rPr>
          <w:rFonts w:ascii="Times New Roman" w:hAnsi="Times New Roman" w:cs="Times New Roman"/>
          <w:b/>
          <w:color w:val="000000" w:themeColor="text1"/>
          <w:u w:val="single"/>
        </w:rPr>
        <w:t>Serviços de consultorias</w:t>
      </w:r>
      <w:r w:rsidRPr="00B84389">
        <w:rPr>
          <w:rFonts w:ascii="Times New Roman" w:hAnsi="Times New Roman" w:cs="Times New Roman"/>
          <w:color w:val="000000" w:themeColor="text1"/>
        </w:rPr>
        <w:t xml:space="preserve">, como por exemplo, assessoria em informática para prestação de contas junto ao Tribunal de Contas do Estado, e a geração de arquivos e análises de regras e outras demandas que possam vir a ser solicitadas por órgãos fiscalizadores diversos, como por exemplo, análise e elaboração de documentos referente a Termo de Ajuste de Conduta (TAC) do Ministério Público. Também são considerados de consultoria, serviços relacionados ao </w:t>
      </w:r>
      <w:r w:rsidRPr="00B84389">
        <w:rPr>
          <w:rFonts w:ascii="Times New Roman" w:hAnsi="Times New Roman" w:cs="Times New Roman"/>
        </w:rPr>
        <w:t>encerramento e abertura do exercício contábil, geração e conferência da DIRF, RAIS, SIOPE</w:t>
      </w:r>
      <w:r w:rsidRPr="00B84389">
        <w:rPr>
          <w:rFonts w:ascii="Times New Roman" w:hAnsi="Times New Roman" w:cs="Times New Roman"/>
          <w:color w:val="000000" w:themeColor="text1"/>
        </w:rPr>
        <w:t xml:space="preserve">, MSC, SEFIP, SIOPS, e-Social, </w:t>
      </w:r>
      <w:r w:rsidRPr="00B84389">
        <w:rPr>
          <w:rFonts w:ascii="Times New Roman" w:hAnsi="Times New Roman" w:cs="Times New Roman"/>
        </w:rPr>
        <w:t>mapeamento de fluxos de processos e/ou alterações no workflow do sistema, implementação de alterações legislativas provenientes do código tributário municipal, ou de obras e posturas, gerações de cálculos específicos e complexos (IPTU por exemplo e arquivo para impressão de carnês);</w:t>
      </w:r>
    </w:p>
    <w:p w14:paraId="4142E030"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e) </w:t>
      </w:r>
      <w:r w:rsidRPr="00B84389">
        <w:rPr>
          <w:rFonts w:ascii="Times New Roman" w:hAnsi="Times New Roman" w:cs="Times New Roman"/>
          <w:b/>
          <w:color w:val="000000" w:themeColor="text1"/>
          <w:u w:val="single"/>
        </w:rPr>
        <w:t>Intervenções via banco de dados</w:t>
      </w:r>
      <w:r w:rsidRPr="00B84389">
        <w:rPr>
          <w:rFonts w:ascii="Times New Roman" w:hAnsi="Times New Roman" w:cs="Times New Roman"/>
          <w:color w:val="000000" w:themeColor="text1"/>
        </w:rPr>
        <w:t xml:space="preserve"> a fim de reparar/alterar/ajustar e outras ações visando adequar as informações quando eventuais inconformidades derivarem da operação dos usuários;</w:t>
      </w:r>
    </w:p>
    <w:p w14:paraId="3D9F6FEC" w14:textId="77777777" w:rsidR="00B307DB" w:rsidRPr="00B84389" w:rsidRDefault="00B307DB" w:rsidP="00B307DB">
      <w:pPr>
        <w:pStyle w:val="PargrafodaLista"/>
        <w:tabs>
          <w:tab w:val="left" w:pos="284"/>
        </w:tabs>
        <w:suppressAutoHyphens/>
        <w:spacing w:after="0" w:line="240" w:lineRule="auto"/>
        <w:ind w:left="0" w:right="-568"/>
        <w:contextualSpacing w:val="0"/>
        <w:jc w:val="both"/>
        <w:rPr>
          <w:rFonts w:ascii="Times New Roman" w:hAnsi="Times New Roman" w:cs="Times New Roman"/>
        </w:rPr>
      </w:pPr>
      <w:r>
        <w:rPr>
          <w:rFonts w:ascii="Times New Roman" w:hAnsi="Times New Roman" w:cs="Times New Roman"/>
          <w:b/>
          <w:color w:val="000000" w:themeColor="text1"/>
          <w:u w:val="single"/>
        </w:rPr>
        <w:t xml:space="preserve">f) </w:t>
      </w:r>
      <w:r w:rsidRPr="00B84389">
        <w:rPr>
          <w:rFonts w:ascii="Times New Roman" w:hAnsi="Times New Roman" w:cs="Times New Roman"/>
          <w:b/>
          <w:color w:val="000000" w:themeColor="text1"/>
          <w:u w:val="single"/>
        </w:rPr>
        <w:t xml:space="preserve">Treinamento e capacitação </w:t>
      </w:r>
      <w:r w:rsidRPr="00B84389">
        <w:rPr>
          <w:rFonts w:ascii="Times New Roman" w:hAnsi="Times New Roman" w:cs="Times New Roman"/>
          <w:color w:val="000000" w:themeColor="text1"/>
        </w:rPr>
        <w:t xml:space="preserve">remota pós-implantação para qualquer rotina e módulo do </w:t>
      </w:r>
      <w:r w:rsidRPr="00B84389">
        <w:rPr>
          <w:rFonts w:ascii="Times New Roman" w:hAnsi="Times New Roman" w:cs="Times New Roman"/>
          <w:i/>
          <w:color w:val="000000" w:themeColor="text1"/>
        </w:rPr>
        <w:t>Software.</w:t>
      </w:r>
    </w:p>
    <w:p w14:paraId="28958C7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7.1.4</w:t>
      </w:r>
      <w:r w:rsidRPr="00B84389">
        <w:rPr>
          <w:rFonts w:ascii="Times New Roman" w:hAnsi="Times New Roman" w:cs="Times New Roman"/>
          <w:color w:val="000000" w:themeColor="text1"/>
        </w:rPr>
        <w:t xml:space="preserve"> Os prazos para atendimento técnico desses serviços serão os seguintes:</w:t>
      </w:r>
    </w:p>
    <w:p w14:paraId="0C39D7D8" w14:textId="77777777" w:rsidR="00B307DB" w:rsidRPr="00B84389" w:rsidRDefault="00B307DB" w:rsidP="00B307DB">
      <w:pPr>
        <w:pStyle w:val="PargrafodaLista"/>
        <w:numPr>
          <w:ilvl w:val="0"/>
          <w:numId w:val="159"/>
        </w:numPr>
        <w:tabs>
          <w:tab w:val="left" w:pos="284"/>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i/>
          <w:color w:val="000000" w:themeColor="text1"/>
        </w:rPr>
        <w:t>Software</w:t>
      </w:r>
      <w:r w:rsidRPr="00B84389">
        <w:rPr>
          <w:rFonts w:ascii="Times New Roman" w:hAnsi="Times New Roman" w:cs="Times New Roman"/>
          <w:b/>
          <w:color w:val="000000" w:themeColor="text1"/>
        </w:rPr>
        <w:t xml:space="preserve"> Inacessível:</w:t>
      </w:r>
      <w:r w:rsidRPr="00B84389">
        <w:rPr>
          <w:rFonts w:ascii="Times New Roman" w:hAnsi="Times New Roman" w:cs="Times New Roman"/>
          <w:color w:val="000000" w:themeColor="text1"/>
        </w:rPr>
        <w:t xml:space="preserve"> nesses casos, quando originário de circunstância proveniente da Contratada, o acesso deverá ser reestabelecido em até 24 (vinte e quatro) horas corridas</w:t>
      </w:r>
      <w:r w:rsidRPr="00B84389">
        <w:rPr>
          <w:rFonts w:ascii="Times New Roman" w:hAnsi="Times New Roman" w:cs="Times New Roman"/>
        </w:rPr>
        <w:t>;</w:t>
      </w:r>
    </w:p>
    <w:p w14:paraId="221A388F" w14:textId="77777777" w:rsidR="00B307DB" w:rsidRPr="00B84389" w:rsidRDefault="00B307DB" w:rsidP="00B307DB">
      <w:pPr>
        <w:pStyle w:val="PargrafodaLista"/>
        <w:numPr>
          <w:ilvl w:val="0"/>
          <w:numId w:val="159"/>
        </w:numPr>
        <w:tabs>
          <w:tab w:val="left" w:pos="284"/>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 xml:space="preserve">Inconformidade de </w:t>
      </w:r>
      <w:r w:rsidRPr="00B84389">
        <w:rPr>
          <w:rFonts w:ascii="Times New Roman" w:hAnsi="Times New Roman" w:cs="Times New Roman"/>
          <w:b/>
          <w:i/>
          <w:color w:val="000000" w:themeColor="text1"/>
        </w:rPr>
        <w:t>Software</w:t>
      </w:r>
      <w:r w:rsidRPr="00B84389">
        <w:rPr>
          <w:rFonts w:ascii="Times New Roman" w:hAnsi="Times New Roman" w:cs="Times New Roman"/>
          <w:b/>
          <w:color w:val="000000" w:themeColor="text1"/>
        </w:rPr>
        <w:t>:</w:t>
      </w:r>
      <w:r w:rsidRPr="00B84389">
        <w:rPr>
          <w:rFonts w:ascii="Times New Roman" w:hAnsi="Times New Roman" w:cs="Times New Roman"/>
          <w:color w:val="000000" w:themeColor="text1"/>
        </w:rPr>
        <w:t xml:space="preserve"> a Contratada terá o prazo padrão de 2 (dois) dias</w:t>
      </w:r>
      <w:r w:rsidRPr="00B84389">
        <w:rPr>
          <w:rFonts w:ascii="Times New Roman" w:hAnsi="Times New Roman" w:cs="Times New Roman"/>
        </w:rPr>
        <w:t xml:space="preserve"> úteis </w:t>
      </w:r>
      <w:r w:rsidRPr="00B84389">
        <w:rPr>
          <w:rFonts w:ascii="Times New Roman" w:hAnsi="Times New Roman" w:cs="Times New Roman"/>
          <w:color w:val="000000" w:themeColor="text1"/>
        </w:rPr>
        <w:t xml:space="preserve">para informar a previsão pela conclusão. Nos casos em que a inconformidade impossibilitar o funcionamento de rotinas tecnicamente tidas como críticas ou essenciais e que a Contratada não oferecer solução paliativa, a conclusão efetiva não poderá ultrapassar 5 (cinco) dias </w:t>
      </w:r>
      <w:r w:rsidRPr="00B84389">
        <w:rPr>
          <w:rFonts w:ascii="Times New Roman" w:hAnsi="Times New Roman" w:cs="Times New Roman"/>
        </w:rPr>
        <w:t xml:space="preserve">úteis. </w:t>
      </w:r>
      <w:r w:rsidRPr="00B84389">
        <w:rPr>
          <w:rFonts w:ascii="Times New Roman" w:hAnsi="Times New Roman" w:cs="Times New Roman"/>
          <w:color w:val="000000" w:themeColor="text1"/>
        </w:rPr>
        <w:t xml:space="preserve">Demais inconformidades terão o prazo máximo de 30 (trinta) dias </w:t>
      </w:r>
      <w:r w:rsidRPr="00B84389">
        <w:rPr>
          <w:rFonts w:ascii="Times New Roman" w:hAnsi="Times New Roman" w:cs="Times New Roman"/>
        </w:rPr>
        <w:t xml:space="preserve">úteis </w:t>
      </w:r>
      <w:r w:rsidRPr="00B84389">
        <w:rPr>
          <w:rFonts w:ascii="Times New Roman" w:hAnsi="Times New Roman" w:cs="Times New Roman"/>
          <w:color w:val="000000" w:themeColor="text1"/>
        </w:rPr>
        <w:t>para serem sanadas;</w:t>
      </w:r>
    </w:p>
    <w:p w14:paraId="62F89D8A" w14:textId="77777777" w:rsidR="00B307DB" w:rsidRPr="00B84389" w:rsidRDefault="00B307DB" w:rsidP="00B307DB">
      <w:pPr>
        <w:pStyle w:val="PargrafodaLista"/>
        <w:numPr>
          <w:ilvl w:val="0"/>
          <w:numId w:val="159"/>
        </w:numPr>
        <w:tabs>
          <w:tab w:val="left" w:pos="284"/>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 xml:space="preserve">Adequação ao </w:t>
      </w:r>
      <w:r w:rsidRPr="00B84389">
        <w:rPr>
          <w:rFonts w:ascii="Times New Roman" w:hAnsi="Times New Roman" w:cs="Times New Roman"/>
          <w:b/>
          <w:i/>
          <w:color w:val="000000" w:themeColor="text1"/>
        </w:rPr>
        <w:t>Software</w:t>
      </w:r>
      <w:r w:rsidRPr="00B84389">
        <w:rPr>
          <w:rFonts w:ascii="Times New Roman" w:hAnsi="Times New Roman" w:cs="Times New Roman"/>
          <w:b/>
          <w:color w:val="000000" w:themeColor="text1"/>
        </w:rPr>
        <w:t xml:space="preserve"> </w:t>
      </w:r>
      <w:r w:rsidRPr="00B84389">
        <w:rPr>
          <w:rFonts w:ascii="Times New Roman" w:hAnsi="Times New Roman" w:cs="Times New Roman"/>
          <w:bCs/>
          <w:color w:val="000000" w:themeColor="text1"/>
        </w:rPr>
        <w:t xml:space="preserve">para atendimento às legislações federais e estadual, observados os limites contratuais, a Contratada terá </w:t>
      </w:r>
      <w:r w:rsidRPr="00B84389">
        <w:rPr>
          <w:rFonts w:ascii="Times New Roman" w:hAnsi="Times New Roman" w:cs="Times New Roman"/>
          <w:color w:val="000000" w:themeColor="text1"/>
        </w:rPr>
        <w:t xml:space="preserve">o prazo de 2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para informar o tempo necessário à sua conclusão, que compreende a adequação do </w:t>
      </w:r>
      <w:r w:rsidRPr="00B84389">
        <w:rPr>
          <w:rFonts w:ascii="Times New Roman" w:hAnsi="Times New Roman" w:cs="Times New Roman"/>
          <w:i/>
          <w:color w:val="000000" w:themeColor="text1"/>
        </w:rPr>
        <w:t>Software</w:t>
      </w:r>
      <w:r w:rsidRPr="00B84389">
        <w:rPr>
          <w:rFonts w:ascii="Times New Roman" w:hAnsi="Times New Roman" w:cs="Times New Roman"/>
          <w:color w:val="000000" w:themeColor="text1"/>
        </w:rPr>
        <w:t xml:space="preserve"> ao instrumento legislativo, sendo que o prazo máximo à sua conclusão poderá compreender aquele estipulado no referido instrumento normativo ou cronograma definido entre as partes;</w:t>
      </w:r>
    </w:p>
    <w:p w14:paraId="76C09DEE" w14:textId="77777777" w:rsidR="00B307DB" w:rsidRPr="00B84389" w:rsidRDefault="00B307DB" w:rsidP="00B307DB">
      <w:pPr>
        <w:pStyle w:val="PargrafodaLista"/>
        <w:numPr>
          <w:ilvl w:val="0"/>
          <w:numId w:val="159"/>
        </w:numPr>
        <w:tabs>
          <w:tab w:val="left" w:pos="284"/>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b/>
          <w:color w:val="000000" w:themeColor="text1"/>
        </w:rPr>
        <w:t xml:space="preserve">Customização de Software: </w:t>
      </w:r>
      <w:r w:rsidRPr="00B84389">
        <w:rPr>
          <w:rFonts w:ascii="Times New Roman" w:hAnsi="Times New Roman" w:cs="Times New Roman"/>
          <w:color w:val="000000" w:themeColor="text1"/>
        </w:rPr>
        <w:t xml:space="preserve">Após realizado o pedido, caso a Contratada considere viável o desenvolvimento, deverá apresentar orçamento para a apreciação da </w:t>
      </w:r>
      <w:r w:rsidRPr="00B84389">
        <w:rPr>
          <w:rFonts w:ascii="Times New Roman" w:hAnsi="Times New Roman" w:cs="Times New Roman"/>
        </w:rPr>
        <w:t xml:space="preserve">Contratante no prazo máximo de até 7 dias úteis após a análise, exceto em casos de customizações de grande complexidade onde um </w:t>
      </w:r>
      <w:r w:rsidRPr="00B84389">
        <w:rPr>
          <w:rFonts w:ascii="Times New Roman" w:hAnsi="Times New Roman" w:cs="Times New Roman"/>
        </w:rPr>
        <w:lastRenderedPageBreak/>
        <w:t xml:space="preserve">prazo específico será definido entre as partes para apresentar o orçamento. Dentro do prazo de análise, </w:t>
      </w:r>
      <w:r w:rsidRPr="00B84389">
        <w:rPr>
          <w:rFonts w:ascii="Times New Roman" w:hAnsi="Times New Roman" w:cs="Times New Roman"/>
          <w:color w:val="000000" w:themeColor="text1"/>
        </w:rPr>
        <w:t xml:space="preserve">caso a Contratada entenda como inviável o desenvolvimento da customização solicitada, deverá encaminhar </w:t>
      </w:r>
      <w:r w:rsidRPr="00B84389">
        <w:rPr>
          <w:rFonts w:ascii="Times New Roman" w:hAnsi="Times New Roman" w:cs="Times New Roman"/>
        </w:rPr>
        <w:t>comunicação formal à Contratante. Quando couber, a Contratada também fornecerá junto a resposta uma alternativa técnica e de negócio, com base nos recursos da solução de ERP e expertise;</w:t>
      </w:r>
    </w:p>
    <w:p w14:paraId="5677BBC1" w14:textId="77777777" w:rsidR="00B307DB" w:rsidRPr="00B84389" w:rsidRDefault="00B307DB" w:rsidP="00B307DB">
      <w:pPr>
        <w:pStyle w:val="PargrafodaLista"/>
        <w:numPr>
          <w:ilvl w:val="4"/>
          <w:numId w:val="159"/>
        </w:numPr>
        <w:tabs>
          <w:tab w:val="left" w:pos="284"/>
        </w:tabs>
        <w:suppressAutoHyphens/>
        <w:spacing w:after="0" w:line="240" w:lineRule="auto"/>
        <w:ind w:left="0" w:right="-568" w:firstLine="142"/>
        <w:jc w:val="both"/>
        <w:rPr>
          <w:rFonts w:ascii="Times New Roman" w:hAnsi="Times New Roman" w:cs="Times New Roman"/>
        </w:rPr>
      </w:pPr>
      <w:r w:rsidRPr="00B84389">
        <w:rPr>
          <w:rFonts w:ascii="Times New Roman" w:hAnsi="Times New Roman" w:cs="Times New Roman"/>
          <w:color w:val="000000" w:themeColor="text1"/>
        </w:rPr>
        <w:t xml:space="preserve">A partir da aprovação do orçamento pela Contratante, a Contratada em até 2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informará a previsão pela conclusão; </w:t>
      </w:r>
    </w:p>
    <w:p w14:paraId="4A6AC489" w14:textId="77777777" w:rsidR="00B307DB" w:rsidRPr="00B84389" w:rsidRDefault="00B307DB" w:rsidP="00B307DB">
      <w:pPr>
        <w:pStyle w:val="PargrafodaLista"/>
        <w:numPr>
          <w:ilvl w:val="4"/>
          <w:numId w:val="159"/>
        </w:numPr>
        <w:tabs>
          <w:tab w:val="left" w:pos="284"/>
        </w:tabs>
        <w:suppressAutoHyphens/>
        <w:spacing w:after="0" w:line="240" w:lineRule="auto"/>
        <w:ind w:left="142" w:right="-568" w:firstLine="0"/>
        <w:jc w:val="both"/>
        <w:rPr>
          <w:rFonts w:ascii="Times New Roman" w:hAnsi="Times New Roman" w:cs="Times New Roman"/>
        </w:rPr>
      </w:pPr>
      <w:r w:rsidRPr="00B84389">
        <w:rPr>
          <w:rFonts w:ascii="Times New Roman" w:hAnsi="Times New Roman" w:cs="Times New Roman"/>
          <w:color w:val="000000" w:themeColor="text1"/>
        </w:rPr>
        <w:t>Destaca-se que não sendo possível a conclusão do desenvolvimento no prazo informado, a Contratada deverá previamente proceder à comunicação de nova previsão com a devida justificativa, submetendo-se a aprovação da Contratante, sendo possível, no máximo, 3 (três) repactuações desses prazos.</w:t>
      </w:r>
    </w:p>
    <w:p w14:paraId="7D02AB69" w14:textId="77777777" w:rsidR="00B307DB" w:rsidRPr="00B84389" w:rsidRDefault="00B307DB" w:rsidP="00B307DB">
      <w:pPr>
        <w:pStyle w:val="PargrafodaLista"/>
        <w:numPr>
          <w:ilvl w:val="0"/>
          <w:numId w:val="159"/>
        </w:numPr>
        <w:tabs>
          <w:tab w:val="left" w:pos="284"/>
          <w:tab w:val="left" w:pos="426"/>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 xml:space="preserve">Intervenção em banco de dados para reparar inconsistências causadas por falha do </w:t>
      </w:r>
      <w:r w:rsidRPr="00B84389">
        <w:rPr>
          <w:rFonts w:ascii="Times New Roman" w:hAnsi="Times New Roman" w:cs="Times New Roman"/>
          <w:b/>
          <w:i/>
          <w:color w:val="000000" w:themeColor="text1"/>
        </w:rPr>
        <w:t>Software</w:t>
      </w:r>
      <w:r w:rsidRPr="00B84389">
        <w:rPr>
          <w:rFonts w:ascii="Times New Roman" w:hAnsi="Times New Roman" w:cs="Times New Roman"/>
          <w:b/>
          <w:color w:val="000000" w:themeColor="text1"/>
        </w:rPr>
        <w:t xml:space="preserve"> ou por técnico:</w:t>
      </w:r>
      <w:r w:rsidRPr="00B84389">
        <w:rPr>
          <w:rFonts w:ascii="Times New Roman" w:hAnsi="Times New Roman" w:cs="Times New Roman"/>
          <w:color w:val="000000" w:themeColor="text1"/>
        </w:rPr>
        <w:t xml:space="preserve"> para essas hipóteses, dentro do prazo de 2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a Contratada informará a previsão pela conclusão, cujo prazo padrão é de até 30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Nos casos tecnicamente tidos como severos, ou seja, que possam impedir o funcionamento de rotinas críticas, caso a Contratada não apresente solução paliativa, a solução definitiva não ultrapassará o prazo de 5 dias </w:t>
      </w:r>
      <w:r w:rsidRPr="00B84389">
        <w:rPr>
          <w:rFonts w:ascii="Times New Roman" w:hAnsi="Times New Roman" w:cs="Times New Roman"/>
        </w:rPr>
        <w:t>úteis;</w:t>
      </w:r>
    </w:p>
    <w:p w14:paraId="6A76CDB5" w14:textId="77777777" w:rsidR="00B307DB" w:rsidRPr="00B84389" w:rsidRDefault="00B307DB" w:rsidP="00B307DB">
      <w:pPr>
        <w:pStyle w:val="PargrafodaLista"/>
        <w:numPr>
          <w:ilvl w:val="0"/>
          <w:numId w:val="159"/>
        </w:numPr>
        <w:tabs>
          <w:tab w:val="left" w:pos="284"/>
          <w:tab w:val="left" w:pos="426"/>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Falhas em configurações causadas pela Contratada</w:t>
      </w:r>
      <w:r w:rsidRPr="00B84389">
        <w:rPr>
          <w:rFonts w:ascii="Times New Roman" w:hAnsi="Times New Roman" w:cs="Times New Roman"/>
          <w:color w:val="000000" w:themeColor="text1"/>
        </w:rPr>
        <w:t xml:space="preserve">: para essas situações, a Contratada, no prazo de 2 (dois) </w:t>
      </w:r>
      <w:r w:rsidRPr="00B84389">
        <w:rPr>
          <w:rFonts w:ascii="Times New Roman" w:hAnsi="Times New Roman" w:cs="Times New Roman"/>
        </w:rPr>
        <w:t>úteis</w:t>
      </w:r>
      <w:r w:rsidRPr="00B84389">
        <w:rPr>
          <w:rFonts w:ascii="Times New Roman" w:hAnsi="Times New Roman" w:cs="Times New Roman"/>
          <w:color w:val="000000" w:themeColor="text1"/>
        </w:rPr>
        <w:t xml:space="preserve"> dias informará a previsão da sua conclusão, cujo prazo padrão é de até 30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Nos casos em que a falha de configuração impeça o funcionamento de rotinas tecnicamente críticas e que, quando a Contratada não oferecer solução paliativa, a conclusão não poderá ultrapassar 5 dias </w:t>
      </w:r>
      <w:r w:rsidRPr="00B84389">
        <w:rPr>
          <w:rFonts w:ascii="Times New Roman" w:hAnsi="Times New Roman" w:cs="Times New Roman"/>
        </w:rPr>
        <w:t>úteis</w:t>
      </w:r>
      <w:r w:rsidRPr="00B84389">
        <w:rPr>
          <w:rFonts w:ascii="Times New Roman" w:hAnsi="Times New Roman" w:cs="Times New Roman"/>
          <w:color w:val="000000" w:themeColor="text1"/>
        </w:rPr>
        <w:t>;</w:t>
      </w:r>
    </w:p>
    <w:p w14:paraId="6ABE8E9D" w14:textId="77777777" w:rsidR="00B307DB" w:rsidRPr="00B84389" w:rsidRDefault="00B307DB" w:rsidP="00B307DB">
      <w:pPr>
        <w:pStyle w:val="PargrafodaLista"/>
        <w:numPr>
          <w:ilvl w:val="0"/>
          <w:numId w:val="159"/>
        </w:numPr>
        <w:tabs>
          <w:tab w:val="left" w:pos="284"/>
          <w:tab w:val="left" w:pos="426"/>
        </w:tabs>
        <w:suppressAutoHyphen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
          <w:color w:val="000000" w:themeColor="text1"/>
        </w:rPr>
        <w:t>Intervenção em banco de dados para reparar/alterar/ajustar informações quando eventuais erros derivarem da operação dos usuários:</w:t>
      </w:r>
      <w:r w:rsidRPr="00B84389">
        <w:rPr>
          <w:rFonts w:ascii="Times New Roman" w:hAnsi="Times New Roman" w:cs="Times New Roman"/>
          <w:color w:val="000000" w:themeColor="text1"/>
        </w:rPr>
        <w:t xml:space="preserve"> registrado o pedido, caso a Contratada não identifique nenhuma inviabilidade técnica deverá apresentar em até 5 dias </w:t>
      </w:r>
      <w:r w:rsidRPr="00B84389">
        <w:rPr>
          <w:rFonts w:ascii="Times New Roman" w:hAnsi="Times New Roman" w:cs="Times New Roman"/>
        </w:rPr>
        <w:t xml:space="preserve">úteis após solicitação formal </w:t>
      </w:r>
      <w:r w:rsidRPr="00B84389">
        <w:rPr>
          <w:rFonts w:ascii="Times New Roman" w:hAnsi="Times New Roman" w:cs="Times New Roman"/>
          <w:color w:val="000000" w:themeColor="text1"/>
        </w:rPr>
        <w:t xml:space="preserve">orçamento prévio, acompanhado do cronograma ou previsão de prazo para conclusão. Caso a Contratada entenda como inviável o solicitado, deverá ser procedida a comunicação à Contratante, no prazo de até 5 dias </w:t>
      </w:r>
      <w:r w:rsidRPr="00B84389">
        <w:rPr>
          <w:rFonts w:ascii="Times New Roman" w:hAnsi="Times New Roman" w:cs="Times New Roman"/>
        </w:rPr>
        <w:t xml:space="preserve">úteis após registrado o pedido. Em eventual impossibilidade de cumprir dentro dos prazos a solicitação, a contratada deve comunicar formalmente a Contratante, acompanhada da devida justificativa e nova previsão de prazo. Nesse sentido, poderá a Contratante aceitar a nova repactuação ou assinalar novo prazo a ser cumprido pela Contratada;  </w:t>
      </w:r>
    </w:p>
    <w:p w14:paraId="2B721286" w14:textId="77777777" w:rsidR="00B307DB" w:rsidRPr="00B84389" w:rsidRDefault="00B307DB" w:rsidP="00B307DB">
      <w:pPr>
        <w:pStyle w:val="PargrafodaLista"/>
        <w:numPr>
          <w:ilvl w:val="0"/>
          <w:numId w:val="159"/>
        </w:numPr>
        <w:tabs>
          <w:tab w:val="left" w:pos="284"/>
          <w:tab w:val="left" w:pos="426"/>
          <w:tab w:val="left" w:pos="1135"/>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b/>
          <w:color w:val="000000" w:themeColor="text1"/>
        </w:rPr>
        <w:t xml:space="preserve">Demais serviços sem garantia ou sob demanda: </w:t>
      </w:r>
      <w:r w:rsidRPr="00B84389">
        <w:rPr>
          <w:rFonts w:ascii="Times New Roman" w:hAnsi="Times New Roman" w:cs="Times New Roman"/>
          <w:color w:val="000000" w:themeColor="text1"/>
        </w:rPr>
        <w:t xml:space="preserve">após realizado o pedido, a Contratada deverá apresentar orçamento para a apreciação da </w:t>
      </w:r>
      <w:r w:rsidRPr="00B84389">
        <w:rPr>
          <w:rFonts w:ascii="Times New Roman" w:hAnsi="Times New Roman" w:cs="Times New Roman"/>
        </w:rPr>
        <w:t xml:space="preserve">Contratante no prazo máximo de até 7 dias úteis após a análise. Dentro do prazo de análise, </w:t>
      </w:r>
      <w:r w:rsidRPr="00B84389">
        <w:rPr>
          <w:rFonts w:ascii="Times New Roman" w:hAnsi="Times New Roman" w:cs="Times New Roman"/>
          <w:color w:val="000000" w:themeColor="text1"/>
        </w:rPr>
        <w:t xml:space="preserve">caso a Contratada entenda como inviável a realização do serviço solicitado, deverá encaminhar </w:t>
      </w:r>
      <w:r w:rsidRPr="00B84389">
        <w:rPr>
          <w:rFonts w:ascii="Times New Roman" w:hAnsi="Times New Roman" w:cs="Times New Roman"/>
        </w:rPr>
        <w:t>comunicação formal à Contratante. Quando couber, a Contratada também fornecerá junto a resposta uma alternativa técnica e de negócio, com base nos recursos da solução de ERP e expertise;</w:t>
      </w:r>
    </w:p>
    <w:p w14:paraId="523D7153" w14:textId="77777777" w:rsidR="00B307DB" w:rsidRPr="00B84389" w:rsidRDefault="00B307DB" w:rsidP="00B307DB">
      <w:pPr>
        <w:pStyle w:val="PargrafodaLista"/>
        <w:numPr>
          <w:ilvl w:val="4"/>
          <w:numId w:val="159"/>
        </w:numPr>
        <w:tabs>
          <w:tab w:val="left" w:pos="284"/>
        </w:tabs>
        <w:suppressAutoHyphens/>
        <w:spacing w:after="0" w:line="240" w:lineRule="auto"/>
        <w:ind w:left="0" w:right="-568" w:firstLine="142"/>
        <w:jc w:val="both"/>
        <w:rPr>
          <w:rFonts w:ascii="Times New Roman" w:hAnsi="Times New Roman" w:cs="Times New Roman"/>
        </w:rPr>
      </w:pPr>
      <w:r w:rsidRPr="00B84389">
        <w:rPr>
          <w:rFonts w:ascii="Times New Roman" w:hAnsi="Times New Roman" w:cs="Times New Roman"/>
          <w:color w:val="000000" w:themeColor="text1"/>
        </w:rPr>
        <w:t xml:space="preserve">A partir da aprovação do orçamento pela Contratante, a Contratada em até 2 dias </w:t>
      </w:r>
      <w:r w:rsidRPr="00B84389">
        <w:rPr>
          <w:rFonts w:ascii="Times New Roman" w:hAnsi="Times New Roman" w:cs="Times New Roman"/>
        </w:rPr>
        <w:t>úteis</w:t>
      </w:r>
      <w:r w:rsidRPr="00B84389">
        <w:rPr>
          <w:rFonts w:ascii="Times New Roman" w:hAnsi="Times New Roman" w:cs="Times New Roman"/>
          <w:color w:val="000000" w:themeColor="text1"/>
        </w:rPr>
        <w:t xml:space="preserve"> informará a previsão pela conclusão/realização do serviço.;</w:t>
      </w:r>
    </w:p>
    <w:p w14:paraId="1A316468" w14:textId="77777777" w:rsidR="00B307DB" w:rsidRPr="00B84389" w:rsidRDefault="00B307DB" w:rsidP="00B307DB">
      <w:pPr>
        <w:pStyle w:val="PargrafodaLista"/>
        <w:numPr>
          <w:ilvl w:val="4"/>
          <w:numId w:val="159"/>
        </w:numPr>
        <w:tabs>
          <w:tab w:val="left" w:pos="284"/>
        </w:tabs>
        <w:suppressAutoHyphens/>
        <w:spacing w:after="0" w:line="240" w:lineRule="auto"/>
        <w:ind w:left="0" w:right="-568" w:firstLine="142"/>
        <w:jc w:val="both"/>
        <w:rPr>
          <w:rFonts w:ascii="Times New Roman" w:hAnsi="Times New Roman" w:cs="Times New Roman"/>
        </w:rPr>
      </w:pPr>
      <w:r w:rsidRPr="00B84389">
        <w:rPr>
          <w:rFonts w:ascii="Times New Roman" w:hAnsi="Times New Roman" w:cs="Times New Roman"/>
        </w:rPr>
        <w:t>Em casos de serviços de grande complexidade, que demandaram maior tempo para levantar todos os requisitos, a Contratada poderá solicitar, de forma justificada, novos prazos, tanto para apresentação do orçamento, quanto dos prazos de conclusão. Um prazo específico poderá vir a ser definido mediante acordo entre as partes para apresentação do orçamento;</w:t>
      </w:r>
    </w:p>
    <w:p w14:paraId="73E5A8CB" w14:textId="77777777" w:rsidR="00B307DB" w:rsidRPr="00B84389" w:rsidRDefault="00B307DB" w:rsidP="00B307DB">
      <w:pPr>
        <w:pStyle w:val="PargrafodaLista"/>
        <w:numPr>
          <w:ilvl w:val="4"/>
          <w:numId w:val="159"/>
        </w:numPr>
        <w:tabs>
          <w:tab w:val="left" w:pos="284"/>
        </w:tabs>
        <w:suppressAutoHyphens/>
        <w:spacing w:after="0" w:line="240" w:lineRule="auto"/>
        <w:ind w:left="0" w:right="-568" w:firstLine="142"/>
        <w:jc w:val="both"/>
        <w:rPr>
          <w:rFonts w:ascii="Times New Roman" w:hAnsi="Times New Roman" w:cs="Times New Roman"/>
        </w:rPr>
      </w:pPr>
      <w:r w:rsidRPr="00B84389">
        <w:rPr>
          <w:rFonts w:ascii="Times New Roman" w:hAnsi="Times New Roman" w:cs="Times New Roman"/>
          <w:color w:val="000000" w:themeColor="text1"/>
        </w:rPr>
        <w:t>Destaca-se que não sendo possível a conclusão/realização no prazo informado, a Contratada deverá previamente proceder à comunicação de nova previsão com a devida justificativa, submetendo-se a aprovação da Contratante, sendo possível, no máximo, 3 (três) repactuações desses prazos;</w:t>
      </w:r>
    </w:p>
    <w:p w14:paraId="4C896ABB"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7.2</w:t>
      </w:r>
      <w:r w:rsidRPr="00B84389">
        <w:rPr>
          <w:rFonts w:ascii="Times New Roman" w:hAnsi="Times New Roman" w:cs="Times New Roman"/>
          <w:color w:val="000000" w:themeColor="text1"/>
        </w:rPr>
        <w:t xml:space="preserve"> Nos prazos serão considerados apenas dias úteis, tanto para o início quanto para o término da contagem do prazo, que só vencem e iniciam em dia de expediente da Prefeitura;</w:t>
      </w:r>
    </w:p>
    <w:p w14:paraId="4ED072DB"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7.3</w:t>
      </w:r>
      <w:r w:rsidRPr="00B84389">
        <w:rPr>
          <w:rFonts w:ascii="Times New Roman" w:hAnsi="Times New Roman" w:cs="Times New Roman"/>
          <w:color w:val="000000" w:themeColor="text1"/>
        </w:rPr>
        <w:t xml:space="preserve"> </w:t>
      </w:r>
      <w:r w:rsidRPr="00B84389">
        <w:rPr>
          <w:rFonts w:ascii="Times New Roman" w:hAnsi="Times New Roman" w:cs="Times New Roman"/>
        </w:rPr>
        <w:t>A contagem dos prazos iniciar-se-á somente a partir da comunicação formal através dos meios relacionados nos canais de atendimento, como o registro de protocolo para atendimento por parte da Contratante;</w:t>
      </w:r>
    </w:p>
    <w:p w14:paraId="2DD31D1E"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7.4</w:t>
      </w:r>
      <w:r w:rsidRPr="00B84389">
        <w:rPr>
          <w:rFonts w:ascii="Times New Roman" w:hAnsi="Times New Roman" w:cs="Times New Roman"/>
          <w:color w:val="000000" w:themeColor="text1"/>
        </w:rPr>
        <w:t xml:space="preserve"> É facultado as partes proceder a novas repactuações através de termos aditivos ao contrato, mediante mútuo acordo, para a contratação de possíveis serviços, de acordo com os limites legais;</w:t>
      </w:r>
    </w:p>
    <w:p w14:paraId="1710CE6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color w:val="000000" w:themeColor="text1"/>
        </w:rPr>
        <w:t>7.5</w:t>
      </w:r>
      <w:r w:rsidRPr="00B84389">
        <w:rPr>
          <w:rFonts w:ascii="Times New Roman" w:hAnsi="Times New Roman" w:cs="Times New Roman"/>
          <w:color w:val="000000" w:themeColor="text1"/>
        </w:rPr>
        <w:t xml:space="preserve"> </w:t>
      </w:r>
      <w:r w:rsidRPr="00B84389">
        <w:rPr>
          <w:rFonts w:ascii="Times New Roman" w:hAnsi="Times New Roman" w:cs="Times New Roman"/>
        </w:rPr>
        <w:t>Nos casos de serviços em garantia, em que não houver aceite da solução apresentada, imediatamente após a manifestação de recusa por parte da CONTRATANTE, se reiniciará a contagem de tempo de atendimento, ressaltando que a cada hora excedida do prazo de entrega poderão ser aplicadas as penalidades previstas neste edital;</w:t>
      </w:r>
    </w:p>
    <w:p w14:paraId="7ACB42B2"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7.6</w:t>
      </w:r>
      <w:r w:rsidRPr="00B84389">
        <w:rPr>
          <w:rFonts w:ascii="Times New Roman" w:hAnsi="Times New Roman" w:cs="Times New Roman"/>
        </w:rPr>
        <w:t xml:space="preserve"> A comunicação e solicitações relativas a manutenção, entre a CONTRATANTE e a CONTRATADA, deverá ser documentada via próprio sistema de ERP disponibilizado pela CONTRATADA em plataforma WEB, através de cadastro de chamados, a fim de que haja </w:t>
      </w:r>
      <w:r w:rsidRPr="00B84389">
        <w:rPr>
          <w:rFonts w:ascii="Times New Roman" w:hAnsi="Times New Roman" w:cs="Times New Roman"/>
        </w:rPr>
        <w:lastRenderedPageBreak/>
        <w:t>monitoramento do que foi solicitado e comprovação de situação relatada, gerando um número de atendimento para acompanhamento remoto;</w:t>
      </w:r>
    </w:p>
    <w:p w14:paraId="62CA9B7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7.6.1</w:t>
      </w:r>
      <w:r w:rsidRPr="00B84389">
        <w:rPr>
          <w:rFonts w:ascii="Times New Roman" w:hAnsi="Times New Roman" w:cs="Times New Roman"/>
        </w:rPr>
        <w:t xml:space="preserve"> As solicitações de suporte técnico e/ou manutenção (corretiva, adaptativa e evolutiva) serão abertas no software de chamados disponibilizado pela CONTRATADA, e o seu recebimento deverá ser confirmado com a alteração da situação da solicitação no próprio sistema de chamados, a qual poderá ser consultada pelo histórico da mesma. No mínimo deverão ser inseridos no histórico pela contratada:</w:t>
      </w:r>
    </w:p>
    <w:p w14:paraId="11BB780E" w14:textId="77777777" w:rsidR="00B307DB" w:rsidRPr="00B84389" w:rsidRDefault="00B307DB" w:rsidP="00B307DB">
      <w:pPr>
        <w:numPr>
          <w:ilvl w:val="0"/>
          <w:numId w:val="160"/>
        </w:numPr>
        <w:tabs>
          <w:tab w:val="left" w:pos="426"/>
          <w:tab w:val="left" w:pos="1418"/>
        </w:tabs>
        <w:suppressAutoHyphens/>
        <w:spacing w:after="0" w:line="240" w:lineRule="auto"/>
        <w:ind w:left="0" w:right="-568"/>
        <w:jc w:val="both"/>
        <w:rPr>
          <w:rFonts w:ascii="Times New Roman" w:hAnsi="Times New Roman" w:cs="Times New Roman"/>
        </w:rPr>
      </w:pPr>
      <w:r w:rsidRPr="00B84389">
        <w:rPr>
          <w:rFonts w:ascii="Times New Roman" w:hAnsi="Times New Roman" w:cs="Times New Roman"/>
          <w:bCs/>
        </w:rPr>
        <w:t>o nº da abertura do chamado (nº de controle do software de chamados);</w:t>
      </w:r>
    </w:p>
    <w:p w14:paraId="5FF977AB" w14:textId="77777777" w:rsidR="00B307DB" w:rsidRPr="00B84389" w:rsidRDefault="00B307DB" w:rsidP="00B307DB">
      <w:pPr>
        <w:numPr>
          <w:ilvl w:val="0"/>
          <w:numId w:val="160"/>
        </w:numPr>
        <w:tabs>
          <w:tab w:val="left" w:pos="426"/>
        </w:tabs>
        <w:suppressAutoHyphens/>
        <w:spacing w:after="0" w:line="240" w:lineRule="auto"/>
        <w:ind w:left="0" w:right="-568" w:hanging="10"/>
        <w:jc w:val="both"/>
        <w:rPr>
          <w:rFonts w:ascii="Times New Roman" w:hAnsi="Times New Roman" w:cs="Times New Roman"/>
        </w:rPr>
      </w:pPr>
      <w:r w:rsidRPr="00B84389">
        <w:rPr>
          <w:rFonts w:ascii="Times New Roman" w:hAnsi="Times New Roman" w:cs="Times New Roman"/>
          <w:bCs/>
        </w:rPr>
        <w:t>prazo previsto para a execução da correção no formato dia/mês/ano (dd/mm/aaaa);</w:t>
      </w:r>
    </w:p>
    <w:p w14:paraId="0070B903" w14:textId="77777777" w:rsidR="00B307DB" w:rsidRPr="00B84389" w:rsidRDefault="00B307DB" w:rsidP="00B307DB">
      <w:pPr>
        <w:numPr>
          <w:ilvl w:val="0"/>
          <w:numId w:val="160"/>
        </w:numPr>
        <w:tabs>
          <w:tab w:val="left" w:pos="426"/>
        </w:tabs>
        <w:suppressAutoHyphens/>
        <w:spacing w:after="0" w:line="240" w:lineRule="auto"/>
        <w:ind w:left="0" w:right="-568" w:hanging="10"/>
        <w:jc w:val="both"/>
        <w:rPr>
          <w:rFonts w:ascii="Times New Roman" w:hAnsi="Times New Roman" w:cs="Times New Roman"/>
        </w:rPr>
      </w:pPr>
      <w:r w:rsidRPr="00B84389">
        <w:rPr>
          <w:rFonts w:ascii="Times New Roman" w:hAnsi="Times New Roman" w:cs="Times New Roman"/>
          <w:bCs/>
        </w:rPr>
        <w:t>tipo de solicitação, de acordo com as definições, justificando a alteração quando esta for necessária;</w:t>
      </w:r>
    </w:p>
    <w:p w14:paraId="7F764C0D" w14:textId="77777777" w:rsidR="00B307DB" w:rsidRPr="00B84389" w:rsidRDefault="00B307DB" w:rsidP="00B307DB">
      <w:pPr>
        <w:numPr>
          <w:ilvl w:val="0"/>
          <w:numId w:val="160"/>
        </w:numPr>
        <w:tabs>
          <w:tab w:val="left" w:pos="426"/>
        </w:tabs>
        <w:suppressAutoHyphens/>
        <w:spacing w:after="0" w:line="240" w:lineRule="auto"/>
        <w:ind w:left="0" w:right="-568" w:hanging="10"/>
        <w:jc w:val="both"/>
        <w:rPr>
          <w:rFonts w:ascii="Times New Roman" w:hAnsi="Times New Roman" w:cs="Times New Roman"/>
        </w:rPr>
      </w:pPr>
      <w:r w:rsidRPr="00B84389">
        <w:rPr>
          <w:rFonts w:ascii="Times New Roman" w:hAnsi="Times New Roman" w:cs="Times New Roman"/>
          <w:bCs/>
        </w:rPr>
        <w:t>Funcionário</w:t>
      </w:r>
      <w:r w:rsidRPr="00B84389">
        <w:rPr>
          <w:rFonts w:ascii="Times New Roman" w:hAnsi="Times New Roman" w:cs="Times New Roman"/>
        </w:rPr>
        <w:t xml:space="preserve"> responsável pela gestão dos serviços.</w:t>
      </w:r>
    </w:p>
    <w:p w14:paraId="7850961E"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7.7</w:t>
      </w:r>
      <w:r w:rsidRPr="00B84389">
        <w:rPr>
          <w:rFonts w:ascii="Times New Roman" w:hAnsi="Times New Roman" w:cs="Times New Roman"/>
        </w:rPr>
        <w:t xml:space="preserve"> A CONTRATADA não poderá cobrar valores adicionais tais como: custos com deslocamento, alimentação, transporte, alojamento, bem como qualquer outro valor adicional, para atender aos chamados;</w:t>
      </w:r>
    </w:p>
    <w:p w14:paraId="469BEAF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7.8</w:t>
      </w:r>
      <w:r w:rsidRPr="00B84389">
        <w:rPr>
          <w:rFonts w:ascii="Times New Roman" w:hAnsi="Times New Roman" w:cs="Times New Roman"/>
        </w:rPr>
        <w:t xml:space="preserve"> Todas as soluções dadas deverão ser documentadas e registradas no sistema de ERP, independentemente de já terem sido aplicadas ao software ou não;</w:t>
      </w:r>
    </w:p>
    <w:p w14:paraId="6691FF7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7.9</w:t>
      </w:r>
      <w:r w:rsidRPr="00B84389">
        <w:rPr>
          <w:rFonts w:ascii="Times New Roman" w:hAnsi="Times New Roman" w:cs="Times New Roman"/>
        </w:rPr>
        <w:t xml:space="preserve"> Após a atualização no ambiente de homologação, caso a CONTRATANTE encontre problemas na solução da contratada, o prazo para aplicação das penalidades passará a contar após o prazo de análise do recurso administrativo;</w:t>
      </w:r>
    </w:p>
    <w:p w14:paraId="0A033E9F" w14:textId="77777777" w:rsidR="00B307DB" w:rsidRPr="00B84389" w:rsidRDefault="00B307DB" w:rsidP="00B307DB">
      <w:pPr>
        <w:tabs>
          <w:tab w:val="left" w:pos="284"/>
        </w:tabs>
        <w:spacing w:after="0" w:line="240" w:lineRule="auto"/>
        <w:ind w:right="-568"/>
        <w:jc w:val="both"/>
        <w:rPr>
          <w:rFonts w:ascii="Times New Roman" w:hAnsi="Times New Roman" w:cs="Times New Roman"/>
        </w:rPr>
      </w:pPr>
      <w:r w:rsidRPr="00B84389">
        <w:rPr>
          <w:rFonts w:ascii="Times New Roman" w:hAnsi="Times New Roman" w:cs="Times New Roman"/>
          <w:b/>
          <w:bCs/>
        </w:rPr>
        <w:t>7.10</w:t>
      </w:r>
      <w:r w:rsidRPr="00B84389">
        <w:rPr>
          <w:rFonts w:ascii="Times New Roman" w:hAnsi="Times New Roman" w:cs="Times New Roman"/>
        </w:rPr>
        <w:t xml:space="preserve"> Fica previamente estabelecido que os serviços em garantia previstos no contrato, não incluem reparos de problemas causados por terceiros ou alheios a contratada, como por exemplo:</w:t>
      </w:r>
    </w:p>
    <w:p w14:paraId="398615EE" w14:textId="77777777" w:rsidR="00B307DB" w:rsidRPr="00B84389" w:rsidRDefault="00B307DB" w:rsidP="00B307DB">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Condições ambientais de instalação ou falhas causadas pela ocorrência de defeito na climatização ou condições elétricas inadequadas nas dependências da Contratante ou sob sua responsabilidade;</w:t>
      </w:r>
    </w:p>
    <w:p w14:paraId="68041FD4" w14:textId="77777777" w:rsidR="00B307DB" w:rsidRPr="00B84389" w:rsidRDefault="00B307DB" w:rsidP="00B307DB">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Problemas relacionados a rede lógica/internet da Contratante;</w:t>
      </w:r>
    </w:p>
    <w:p w14:paraId="0145F617" w14:textId="77777777" w:rsidR="00B307DB" w:rsidRPr="00B84389" w:rsidRDefault="00B307DB" w:rsidP="00B307DB">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Vírus de computador e/ou assemelhados;</w:t>
      </w:r>
    </w:p>
    <w:p w14:paraId="73FE7D4F" w14:textId="77777777" w:rsidR="00B307DB" w:rsidRPr="00B84389" w:rsidRDefault="00B307DB" w:rsidP="00B307DB">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Acidentes, desastres naturais, incêndios ou inundações, negligência, mau uso, imperícia, atos de guerra, motins, greves e outros acontecimentos que possam causar danos nos programas, bem como, transporte inadequado de equipamentos;</w:t>
      </w:r>
    </w:p>
    <w:p w14:paraId="051A3F4F" w14:textId="77777777" w:rsidR="00B307DB" w:rsidRPr="00B84389" w:rsidRDefault="00B307DB" w:rsidP="00B307DB">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Uso indevido dos programas licenciados, problemas na configuração de rede, uso de rede incompatível, uso indevido de utilitário, software ou de computador;</w:t>
      </w:r>
    </w:p>
    <w:p w14:paraId="5AFB5F3D" w14:textId="77777777" w:rsidR="00B307DB" w:rsidRPr="00B84389" w:rsidRDefault="00B307DB" w:rsidP="00B307DB">
      <w:pPr>
        <w:numPr>
          <w:ilvl w:val="0"/>
          <w:numId w:val="161"/>
        </w:numPr>
        <w:tabs>
          <w:tab w:val="left" w:pos="284"/>
          <w:tab w:val="left" w:pos="426"/>
          <w:tab w:val="left" w:pos="851"/>
        </w:tabs>
        <w:suppressAutoHyphens/>
        <w:spacing w:after="0" w:line="240" w:lineRule="auto"/>
        <w:ind w:left="0" w:right="-568" w:firstLine="0"/>
        <w:jc w:val="both"/>
        <w:rPr>
          <w:rFonts w:ascii="Times New Roman" w:hAnsi="Times New Roman" w:cs="Times New Roman"/>
        </w:rPr>
      </w:pPr>
      <w:r w:rsidRPr="00B84389">
        <w:rPr>
          <w:rFonts w:ascii="Times New Roman" w:hAnsi="Times New Roman" w:cs="Times New Roman"/>
        </w:rPr>
        <w:t>situações, condições e fatos alheios a competência da CONTRATADA.</w:t>
      </w:r>
    </w:p>
    <w:p w14:paraId="78818112"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b/>
        </w:rPr>
      </w:pPr>
      <w:r w:rsidRPr="00B84389">
        <w:rPr>
          <w:rFonts w:ascii="Times New Roman" w:hAnsi="Times New Roman" w:cs="Times New Roman"/>
          <w:b/>
        </w:rPr>
        <w:t xml:space="preserve">8 </w:t>
      </w:r>
      <w:r w:rsidRPr="00B84389">
        <w:rPr>
          <w:rFonts w:ascii="Times New Roman" w:hAnsi="Times New Roman" w:cs="Times New Roman"/>
          <w:b/>
          <w:i/>
        </w:rPr>
        <w:t>Da Comissão Especial de Avaliação</w:t>
      </w:r>
    </w:p>
    <w:p w14:paraId="1B418E8C" w14:textId="77777777" w:rsidR="00B307DB"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rPr>
        <w:t xml:space="preserve">8.1 A contratante designou em comum acordo, um grupo de servidores para realização da avaliação da Amostra do Objeto e que acompanharão a execução dos serviços, prestando todas as informações necessárias e mediando os contatos com os usuários, visando assim garantir as características técnicas </w:t>
      </w:r>
      <w:r w:rsidRPr="009D52F7">
        <w:rPr>
          <w:rFonts w:ascii="Times New Roman" w:hAnsi="Times New Roman" w:cs="Times New Roman"/>
        </w:rPr>
        <w:t xml:space="preserve">exigidas para o perfeito funcionamento do produto instalado. </w:t>
      </w:r>
      <w:r w:rsidRPr="005C76C3">
        <w:rPr>
          <w:rFonts w:ascii="Times New Roman" w:hAnsi="Times New Roman" w:cs="Times New Roman"/>
        </w:rPr>
        <w:t>Os servidores abaixo relacionados acompanharão a execução</w:t>
      </w:r>
      <w:r>
        <w:rPr>
          <w:rFonts w:ascii="Times New Roman" w:hAnsi="Times New Roman" w:cs="Times New Roman"/>
        </w:rPr>
        <w:t xml:space="preserve"> conforme Decreto nº </w:t>
      </w:r>
      <w:r w:rsidRPr="005C76C3">
        <w:rPr>
          <w:rFonts w:ascii="Times New Roman" w:hAnsi="Times New Roman" w:cs="Times New Roman"/>
        </w:rPr>
        <w:t xml:space="preserve">5117 </w:t>
      </w:r>
      <w:r>
        <w:rPr>
          <w:rFonts w:ascii="Times New Roman" w:hAnsi="Times New Roman" w:cs="Times New Roman"/>
        </w:rPr>
        <w:t>de</w:t>
      </w:r>
      <w:r w:rsidRPr="005C76C3">
        <w:rPr>
          <w:rFonts w:ascii="Times New Roman" w:hAnsi="Times New Roman" w:cs="Times New Roman"/>
        </w:rPr>
        <w:t xml:space="preserve"> 11 </w:t>
      </w:r>
      <w:r>
        <w:rPr>
          <w:rFonts w:ascii="Times New Roman" w:hAnsi="Times New Roman" w:cs="Times New Roman"/>
        </w:rPr>
        <w:t>de</w:t>
      </w:r>
      <w:r w:rsidRPr="005C76C3">
        <w:rPr>
          <w:rFonts w:ascii="Times New Roman" w:hAnsi="Times New Roman" w:cs="Times New Roman"/>
        </w:rPr>
        <w:t xml:space="preserve"> </w:t>
      </w:r>
      <w:r>
        <w:rPr>
          <w:rFonts w:ascii="Times New Roman" w:hAnsi="Times New Roman" w:cs="Times New Roman"/>
        </w:rPr>
        <w:t>novembro</w:t>
      </w:r>
      <w:r w:rsidRPr="005C76C3">
        <w:rPr>
          <w:rFonts w:ascii="Times New Roman" w:hAnsi="Times New Roman" w:cs="Times New Roman"/>
        </w:rPr>
        <w:t xml:space="preserve"> </w:t>
      </w:r>
      <w:r>
        <w:rPr>
          <w:rFonts w:ascii="Times New Roman" w:hAnsi="Times New Roman" w:cs="Times New Roman"/>
        </w:rPr>
        <w:t>de</w:t>
      </w:r>
      <w:r w:rsidRPr="005C76C3">
        <w:rPr>
          <w:rFonts w:ascii="Times New Roman" w:hAnsi="Times New Roman" w:cs="Times New Roman"/>
        </w:rPr>
        <w:t xml:space="preserve"> 2024:</w:t>
      </w:r>
    </w:p>
    <w:p w14:paraId="3D063FD7" w14:textId="77777777" w:rsidR="00B307DB" w:rsidRPr="009D52F7" w:rsidRDefault="00B307DB" w:rsidP="00B307DB">
      <w:pPr>
        <w:pStyle w:val="PargrafodaLista"/>
        <w:tabs>
          <w:tab w:val="left" w:pos="284"/>
        </w:tabs>
        <w:spacing w:after="0" w:line="240" w:lineRule="auto"/>
        <w:ind w:left="0" w:right="-568"/>
        <w:jc w:val="both"/>
        <w:rPr>
          <w:rFonts w:ascii="Times New Roman" w:hAnsi="Times New Roman" w:cs="Times New Roman"/>
        </w:rPr>
      </w:pPr>
      <w:r w:rsidRPr="009D52F7">
        <w:rPr>
          <w:rFonts w:ascii="Times New Roman" w:hAnsi="Times New Roman" w:cs="Times New Roman"/>
        </w:rPr>
        <w:t>1) Funcionário – Oldemar Bernardes;</w:t>
      </w:r>
    </w:p>
    <w:p w14:paraId="33CBF0AD" w14:textId="77777777" w:rsidR="00B307DB" w:rsidRPr="009D52F7" w:rsidRDefault="00B307DB" w:rsidP="00B307DB">
      <w:pPr>
        <w:pStyle w:val="PargrafodaLista"/>
        <w:tabs>
          <w:tab w:val="left" w:pos="284"/>
        </w:tabs>
        <w:spacing w:after="0" w:line="240" w:lineRule="auto"/>
        <w:ind w:left="0" w:right="-568"/>
        <w:jc w:val="both"/>
        <w:rPr>
          <w:rFonts w:ascii="Times New Roman" w:hAnsi="Times New Roman" w:cs="Times New Roman"/>
        </w:rPr>
      </w:pPr>
      <w:r w:rsidRPr="009D52F7">
        <w:rPr>
          <w:rFonts w:ascii="Times New Roman" w:hAnsi="Times New Roman" w:cs="Times New Roman"/>
        </w:rPr>
        <w:t xml:space="preserve">2) Funcionário – Juliano </w:t>
      </w:r>
      <w:r>
        <w:rPr>
          <w:rFonts w:ascii="Times New Roman" w:hAnsi="Times New Roman" w:cs="Times New Roman"/>
        </w:rPr>
        <w:t xml:space="preserve">Luiz </w:t>
      </w:r>
      <w:r w:rsidRPr="009D52F7">
        <w:rPr>
          <w:rFonts w:ascii="Times New Roman" w:hAnsi="Times New Roman" w:cs="Times New Roman"/>
        </w:rPr>
        <w:t>Bortolanza;</w:t>
      </w:r>
    </w:p>
    <w:p w14:paraId="31DCE0F5" w14:textId="77777777" w:rsidR="00B307DB" w:rsidRPr="009D52F7" w:rsidRDefault="00B307DB" w:rsidP="00B307DB">
      <w:pPr>
        <w:pStyle w:val="Textodecomentrio"/>
        <w:spacing w:after="0"/>
        <w:rPr>
          <w:rFonts w:ascii="Times New Roman" w:hAnsi="Times New Roman" w:cs="Times New Roman"/>
          <w:sz w:val="22"/>
          <w:szCs w:val="22"/>
        </w:rPr>
      </w:pPr>
      <w:r>
        <w:rPr>
          <w:rFonts w:ascii="Times New Roman" w:hAnsi="Times New Roman" w:cs="Times New Roman"/>
          <w:sz w:val="22"/>
          <w:szCs w:val="22"/>
        </w:rPr>
        <w:t xml:space="preserve">3) Funcionário </w:t>
      </w:r>
      <w:r w:rsidRPr="009D52F7">
        <w:rPr>
          <w:rFonts w:ascii="Times New Roman" w:hAnsi="Times New Roman" w:cs="Times New Roman"/>
          <w:sz w:val="22"/>
          <w:szCs w:val="22"/>
        </w:rPr>
        <w:t>– Maikel Ruan Marquardt;</w:t>
      </w:r>
    </w:p>
    <w:p w14:paraId="01AEF51E" w14:textId="77777777" w:rsidR="00B307DB" w:rsidRPr="009D52F7" w:rsidRDefault="00B307DB" w:rsidP="00B307DB">
      <w:pPr>
        <w:pStyle w:val="PargrafodaLista"/>
        <w:tabs>
          <w:tab w:val="left" w:pos="284"/>
        </w:tabs>
        <w:spacing w:after="0" w:line="240" w:lineRule="auto"/>
        <w:ind w:left="0" w:right="-568"/>
        <w:jc w:val="both"/>
        <w:rPr>
          <w:rFonts w:ascii="Times New Roman" w:hAnsi="Times New Roman" w:cs="Times New Roman"/>
        </w:rPr>
      </w:pPr>
      <w:r>
        <w:rPr>
          <w:rFonts w:ascii="Times New Roman" w:hAnsi="Times New Roman" w:cs="Times New Roman"/>
        </w:rPr>
        <w:t>4) Funcionário</w:t>
      </w:r>
      <w:r w:rsidRPr="009D52F7">
        <w:rPr>
          <w:rFonts w:ascii="Times New Roman" w:hAnsi="Times New Roman" w:cs="Times New Roman"/>
        </w:rPr>
        <w:t xml:space="preserve"> – André Dorigon;</w:t>
      </w:r>
    </w:p>
    <w:p w14:paraId="2FFE38C5" w14:textId="77777777" w:rsidR="00B307DB" w:rsidRDefault="00B307DB" w:rsidP="00B307DB">
      <w:pPr>
        <w:pStyle w:val="PargrafodaLista"/>
        <w:tabs>
          <w:tab w:val="left" w:pos="284"/>
        </w:tabs>
        <w:spacing w:after="0" w:line="240" w:lineRule="auto"/>
        <w:ind w:left="0" w:right="-568"/>
        <w:jc w:val="both"/>
        <w:rPr>
          <w:rFonts w:ascii="Times New Roman" w:hAnsi="Times New Roman" w:cs="Times New Roman"/>
        </w:rPr>
      </w:pPr>
      <w:r>
        <w:rPr>
          <w:rFonts w:ascii="Times New Roman" w:hAnsi="Times New Roman" w:cs="Times New Roman"/>
        </w:rPr>
        <w:t>5) Funcionário</w:t>
      </w:r>
      <w:r w:rsidRPr="009D52F7">
        <w:rPr>
          <w:rFonts w:ascii="Times New Roman" w:hAnsi="Times New Roman" w:cs="Times New Roman"/>
        </w:rPr>
        <w:t xml:space="preserve"> – Patricia Tauffer</w:t>
      </w:r>
      <w:r>
        <w:rPr>
          <w:rFonts w:ascii="Times New Roman" w:hAnsi="Times New Roman" w:cs="Times New Roman"/>
        </w:rPr>
        <w:t xml:space="preserve"> Scheffer;</w:t>
      </w:r>
    </w:p>
    <w:p w14:paraId="46D4B23D" w14:textId="77777777" w:rsidR="00B307DB" w:rsidRPr="009D52F7" w:rsidRDefault="00B307DB" w:rsidP="00B307DB">
      <w:pPr>
        <w:pStyle w:val="PargrafodaLista"/>
        <w:tabs>
          <w:tab w:val="left" w:pos="284"/>
        </w:tabs>
        <w:spacing w:after="0" w:line="240" w:lineRule="auto"/>
        <w:ind w:left="0" w:right="-568"/>
        <w:jc w:val="both"/>
        <w:rPr>
          <w:rFonts w:ascii="Times New Roman" w:hAnsi="Times New Roman" w:cs="Times New Roman"/>
        </w:rPr>
      </w:pPr>
      <w:r>
        <w:rPr>
          <w:rFonts w:ascii="Times New Roman" w:hAnsi="Times New Roman" w:cs="Times New Roman"/>
        </w:rPr>
        <w:t xml:space="preserve">6) Funcionário </w:t>
      </w:r>
      <w:r w:rsidRPr="009D52F7">
        <w:rPr>
          <w:rFonts w:ascii="Times New Roman" w:hAnsi="Times New Roman" w:cs="Times New Roman"/>
        </w:rPr>
        <w:t>–</w:t>
      </w:r>
      <w:r>
        <w:rPr>
          <w:rFonts w:ascii="Times New Roman" w:hAnsi="Times New Roman" w:cs="Times New Roman"/>
        </w:rPr>
        <w:t xml:space="preserve"> Paulo Henrique Heller.</w:t>
      </w:r>
    </w:p>
    <w:p w14:paraId="68C6A261"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b/>
        </w:rPr>
      </w:pPr>
      <w:r w:rsidRPr="00B84389">
        <w:rPr>
          <w:rFonts w:ascii="Times New Roman" w:hAnsi="Times New Roman" w:cs="Times New Roman"/>
          <w:b/>
        </w:rPr>
        <w:t xml:space="preserve">9 </w:t>
      </w:r>
      <w:r w:rsidRPr="00B84389">
        <w:rPr>
          <w:rFonts w:ascii="Times New Roman" w:hAnsi="Times New Roman" w:cs="Times New Roman"/>
          <w:b/>
          <w:i/>
        </w:rPr>
        <w:t>Do Teste de Conformidade (Amostra do Objeto)</w:t>
      </w:r>
    </w:p>
    <w:p w14:paraId="27504360"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w:t>
      </w:r>
      <w:r w:rsidRPr="00B84389">
        <w:rPr>
          <w:rFonts w:ascii="Times New Roman" w:hAnsi="Times New Roman" w:cs="Times New Roman"/>
        </w:rPr>
        <w:t xml:space="preserve"> A Administração Pública Municipal, através da Comissão Especial de Avaliação, realizará com a empresa licitante vencedora, antes da assinatura do contrato, nos termos da Lei nº 14.133/2021 uma avaliação da AMOSTRA DO OBJETO por meio de um teste de conformidade da solução (também chamada Prova de Conceito), com o objetivo de comprovar se a mesma realmente dispõe dos requisitos mínimos obrigatórios, presentes nas Es</w:t>
      </w:r>
      <w:r>
        <w:rPr>
          <w:rFonts w:ascii="Times New Roman" w:hAnsi="Times New Roman" w:cs="Times New Roman"/>
        </w:rPr>
        <w:t>pecificações Técnicas (ANEXO</w:t>
      </w:r>
      <w:r w:rsidRPr="00B84389">
        <w:rPr>
          <w:rFonts w:ascii="Times New Roman" w:hAnsi="Times New Roman" w:cs="Times New Roman"/>
        </w:rPr>
        <w:t xml:space="preserve"> - ESPECIFICAÇÕES TÉCNICAS DA SOLUÇÃO);</w:t>
      </w:r>
    </w:p>
    <w:p w14:paraId="4D356F13"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9.2</w:t>
      </w:r>
      <w:r w:rsidRPr="00B84389">
        <w:rPr>
          <w:rFonts w:ascii="Times New Roman" w:hAnsi="Times New Roman" w:cs="Times New Roman"/>
        </w:rPr>
        <w:t xml:space="preserve"> O vencedor do certame deverá apresentar-se no Município, em local a ser designado pela Comissão Especial de Avaliação, no 2º dia útil seguinte à divulgação do resultado, às 9 Hrs, para a realização do teste de conformidade, devendo apresentar o sistema de forma presencial, em uma base de dados que simule as condições reais de uso, comprovando as funcionalidades requeridas neste Termo de Referência.</w:t>
      </w:r>
    </w:p>
    <w:p w14:paraId="15F30465"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lastRenderedPageBreak/>
        <w:t>9.3</w:t>
      </w:r>
      <w:r w:rsidRPr="00B84389">
        <w:rPr>
          <w:rFonts w:ascii="Times New Roman" w:hAnsi="Times New Roman" w:cs="Times New Roman"/>
        </w:rPr>
        <w:t xml:space="preserve"> No teste de conformidade, serão avaliados criteriosamente todos os requisitos obrigatórios (Características Gerais Obrigatórias) do sistema;</w:t>
      </w:r>
    </w:p>
    <w:p w14:paraId="26FC5E06"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9.3.1</w:t>
      </w:r>
      <w:r w:rsidRPr="00B84389">
        <w:rPr>
          <w:rFonts w:ascii="Times New Roman" w:hAnsi="Times New Roman" w:cs="Times New Roman"/>
        </w:rPr>
        <w:t xml:space="preserve"> A proponente deverá atender 100% (cem por cento) dos requisitos testados relacionados as Características Gerais Obrigatórias (ite</w:t>
      </w:r>
      <w:r>
        <w:rPr>
          <w:rFonts w:ascii="Times New Roman" w:hAnsi="Times New Roman" w:cs="Times New Roman"/>
        </w:rPr>
        <w:t>m 1 e seus subitens do ANEXO</w:t>
      </w:r>
      <w:r w:rsidRPr="00B84389">
        <w:rPr>
          <w:rFonts w:ascii="Times New Roman" w:hAnsi="Times New Roman" w:cs="Times New Roman"/>
        </w:rPr>
        <w:t>) sob pena de ser reprovada no teste de conformidade;</w:t>
      </w:r>
    </w:p>
    <w:p w14:paraId="3AAFE306"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9.3.2</w:t>
      </w:r>
      <w:r w:rsidRPr="00B84389">
        <w:rPr>
          <w:rFonts w:ascii="Times New Roman" w:hAnsi="Times New Roman" w:cs="Times New Roman"/>
        </w:rPr>
        <w:t xml:space="preserve"> Caso a solução ofertada não atenda 100% dos requisitos relacionados as Características Gerais Obrigatórias (ite</w:t>
      </w:r>
      <w:r>
        <w:rPr>
          <w:rFonts w:ascii="Times New Roman" w:hAnsi="Times New Roman" w:cs="Times New Roman"/>
        </w:rPr>
        <w:t>m 1 e seus subitens do ANEXO</w:t>
      </w:r>
      <w:r w:rsidRPr="00B84389">
        <w:rPr>
          <w:rFonts w:ascii="Times New Roman" w:hAnsi="Times New Roman" w:cs="Times New Roman"/>
        </w:rPr>
        <w:t>), não se passará a etapa de Avaliação dos Requisitos por módulos de Programas, sendo a proposta de solução automaticamente reprovada, por princípio de economicidade, celeridade e utilidade do procedimento;</w:t>
      </w:r>
    </w:p>
    <w:p w14:paraId="08A524AA"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9.3.3</w:t>
      </w:r>
      <w:r w:rsidRPr="00B84389">
        <w:rPr>
          <w:rFonts w:ascii="Times New Roman" w:hAnsi="Times New Roman" w:cs="Times New Roman"/>
        </w:rPr>
        <w:t xml:space="preserve"> Aqueles requisitos obrigatórios que dependem da integração com sistemas em uso na Prefeitura não serão avaliados pela Comissão, pois o funcionamento dos mesmos poderá depender de algumas customizações da solução por parte da CONTRATADA durante a fase de implantação;</w:t>
      </w:r>
    </w:p>
    <w:p w14:paraId="427C4C2C"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9.4</w:t>
      </w:r>
      <w:r w:rsidRPr="00B84389">
        <w:rPr>
          <w:rFonts w:ascii="Times New Roman" w:hAnsi="Times New Roman" w:cs="Times New Roman"/>
        </w:rPr>
        <w:t xml:space="preserve"> A Comissão Especial de Avaliação, se reserva o direito de avaliar todos os requisitos operacionais (módulos de programas) </w:t>
      </w:r>
      <w:r w:rsidRPr="00B13C1F">
        <w:rPr>
          <w:rFonts w:ascii="Times New Roman" w:hAnsi="Times New Roman" w:cs="Times New Roman"/>
          <w:strike/>
          <w:color w:val="FF0000"/>
        </w:rPr>
        <w:t>ou somente aqueles que julgar necessários no teste de conformidade</w:t>
      </w:r>
      <w:r w:rsidRPr="00B84389">
        <w:rPr>
          <w:rFonts w:ascii="Times New Roman" w:hAnsi="Times New Roman" w:cs="Times New Roman"/>
        </w:rPr>
        <w:t>.</w:t>
      </w:r>
    </w:p>
    <w:p w14:paraId="35831997"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9.4.1</w:t>
      </w:r>
      <w:r w:rsidRPr="00B84389">
        <w:rPr>
          <w:rFonts w:ascii="Times New Roman" w:hAnsi="Times New Roman" w:cs="Times New Roman"/>
        </w:rPr>
        <w:t xml:space="preserve"> A solução proposta deve atender no mínimo 90% (noventa por cento) dos requisitos avaliados relacionados </w:t>
      </w:r>
      <w:r>
        <w:rPr>
          <w:rFonts w:ascii="Times New Roman" w:hAnsi="Times New Roman" w:cs="Times New Roman"/>
        </w:rPr>
        <w:t>aos módulos (Item 2 do ANEXO</w:t>
      </w:r>
      <w:r w:rsidRPr="00B84389">
        <w:rPr>
          <w:rFonts w:ascii="Times New Roman" w:hAnsi="Times New Roman" w:cs="Times New Roman"/>
        </w:rPr>
        <w:t>), sob pena de ser reprovada. Para dirimir dúvidas, todos os itens listados nos módulos de programas poderão ser avaliados;</w:t>
      </w:r>
    </w:p>
    <w:p w14:paraId="01797506"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9.5 </w:t>
      </w:r>
      <w:r w:rsidRPr="00B84389">
        <w:rPr>
          <w:rFonts w:ascii="Times New Roman" w:hAnsi="Times New Roman" w:cs="Times New Roman"/>
        </w:rPr>
        <w:t>A apresentação deve ser realizada na ordem em que os itens estão relacionados, devendo a EMPRESA VENCEDORA apresentá-los de forma objetiva, sem ajustes e sem contato externo. Não será permitido desenvolver, editar, corrigir ou ajustar os softwares durante a apresentação;</w:t>
      </w:r>
    </w:p>
    <w:p w14:paraId="2B8B1F61"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9.5.1</w:t>
      </w:r>
      <w:r w:rsidRPr="00B84389">
        <w:rPr>
          <w:rFonts w:ascii="Times New Roman" w:hAnsi="Times New Roman" w:cs="Times New Roman"/>
        </w:rPr>
        <w:t xml:space="preserve"> A avaliação dos módulos poderá ser realizada de forma simultânea, desde que previamente acordado com a Comissão de Avaliação e a licitadora dispor de pessoal e locais disponíveis da data e horários estabelecidos;</w:t>
      </w:r>
    </w:p>
    <w:p w14:paraId="133F888F"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9.6</w:t>
      </w:r>
      <w:r w:rsidRPr="00B84389">
        <w:rPr>
          <w:rFonts w:ascii="Times New Roman" w:hAnsi="Times New Roman" w:cs="Times New Roman"/>
        </w:rPr>
        <w:t xml:space="preserve"> A Comissão Especial avaliadora e seus membros realizarão seus debates em ambiente reservado, sem a presença dos licitantes, de modo a não prejudicar os trabalhos de julgamento;</w:t>
      </w:r>
    </w:p>
    <w:p w14:paraId="07669D66"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9.6.1</w:t>
      </w:r>
      <w:r w:rsidRPr="00B84389">
        <w:rPr>
          <w:rFonts w:ascii="Times New Roman" w:hAnsi="Times New Roman" w:cs="Times New Roman"/>
        </w:rPr>
        <w:t xml:space="preserve"> Após seus debates, a Comissão Especial avaliadora especialmente nomeada e designada, registrará em Ata os resultados e conclusões e encaminhará ao Pregoeiro;</w:t>
      </w:r>
    </w:p>
    <w:p w14:paraId="06B0F9CF"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9.7</w:t>
      </w:r>
      <w:r w:rsidRPr="00B84389">
        <w:rPr>
          <w:rFonts w:ascii="Times New Roman" w:hAnsi="Times New Roman" w:cs="Times New Roman"/>
        </w:rPr>
        <w:t xml:space="preserve"> Constatado o atendimento pleno às exigências fixadas neste edital e consequente aprovação no teste de conformidade, a licitante será declarada vencedora, sendo-lhe adjudicado o presente objeto, para o qual apresentou proposta. Caso a solução da licitante não seja aprovada no teste de conformidade, a mesma será reprovada e rejeitada, sendo convocadas para a realização deste teste as demais licitantes, por ordem de classificação, repetindo-se os procedimentos;</w:t>
      </w:r>
    </w:p>
    <w:p w14:paraId="4E6C2851"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9.8</w:t>
      </w:r>
      <w:r w:rsidRPr="00B84389">
        <w:rPr>
          <w:rFonts w:ascii="Times New Roman" w:hAnsi="Times New Roman" w:cs="Times New Roman"/>
        </w:rPr>
        <w:t xml:space="preserve"> A responsabilidade de providenciar todos os equipamentos necessários para a realização do teste de conformidade, inclusive conexão à internet (tecnologia 3G ou outros) é da CONTRATADA, ficando a CONTRATANTE responsável somente pela disponibilização do espaço e fonte de energia para realização do mesmo;</w:t>
      </w:r>
    </w:p>
    <w:p w14:paraId="265390C5"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9.9</w:t>
      </w:r>
      <w:r w:rsidRPr="00B84389">
        <w:rPr>
          <w:rFonts w:ascii="Times New Roman" w:hAnsi="Times New Roman" w:cs="Times New Roman"/>
        </w:rPr>
        <w:t xml:space="preserve"> A PROPONENTE que convocada para avaliação e não comparecer em dia e hora previamente agendados para a sua realização, será automaticamente reprovada pela Comissão avaliadora;</w:t>
      </w:r>
    </w:p>
    <w:p w14:paraId="6EE58F8F"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9.10</w:t>
      </w:r>
      <w:r w:rsidRPr="00B84389">
        <w:rPr>
          <w:rFonts w:ascii="Times New Roman" w:hAnsi="Times New Roman" w:cs="Times New Roman"/>
        </w:rPr>
        <w:t xml:space="preserve"> Não serão aceitas intervenções de pessoas externas à avaliação (não presentes na demonstração), com relação a manipulação do sistema/softwares ou suas funcionalidades;</w:t>
      </w:r>
    </w:p>
    <w:p w14:paraId="77C1516A"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9.11</w:t>
      </w:r>
      <w:r w:rsidRPr="00B84389">
        <w:rPr>
          <w:rFonts w:ascii="Times New Roman" w:hAnsi="Times New Roman" w:cs="Times New Roman"/>
        </w:rPr>
        <w:t xml:space="preserve"> Será admitido na sala da sessão de realização do teste de conformidade, além da comissão especial avaliação, de representantes/técnicos da empresa vencedora, no máximo 1 (um) representantes/técnicos de cada uma das demais licitantes, sendo vedada a presença de pessoas estranhas, não formalmente convidadas, e que não façam parte do quadro de servidores municipais, evitando-se tumultos e prejuízos ao procedimento;</w:t>
      </w:r>
    </w:p>
    <w:p w14:paraId="4E5D4213"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9.11.1</w:t>
      </w:r>
      <w:r w:rsidRPr="00B84389">
        <w:rPr>
          <w:rFonts w:ascii="Times New Roman" w:hAnsi="Times New Roman" w:cs="Times New Roman"/>
        </w:rPr>
        <w:t xml:space="preserve"> Não será permitido aos demais licitantes, acesso aos equipamentos da empresa avaliada;</w:t>
      </w:r>
    </w:p>
    <w:p w14:paraId="6ABCA266"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9.11.2</w:t>
      </w:r>
      <w:r w:rsidRPr="00B84389">
        <w:rPr>
          <w:rFonts w:ascii="Times New Roman" w:hAnsi="Times New Roman" w:cs="Times New Roman"/>
        </w:rPr>
        <w:t xml:space="preserve"> Não será permitido aos demais licitantes, manifestação, sob qualquer pretexto, durante a realização da sessão de avaliação;</w:t>
      </w:r>
    </w:p>
    <w:p w14:paraId="61AF188A"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9.11.3</w:t>
      </w:r>
      <w:r w:rsidRPr="00B84389">
        <w:rPr>
          <w:rFonts w:ascii="Times New Roman" w:hAnsi="Times New Roman" w:cs="Times New Roman"/>
        </w:rPr>
        <w:t xml:space="preserve"> Licitantes que se comportarem de forma inconveniente ou de modo a perturbar os trabalhos de apresentação da vencedora, poderão ser conduzidos para fora do local de apresentação, bem como penalizados, nos termos da Legislação;</w:t>
      </w:r>
    </w:p>
    <w:p w14:paraId="154D5F25"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9.12</w:t>
      </w:r>
      <w:r w:rsidRPr="00B84389">
        <w:rPr>
          <w:rFonts w:ascii="Times New Roman" w:hAnsi="Times New Roman" w:cs="Times New Roman"/>
        </w:rPr>
        <w:t xml:space="preserve"> Os resultados da avaliação serão tornados públicos, como disciplina a legislação e disponibilizados aos interessados pela internet, inclusive para fins de eventual interposição de recursos;</w:t>
      </w:r>
    </w:p>
    <w:p w14:paraId="5447CF54"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9.13</w:t>
      </w:r>
      <w:r w:rsidRPr="00B84389">
        <w:rPr>
          <w:rFonts w:ascii="Times New Roman" w:hAnsi="Times New Roman" w:cs="Times New Roman"/>
        </w:rPr>
        <w:t xml:space="preserve"> Em caso de dúvida, a comissão julgadora em sua análise e ponderação, poderá invocar princípios gerais do direito administrativo e da supremacia do interesse público, bem como da razoabilidade e da </w:t>
      </w:r>
      <w:r w:rsidRPr="00B84389">
        <w:rPr>
          <w:rFonts w:ascii="Times New Roman" w:hAnsi="Times New Roman" w:cs="Times New Roman"/>
        </w:rPr>
        <w:lastRenderedPageBreak/>
        <w:t>proporcionalidade, sempre visando a contratação da melhor oferta, atendendo ao interesse público e aos princípios da economicidade e do julgamento objetivo;</w:t>
      </w:r>
    </w:p>
    <w:p w14:paraId="61E9AEE4"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9.14</w:t>
      </w:r>
      <w:r w:rsidRPr="00B84389">
        <w:rPr>
          <w:rFonts w:ascii="Times New Roman" w:hAnsi="Times New Roman" w:cs="Times New Roman"/>
        </w:rPr>
        <w:t xml:space="preserve"> Caso necessário, a avaliação poderá ser feita de forma remota, por meio de videoconferência ou outro recurso tecnológico adequado, visando a segurança e saúde dos participantes e acompanhamento/validação em tempo real em equipamento da licitadora por parte da equipe de avaliação.</w:t>
      </w:r>
    </w:p>
    <w:p w14:paraId="5CE757D0"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b/>
          <w:i/>
        </w:rPr>
      </w:pPr>
      <w:r w:rsidRPr="00B84389">
        <w:rPr>
          <w:rFonts w:ascii="Times New Roman" w:hAnsi="Times New Roman" w:cs="Times New Roman"/>
          <w:b/>
        </w:rPr>
        <w:t xml:space="preserve">10 </w:t>
      </w:r>
      <w:r w:rsidRPr="00B84389">
        <w:rPr>
          <w:rFonts w:ascii="Times New Roman" w:hAnsi="Times New Roman" w:cs="Times New Roman"/>
          <w:b/>
          <w:i/>
        </w:rPr>
        <w:t>Da Continuidade do Serviço Público</w:t>
      </w:r>
    </w:p>
    <w:p w14:paraId="3220B17D"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10.1</w:t>
      </w:r>
      <w:r w:rsidRPr="00B84389">
        <w:rPr>
          <w:rFonts w:ascii="Times New Roman" w:hAnsi="Times New Roman" w:cs="Times New Roman"/>
        </w:rPr>
        <w:t xml:space="preserve"> Em caso de falência, concordata ou eminência do encerramento das atividades da CONTRATADA, sem continuidade do produto por terceiro, a mesma compromete-se a manter os sistemas em funcionamento e a entregar as informações, especificações técnicas ou instruções necessárias a manutenção dos softwares, até a contratação de novo fornecedor, bem como, ao final, cópia do banco de dados, juntamente com o dicionário de dados e senhas necessárias para acesso completo aos dados. A CONTRATANTE, que neste ato assume o compromisso de utilizar as informações cedidas exclusivamente para MANUTENÇÃO, sendo expressamente vedadas as ações de venda, distribuição ou divulgação a terceiros.</w:t>
      </w:r>
    </w:p>
    <w:p w14:paraId="2B45C39B" w14:textId="77777777" w:rsidR="00B307DB" w:rsidRPr="00B13C1F" w:rsidRDefault="00B307DB" w:rsidP="00B307DB">
      <w:pPr>
        <w:pStyle w:val="PargrafodaLista"/>
        <w:tabs>
          <w:tab w:val="left" w:pos="284"/>
        </w:tabs>
        <w:spacing w:after="0" w:line="240" w:lineRule="auto"/>
        <w:ind w:left="0" w:right="-568"/>
        <w:jc w:val="both"/>
        <w:rPr>
          <w:rFonts w:ascii="Times New Roman" w:hAnsi="Times New Roman" w:cs="Times New Roman"/>
          <w:strike/>
          <w:color w:val="FF0000"/>
        </w:rPr>
      </w:pPr>
      <w:r w:rsidRPr="00B84389">
        <w:rPr>
          <w:rFonts w:ascii="Times New Roman" w:hAnsi="Times New Roman" w:cs="Times New Roman"/>
          <w:b/>
        </w:rPr>
        <w:t>10.2</w:t>
      </w:r>
      <w:r w:rsidRPr="00B84389">
        <w:rPr>
          <w:rFonts w:ascii="Times New Roman" w:hAnsi="Times New Roman" w:cs="Times New Roman"/>
        </w:rPr>
        <w:t xml:space="preserve"> </w:t>
      </w:r>
      <w:r w:rsidRPr="00B13C1F">
        <w:rPr>
          <w:rFonts w:ascii="Times New Roman" w:hAnsi="Times New Roman" w:cs="Times New Roman"/>
          <w:strike/>
          <w:color w:val="FF0000"/>
        </w:rPr>
        <w:t>Caso a CONTRATADA sofra fusão ou incorporação, a empresa CONTRATADA deve repassar todas as informações técnicas necessárias para a continuação do contrato a empresa majoritária, incluindo-se os códigos fontes, modelo-ER, framework, especificações técnicas e demais documentos gerados pela CONTRATADA durante o período de prestação de serviços;</w:t>
      </w:r>
    </w:p>
    <w:p w14:paraId="2E6DD7D1"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10.3</w:t>
      </w:r>
      <w:r w:rsidRPr="00B84389">
        <w:rPr>
          <w:rFonts w:ascii="Times New Roman" w:hAnsi="Times New Roman" w:cs="Times New Roman"/>
        </w:rPr>
        <w:t xml:space="preserve"> Havendo necessidade de compra de software proprietário para o perfeito funcionamento da solução de ERP, é responsabilidade da CONTRATADA, fornecer a licença do mesmo em nome da Prefeitura Municipal, sem nenhum tipo de ônus para o município.</w:t>
      </w:r>
    </w:p>
    <w:p w14:paraId="46FD43D8" w14:textId="77777777" w:rsidR="00B307DB" w:rsidRPr="00B84389" w:rsidRDefault="00B307DB" w:rsidP="00B307DB">
      <w:pPr>
        <w:tabs>
          <w:tab w:val="left" w:pos="284"/>
        </w:tabs>
        <w:spacing w:after="0" w:line="240" w:lineRule="auto"/>
        <w:ind w:right="-568"/>
        <w:jc w:val="both"/>
        <w:rPr>
          <w:rFonts w:ascii="Times New Roman" w:hAnsi="Times New Roman" w:cs="Times New Roman"/>
          <w:b/>
          <w:i/>
        </w:rPr>
      </w:pPr>
      <w:r w:rsidRPr="00B84389">
        <w:rPr>
          <w:rFonts w:ascii="Times New Roman" w:hAnsi="Times New Roman" w:cs="Times New Roman"/>
          <w:b/>
        </w:rPr>
        <w:t xml:space="preserve">11 </w:t>
      </w:r>
      <w:r w:rsidRPr="00B84389">
        <w:rPr>
          <w:rFonts w:ascii="Times New Roman" w:hAnsi="Times New Roman" w:cs="Times New Roman"/>
          <w:b/>
          <w:i/>
        </w:rPr>
        <w:t>Do Licenciamento de Softwares e Direitos de Propriedade</w:t>
      </w:r>
    </w:p>
    <w:p w14:paraId="7D2083EA"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11.1 </w:t>
      </w:r>
      <w:r w:rsidRPr="00B84389">
        <w:rPr>
          <w:rFonts w:ascii="Times New Roman" w:hAnsi="Times New Roman" w:cs="Times New Roman"/>
        </w:rPr>
        <w:t>E sobre a propriedade intelectual de programa de computador (copyright) e sua comercialização, distribuição e licença no País, Lei nº 9.279/1996 que regula direitos e obrigações relativos à propriedade industrial, Lei nº 9.610/1998, bem como demais normativos e regulamentos aplicáveis a matéria, acordo internacional TRIPs (Agreement on Trade Related Aspects of Intellectual Property Rights ) e demais acordos ou tratados internacionais ratificados ou de que o Brasil faça parte;</w:t>
      </w:r>
    </w:p>
    <w:p w14:paraId="6371AF07"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11.2</w:t>
      </w:r>
      <w:r w:rsidRPr="00B84389">
        <w:rPr>
          <w:rFonts w:ascii="Times New Roman" w:hAnsi="Times New Roman" w:cs="Times New Roman"/>
        </w:rPr>
        <w:t xml:space="preserve"> O Contrato de Prestação de Serviços originado deste procedimento licitatório, na modalidade SaaS (Software as a Service) trata-se de licenciamento temporário, ou seja, por tempo determinado de softwares web, mediante pagamento de aluguel mensal, e não hospedados, em repositórios, servidores ou computadores/dispositivos da CONTRATANTE (licenciamento denominado ASP: Application Service Provider); </w:t>
      </w:r>
    </w:p>
    <w:p w14:paraId="1B5485AC"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11.3</w:t>
      </w:r>
      <w:r w:rsidRPr="00B84389">
        <w:rPr>
          <w:rFonts w:ascii="Times New Roman" w:hAnsi="Times New Roman" w:cs="Times New Roman"/>
        </w:rPr>
        <w:t xml:space="preserve"> O Contrato de Prestação de Serviços originado deste procedimento licitatório, a título precário, resolúvel a qualquer tempo, além de seus estritos termos, não transfere qualquer direito ou propriedade, inclusive intelectual, ao CONTRATANTE ou USUÁRIOS. Pertencem exclusivamente a CONTRATADA, sem limitações, quaisquer correções, atualizações, ou melhorias ao produto que venham a ser implementadas, mesmo que se originem durante a relação contratual;</w:t>
      </w:r>
    </w:p>
    <w:p w14:paraId="1498E111"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11.4</w:t>
      </w:r>
      <w:r w:rsidRPr="00B84389">
        <w:rPr>
          <w:rFonts w:ascii="Times New Roman" w:hAnsi="Times New Roman" w:cs="Times New Roman"/>
        </w:rPr>
        <w:t xml:space="preserve"> Logotipos, marcas, símbolos, títulos e assemelhados pertencem a cada uma das partes contratantes, não havendo qualquer modificação de direitos em função do autografo no termo contratual objeto do certame;</w:t>
      </w:r>
    </w:p>
    <w:p w14:paraId="47FF0AE3"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11.5</w:t>
      </w:r>
      <w:r w:rsidRPr="00B84389">
        <w:rPr>
          <w:rFonts w:ascii="Times New Roman" w:hAnsi="Times New Roman" w:cs="Times New Roman"/>
        </w:rPr>
        <w:t xml:space="preserve"> Ao firmar o Contrato de Prestação de Serviços originado deste procedimento licitatório, o Município, na condição de CONTRATANTE, concorda que os softwares licenciados temporariamente, sistemas, equipamentos, métodos de funcionamento, código-fonte, documentações e outras informações relativas ou neles contidas são propriedade, intelectual e/ou segredos comerciais/industriais únicos e exclusivos da CONTRATADA;</w:t>
      </w:r>
    </w:p>
    <w:p w14:paraId="1E518BC5"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11.6</w:t>
      </w:r>
      <w:r w:rsidRPr="00B84389">
        <w:rPr>
          <w:rFonts w:ascii="Times New Roman" w:hAnsi="Times New Roman" w:cs="Times New Roman"/>
        </w:rPr>
        <w:t xml:space="preserve"> Ao firmar o Contrato de Prestação de Serviços originado deste procedimento licitatório, nos termos da Lei, a CONTRATADA concorda que as INFORMAÇÕES DO BANCO DE DADOS são de única e exclusiva propriedade do CONTRATANTE, não podendo divulgá-las, cedê-las, comercializá-las ou ofertá-las a terceiros, devendo ser garantido que o serviço oferecido de SaaS permita aos dados a sua portabilidade, transferência e restauração em prazo adequado e sem custo adicional, mediante cópia (ou backup) de forma completa, legível e utilizável, incluindo senhas para seu acesso integral, o que poderá ser exigido em qualquer momento durante a vigência do contrato, e obrigatoriamente ao seu final, permitindo a sua retomada pelo CONTRATANTE. </w:t>
      </w:r>
    </w:p>
    <w:p w14:paraId="396BCE39"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11.7</w:t>
      </w:r>
      <w:r w:rsidRPr="00B84389">
        <w:rPr>
          <w:rFonts w:ascii="Times New Roman" w:hAnsi="Times New Roman" w:cs="Times New Roman"/>
        </w:rPr>
        <w:t xml:space="preserve"> Por questões técnicas, e de propriedade intelectual da CONTRATADA, durante a vigência do contrato, a CONTRATANTE abster-se-á de ceder a terceiros, acessar, manipular ou fazer qualquer tipo </w:t>
      </w:r>
      <w:r w:rsidRPr="00B84389">
        <w:rPr>
          <w:rFonts w:ascii="Times New Roman" w:hAnsi="Times New Roman" w:cs="Times New Roman"/>
        </w:rPr>
        <w:lastRenderedPageBreak/>
        <w:t>de uso ou manipulação do banco de dados fora do ambiente do sistema, bem como impedir o uso indevido de informações, dos softwares, cópias e alterações não autorizadas, sua sublocação, sublicenciamento, compartilhamento, doação, empréstimo, oferta ou cessão de uso para terceiros que não façam parte do escopo contratual.</w:t>
      </w:r>
    </w:p>
    <w:p w14:paraId="77D32962"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b/>
        </w:rPr>
      </w:pPr>
      <w:r w:rsidRPr="00B84389">
        <w:rPr>
          <w:rFonts w:ascii="Times New Roman" w:hAnsi="Times New Roman" w:cs="Times New Roman"/>
          <w:b/>
        </w:rPr>
        <w:t>11.8</w:t>
      </w:r>
      <w:r w:rsidRPr="00B84389">
        <w:rPr>
          <w:rFonts w:ascii="Times New Roman" w:hAnsi="Times New Roman" w:cs="Times New Roman"/>
        </w:rPr>
        <w:t xml:space="preserve"> As partes contratantes, concordam, que pelas características do objeto e do tipo de licenciamento estabelecido, a CONTRATADA e desenvolvedora não se responsabilizará por questões relacionadas ao mau uso ou desempenho dos computadores ou dispositivos dos usuários e da CONTRATANTE, cujos softwares/aplicativos estejam sendo acessados/utilizados, ou redes lógicas e demais infraestrutura tecnológica da CONTRATANTE, bem como, não se responsabiliza por fatos de terceiros , erros em cálculos, folhas, relatórios, boletos e cobranças ou outros equívocos de processamento, provenientes de dados, parâmetros e informações repassadas, informadas, lançadas ou carregadas no sistema pelos usuários.</w:t>
      </w:r>
    </w:p>
    <w:p w14:paraId="7AE79C25"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b/>
        </w:rPr>
      </w:pPr>
      <w:r w:rsidRPr="00B84389">
        <w:rPr>
          <w:rFonts w:ascii="Times New Roman" w:hAnsi="Times New Roman" w:cs="Times New Roman"/>
          <w:b/>
        </w:rPr>
        <w:t xml:space="preserve">12 </w:t>
      </w:r>
      <w:r w:rsidRPr="00B84389">
        <w:rPr>
          <w:rFonts w:ascii="Times New Roman" w:hAnsi="Times New Roman" w:cs="Times New Roman"/>
          <w:b/>
          <w:i/>
        </w:rPr>
        <w:t>Marco Civil da Internet</w:t>
      </w:r>
    </w:p>
    <w:p w14:paraId="225E27E9"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12.1</w:t>
      </w:r>
      <w:r w:rsidRPr="00B84389">
        <w:rPr>
          <w:rFonts w:ascii="Times New Roman" w:hAnsi="Times New Roman" w:cs="Times New Roman"/>
        </w:rPr>
        <w:t xml:space="preserve"> A solução da proponente deverá obrigatoriamente suportar o marco civil da internet conforme Lei nº 12.965/2014, a qual estabelece princípios, garantias, direitos e deveres para o uso da internet no Brasil e de todos os brasileiros conectados.</w:t>
      </w:r>
    </w:p>
    <w:p w14:paraId="112DE1DA"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r w:rsidRPr="00B84389">
        <w:rPr>
          <w:rFonts w:ascii="Times New Roman" w:hAnsi="Times New Roman" w:cs="Times New Roman"/>
          <w:b/>
        </w:rPr>
        <w:t>12.2</w:t>
      </w:r>
      <w:r w:rsidRPr="00B84389">
        <w:rPr>
          <w:rFonts w:ascii="Times New Roman" w:hAnsi="Times New Roman" w:cs="Times New Roman"/>
        </w:rPr>
        <w:t xml:space="preserve"> Todos os itens constantes da lei citada deverão ser cobertos e suportados pela empresa CONTRATADA, assim como direito, neutralidade, guarda de informações, responsabilização pelo conteúdo, obrigações do governo.</w:t>
      </w:r>
    </w:p>
    <w:p w14:paraId="283E1142" w14:textId="77777777" w:rsidR="00B307DB" w:rsidRPr="00B84389" w:rsidRDefault="00B307DB" w:rsidP="00B307DB">
      <w:pPr>
        <w:pStyle w:val="PargrafodaLista"/>
        <w:tabs>
          <w:tab w:val="left" w:pos="284"/>
        </w:tabs>
        <w:spacing w:after="0" w:line="240" w:lineRule="auto"/>
        <w:ind w:left="0" w:right="-568"/>
        <w:jc w:val="both"/>
        <w:rPr>
          <w:rFonts w:ascii="Times New Roman" w:hAnsi="Times New Roman" w:cs="Times New Roman"/>
        </w:rPr>
      </w:pPr>
    </w:p>
    <w:p w14:paraId="7028D921" w14:textId="77777777" w:rsidR="00B307DB" w:rsidRPr="00B84389" w:rsidRDefault="00B307DB" w:rsidP="00B307DB">
      <w:pPr>
        <w:spacing w:after="0" w:line="240" w:lineRule="auto"/>
        <w:ind w:right="-568"/>
        <w:jc w:val="both"/>
        <w:rPr>
          <w:rFonts w:ascii="Times New Roman" w:hAnsi="Times New Roman" w:cs="Times New Roman"/>
          <w:b/>
        </w:rPr>
      </w:pPr>
      <w:r w:rsidRPr="00B84389">
        <w:rPr>
          <w:rFonts w:ascii="Times New Roman" w:hAnsi="Times New Roman" w:cs="Times New Roman"/>
          <w:b/>
        </w:rPr>
        <w:t>5 Requisitos da contratação</w:t>
      </w:r>
    </w:p>
    <w:p w14:paraId="6A1EC41E"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5.1</w:t>
      </w:r>
      <w:r w:rsidRPr="00B84389">
        <w:rPr>
          <w:rFonts w:ascii="Times New Roman" w:hAnsi="Times New Roman" w:cs="Times New Roman"/>
          <w:b/>
        </w:rPr>
        <w:t xml:space="preserve"> </w:t>
      </w:r>
      <w:r w:rsidRPr="00B84389">
        <w:rPr>
          <w:rFonts w:ascii="Times New Roman" w:hAnsi="Times New Roman" w:cs="Times New Roman"/>
        </w:rPr>
        <w:t xml:space="preserve">Os requisitos da contratação abrangem o seguinte: </w:t>
      </w:r>
    </w:p>
    <w:p w14:paraId="395699ED"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Declaração que atende aos requisitos de habilitação (</w:t>
      </w:r>
      <w:hyperlink r:id="rId269" w:anchor="art63i" w:history="1">
        <w:r w:rsidRPr="00B84389">
          <w:rPr>
            <w:rStyle w:val="Hyperlink"/>
            <w:rFonts w:ascii="Times New Roman" w:hAnsi="Times New Roman" w:cs="Times New Roman"/>
          </w:rPr>
          <w:t>art. 63, I da Lei nº 14.133/2021</w:t>
        </w:r>
      </w:hyperlink>
      <w:r w:rsidRPr="00B84389">
        <w:rPr>
          <w:rFonts w:ascii="Times New Roman" w:hAnsi="Times New Roman" w:cs="Times New Roman"/>
        </w:rPr>
        <w:t xml:space="preserve">); </w:t>
      </w:r>
    </w:p>
    <w:p w14:paraId="4A5BE992"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 xml:space="preserve">Declaração que cumpre as exigências de reserva de cargos para pessoa com deficiência e para reabilitado da Previdência Social, nos termos do </w:t>
      </w:r>
      <w:hyperlink r:id="rId270" w:anchor="art93" w:history="1">
        <w:r w:rsidRPr="00B84389">
          <w:rPr>
            <w:rStyle w:val="Hyperlink"/>
            <w:rFonts w:ascii="Times New Roman" w:hAnsi="Times New Roman" w:cs="Times New Roman"/>
          </w:rPr>
          <w:t>art. 93 da Lei nº 8.213/91</w:t>
        </w:r>
      </w:hyperlink>
      <w:r w:rsidRPr="00B84389">
        <w:rPr>
          <w:rFonts w:ascii="Times New Roman" w:hAnsi="Times New Roman" w:cs="Times New Roman"/>
        </w:rPr>
        <w:t xml:space="preserve"> (</w:t>
      </w:r>
      <w:hyperlink r:id="rId271" w:anchor="art63iv" w:history="1">
        <w:r w:rsidRPr="00B84389">
          <w:rPr>
            <w:rStyle w:val="Hyperlink"/>
            <w:rFonts w:ascii="Times New Roman" w:hAnsi="Times New Roman" w:cs="Times New Roman"/>
          </w:rPr>
          <w:t>art. 63, IV da Lei nº 14.133/2021</w:t>
        </w:r>
      </w:hyperlink>
      <w:r w:rsidRPr="00B84389">
        <w:rPr>
          <w:rFonts w:ascii="Times New Roman" w:hAnsi="Times New Roman" w:cs="Times New Roman"/>
        </w:rPr>
        <w:t>);</w:t>
      </w:r>
    </w:p>
    <w:p w14:paraId="431C6306"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330FC6FB" w14:textId="77777777" w:rsidR="00B307DB" w:rsidRPr="00B84389" w:rsidRDefault="00B307DB" w:rsidP="00B13C1F">
      <w:pPr>
        <w:pStyle w:val="PargrafodaLista"/>
        <w:numPr>
          <w:ilvl w:val="0"/>
          <w:numId w:val="268"/>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B84389">
        <w:rPr>
          <w:rFonts w:ascii="Times New Roman" w:hAnsi="Times New Roman" w:cs="Times New Roman"/>
          <w:color w:val="000000" w:themeColor="text1"/>
        </w:rPr>
        <w:t>Estatuto ou contrato social;</w:t>
      </w:r>
    </w:p>
    <w:p w14:paraId="7F5150F0" w14:textId="77777777" w:rsidR="00B307DB" w:rsidRPr="00B84389" w:rsidRDefault="00B307DB" w:rsidP="00B13C1F">
      <w:pPr>
        <w:pStyle w:val="PargrafodaLista"/>
        <w:numPr>
          <w:ilvl w:val="0"/>
          <w:numId w:val="268"/>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B84389">
        <w:rPr>
          <w:rFonts w:ascii="Times New Roman" w:hAnsi="Times New Roman" w:cs="Times New Roman"/>
          <w:color w:val="000000" w:themeColor="text1"/>
        </w:rPr>
        <w:t>Ato constitutivo;</w:t>
      </w:r>
    </w:p>
    <w:p w14:paraId="6D9B0B82" w14:textId="77777777" w:rsidR="00B307DB" w:rsidRPr="00B84389" w:rsidRDefault="00B307DB" w:rsidP="00B13C1F">
      <w:pPr>
        <w:pStyle w:val="PargrafodaLista"/>
        <w:numPr>
          <w:ilvl w:val="0"/>
          <w:numId w:val="268"/>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B84389">
        <w:rPr>
          <w:rFonts w:ascii="Times New Roman" w:hAnsi="Times New Roman" w:cs="Times New Roman"/>
          <w:color w:val="000000" w:themeColor="text1"/>
        </w:rPr>
        <w:t>Registro comercial;</w:t>
      </w:r>
    </w:p>
    <w:p w14:paraId="70157209" w14:textId="77777777" w:rsidR="00B307DB" w:rsidRPr="00B84389" w:rsidRDefault="00B307DB" w:rsidP="00B13C1F">
      <w:pPr>
        <w:pStyle w:val="PargrafodaLista"/>
        <w:numPr>
          <w:ilvl w:val="0"/>
          <w:numId w:val="268"/>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B84389">
        <w:rPr>
          <w:rFonts w:ascii="Times New Roman" w:hAnsi="Times New Roman" w:cs="Times New Roman"/>
          <w:color w:val="000000" w:themeColor="text1"/>
        </w:rPr>
        <w:t>Decreto de autorização.</w:t>
      </w:r>
    </w:p>
    <w:p w14:paraId="01C4AE32" w14:textId="77777777" w:rsidR="00B307DB" w:rsidRPr="00B84389" w:rsidRDefault="00B307DB" w:rsidP="00B307DB">
      <w:pPr>
        <w:tabs>
          <w:tab w:val="left" w:pos="284"/>
        </w:tabs>
        <w:spacing w:after="0" w:line="240" w:lineRule="auto"/>
        <w:ind w:right="-568"/>
        <w:jc w:val="both"/>
        <w:rPr>
          <w:rFonts w:ascii="Times New Roman" w:hAnsi="Times New Roman" w:cs="Times New Roman"/>
          <w:b/>
        </w:rPr>
      </w:pPr>
      <w:r w:rsidRPr="00B84389">
        <w:rPr>
          <w:rFonts w:ascii="Times New Roman" w:hAnsi="Times New Roman" w:cs="Times New Roman"/>
          <w:b/>
        </w:rPr>
        <w:t>Os documentos descritos no subitem “c” deverão estar acompanhados de todas as alterações ou da consolidação respectiva, conforme legislação em vigor;</w:t>
      </w:r>
    </w:p>
    <w:p w14:paraId="715B6F6E"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Prova de inscrição no Cadastro Nacional de Pessoa Jurídica (CNPJ);</w:t>
      </w:r>
    </w:p>
    <w:p w14:paraId="5BCEC2CD"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color w:val="000000" w:themeColor="text1"/>
        </w:rPr>
        <w:t>Documentos pessoais, como CPF, Carteira de Identidade ou CNH</w:t>
      </w:r>
      <w:r w:rsidRPr="00B84389">
        <w:rPr>
          <w:rFonts w:ascii="Times New Roman" w:hAnsi="Times New Roman" w:cs="Times New Roman"/>
        </w:rPr>
        <w:t>;</w:t>
      </w:r>
    </w:p>
    <w:p w14:paraId="26141C59"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 xml:space="preserve">Prova de Regularidade para com a Fazenda </w:t>
      </w:r>
      <w:r w:rsidRPr="00B84389">
        <w:rPr>
          <w:rFonts w:ascii="Times New Roman" w:hAnsi="Times New Roman" w:cs="Times New Roman"/>
          <w:bCs/>
        </w:rPr>
        <w:t>Federal;</w:t>
      </w:r>
    </w:p>
    <w:p w14:paraId="6C904F0E"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Prova de Regularidade para com a Fazenda Estadual</w:t>
      </w:r>
      <w:r w:rsidRPr="00B84389">
        <w:rPr>
          <w:rFonts w:ascii="Times New Roman" w:hAnsi="Times New Roman" w:cs="Times New Roman"/>
          <w:bCs/>
        </w:rPr>
        <w:t>;</w:t>
      </w:r>
    </w:p>
    <w:p w14:paraId="7735CC49"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Prova de Regularidade para com a Fazenda Municipal</w:t>
      </w:r>
      <w:r w:rsidRPr="00B84389">
        <w:rPr>
          <w:rFonts w:ascii="Times New Roman" w:hAnsi="Times New Roman" w:cs="Times New Roman"/>
          <w:bCs/>
        </w:rPr>
        <w:t>;</w:t>
      </w:r>
    </w:p>
    <w:p w14:paraId="65EB04A1"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041D74ED"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Certidão Negativa de Débitos Trabalhistas (CNDT), conforme Lei nº 12.440 de 07/07/2011; </w:t>
      </w:r>
    </w:p>
    <w:p w14:paraId="791B52CE"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Certidão negativa de falência ou concordata expedida pelo distribuidor da sede da pessoa jurídica; </w:t>
      </w:r>
    </w:p>
    <w:p w14:paraId="28449735"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Cumprimento do </w:t>
      </w:r>
      <w:hyperlink r:id="rId272" w:anchor="art7xxxiii" w:history="1">
        <w:r w:rsidRPr="00B84389">
          <w:rPr>
            <w:rStyle w:val="Hyperlink"/>
            <w:rFonts w:ascii="Times New Roman" w:hAnsi="Times New Roman" w:cs="Times New Roman"/>
            <w:bCs/>
          </w:rPr>
          <w:t>art. 7º, XXXIII da CF/88</w:t>
        </w:r>
      </w:hyperlink>
      <w:r w:rsidRPr="00B84389">
        <w:rPr>
          <w:rFonts w:ascii="Times New Roman" w:hAnsi="Times New Roman" w:cs="Times New Roman"/>
          <w:bCs/>
        </w:rPr>
        <w:t xml:space="preserve">: </w:t>
      </w:r>
      <w:r w:rsidRPr="00B84389">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6A699528" w14:textId="77777777" w:rsidR="00B307DB" w:rsidRPr="00B84389" w:rsidRDefault="00B307DB" w:rsidP="00B13C1F">
      <w:pPr>
        <w:pStyle w:val="PargrafodaLista"/>
        <w:numPr>
          <w:ilvl w:val="0"/>
          <w:numId w:val="267"/>
        </w:numPr>
        <w:tabs>
          <w:tab w:val="left" w:pos="426"/>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6F8C159E"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Declaração sobre a Inexistência de fato impeditivo para licitar ou contratar com a Administração Pública;</w:t>
      </w:r>
    </w:p>
    <w:p w14:paraId="6C26326D" w14:textId="77777777" w:rsidR="00B307DB" w:rsidRPr="00B84389" w:rsidRDefault="00B307DB" w:rsidP="00B13C1F">
      <w:pPr>
        <w:pStyle w:val="PargrafodaLista"/>
        <w:numPr>
          <w:ilvl w:val="0"/>
          <w:numId w:val="267"/>
        </w:numPr>
        <w:tabs>
          <w:tab w:val="left" w:pos="284"/>
        </w:tabs>
        <w:spacing w:after="0" w:line="240" w:lineRule="auto"/>
        <w:ind w:left="0" w:right="-568" w:firstLine="0"/>
        <w:contextualSpacing w:val="0"/>
        <w:jc w:val="both"/>
        <w:rPr>
          <w:rFonts w:ascii="Times New Roman" w:hAnsi="Times New Roman" w:cs="Times New Roman"/>
        </w:rPr>
      </w:pPr>
      <w:r w:rsidRPr="00B84389">
        <w:rPr>
          <w:rFonts w:ascii="Times New Roman" w:hAnsi="Times New Roman" w:cs="Times New Roman"/>
          <w:bCs/>
        </w:rPr>
        <w:t xml:space="preserve">Declaração Enquadramento na condição de microempresa e empresa de pequeno porte, observado o disposto no </w:t>
      </w:r>
      <w:hyperlink r:id="rId273" w:anchor="art4" w:history="1">
        <w:r w:rsidRPr="00B84389">
          <w:rPr>
            <w:rStyle w:val="Hyperlink"/>
            <w:rFonts w:ascii="Times New Roman" w:hAnsi="Times New Roman" w:cs="Times New Roman"/>
            <w:bCs/>
          </w:rPr>
          <w:t>art. 4º da Lei nº 14.133/2021</w:t>
        </w:r>
      </w:hyperlink>
      <w:r w:rsidRPr="00B84389">
        <w:rPr>
          <w:rStyle w:val="Hyperlink"/>
          <w:rFonts w:ascii="Times New Roman" w:hAnsi="Times New Roman" w:cs="Times New Roman"/>
          <w:bCs/>
        </w:rPr>
        <w:t>, se couber</w:t>
      </w:r>
      <w:r w:rsidRPr="00B84389">
        <w:rPr>
          <w:rFonts w:ascii="Times New Roman" w:hAnsi="Times New Roman" w:cs="Times New Roman"/>
          <w:bCs/>
        </w:rPr>
        <w:t>;</w:t>
      </w:r>
    </w:p>
    <w:p w14:paraId="10696C52" w14:textId="77777777" w:rsidR="00B307DB" w:rsidRPr="00B84389" w:rsidRDefault="00B307DB" w:rsidP="00B13C1F">
      <w:pPr>
        <w:pStyle w:val="PargrafodaLista"/>
        <w:numPr>
          <w:ilvl w:val="0"/>
          <w:numId w:val="267"/>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B84389">
        <w:rPr>
          <w:rFonts w:ascii="Times New Roman" w:hAnsi="Times New Roman" w:cs="Times New Roman"/>
        </w:rPr>
        <w:t xml:space="preserve">Declaração de </w:t>
      </w:r>
      <w:r w:rsidRPr="00B84389">
        <w:rPr>
          <w:rFonts w:ascii="Times New Roman" w:hAnsi="Times New Roman" w:cs="Times New Roman"/>
          <w:iCs/>
        </w:rPr>
        <w:t xml:space="preserve">confidencialidade dos dados pessoais a que tem acesso </w:t>
      </w:r>
      <w:hyperlink r:id="rId274" w:history="1">
        <w:r w:rsidRPr="00B84389">
          <w:rPr>
            <w:rStyle w:val="Hyperlink"/>
            <w:rFonts w:ascii="Times New Roman" w:hAnsi="Times New Roman" w:cs="Times New Roman"/>
            <w:iCs/>
          </w:rPr>
          <w:t>Lei nº 13.709/2018 (LGPD)</w:t>
        </w:r>
      </w:hyperlink>
      <w:r w:rsidRPr="00B84389">
        <w:rPr>
          <w:rStyle w:val="Hyperlink"/>
          <w:rFonts w:ascii="Times New Roman" w:hAnsi="Times New Roman" w:cs="Times New Roman"/>
          <w:iCs/>
        </w:rPr>
        <w:t>.</w:t>
      </w:r>
    </w:p>
    <w:p w14:paraId="376D4ED8"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lastRenderedPageBreak/>
        <w:t>A QUALIFICAÇÃO TÉCNICA MÍNIMA EXIGIDA DAS CONCORRENTES PARA RESGUARDO DO EXCEPCIONAL INTERESSE PÚBLICO</w:t>
      </w:r>
      <w:r w:rsidRPr="00B84389">
        <w:rPr>
          <w:rFonts w:ascii="Times New Roman" w:hAnsi="Times New Roman" w:cs="Times New Roman"/>
        </w:rPr>
        <w:t xml:space="preserve"> </w:t>
      </w:r>
    </w:p>
    <w:p w14:paraId="77769220"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rPr>
        <w:t xml:space="preserve">Para a mínima segurança da contratação, nos termos da legislação vigente, será solicitado atestados e declarações quanto aptidão e experiência mínima e anterior e estrutura, através da seguinte documentação: </w:t>
      </w:r>
    </w:p>
    <w:p w14:paraId="1AD0D7C7"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q)</w:t>
      </w:r>
      <w:r w:rsidRPr="00B84389">
        <w:rPr>
          <w:rFonts w:ascii="Times New Roman" w:hAnsi="Times New Roman" w:cs="Times New Roman"/>
        </w:rPr>
        <w:t xml:space="preserve"> Atestado de visita técnica, o licitante poderá visitar a Prefeitura de Riqueza/SC, com até 03 (três) dias de antecedência a abertura da proposta do processo licitatório, devendo esta visita ser agendada previamente com o setor de licitações, através dos telefones (49) 36753206, com objetivo de conhecer a estrutura atual de informatização deste município. Caso o licitante opte em não efetuar a visita técnica, deverá apresentar declaração de renúncia constando que assume incondicionalmente, a responsabilidade de realizar os serviços em conformidade com todas as condições e exigências estabelecidas no edital, bem como garantir a sua plena execução, durante toda a vigência do contrato decorrente desta licitação, certos de que não caberá, a posterior, nenhuma reclamação de desconhecimento do objeto licitado; </w:t>
      </w:r>
    </w:p>
    <w:p w14:paraId="58F2B466"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r)</w:t>
      </w:r>
      <w:r w:rsidRPr="00B84389">
        <w:rPr>
          <w:rFonts w:ascii="Times New Roman" w:hAnsi="Times New Roman" w:cs="Times New Roman"/>
        </w:rPr>
        <w:t xml:space="preserve"> Comprovação de aptidão para desempenho de atividade pertinente e compatível em características, quantidades e prazos com o objeto da licitação, mediante a apresentação de no mínimo 1 (um) atestado ou declaração de capacidade técnica, assinado por outro(s) contratante(s), comprovando que a LICITANTE implantou e/ou que mantém em funcionamento sistema de gestão pública em nuvem, como indica o objeto desta licitação, pelo menos nos seguintes módulos de maior relevância: </w:t>
      </w:r>
    </w:p>
    <w:p w14:paraId="71FF955A"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i/>
        </w:rPr>
        <w:t>Plano Plurianual, Lei Orçamentária Anual, Lei de Diretriz Orçamentária, Contabilidade Pública, Informações Automatizadas (TCE/SC), Responsabilidade Fiscal, Tesouraria, Transparência, Licitações e Contratos (com pregão eletrônico e Integrado do PNCP), Folha de Pagamento (com concurso público e atos legais), Atendimento ao eSocial, Portal do Servidor, Contra Cheque Online, Tributação e Receitas (Com cobrança registrada/pix), Declaração de ISS Digital, Nota Fiscal Eletrônica (ABRASF 2.0), Aplicativo de Mobilidade, Processos Digitais (Assinatura eletrônica Nativa), Indicadores de Gestão, provimento de datacenter, Fluxo Monetário (Conciliação bancária automática), bem como realizou serviço de acompanhamento técnico, Emissão de IPTU</w:t>
      </w:r>
      <w:r w:rsidRPr="00B84389">
        <w:rPr>
          <w:rFonts w:ascii="Times New Roman" w:hAnsi="Times New Roman" w:cs="Times New Roman"/>
        </w:rPr>
        <w:t>;</w:t>
      </w:r>
    </w:p>
    <w:p w14:paraId="751197E7"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rPr>
        <w:t xml:space="preserve">Obs.: Para comprovação, poderá ser apresentado em mais de um atestado, desde que o conjunto de atestados apresentam o conjunto de módulos/sistemas e características do objeto solicitados. Poderá ter alteração no nome do módulo (Folha de pagamento/Gestão Pessoal) ou se os módulos são unificados deverá informar a qual corresponde dos citados anteriormente. </w:t>
      </w:r>
    </w:p>
    <w:p w14:paraId="3EFD5CA6"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s)</w:t>
      </w:r>
      <w:r w:rsidRPr="00B84389">
        <w:rPr>
          <w:rFonts w:ascii="Times New Roman" w:hAnsi="Times New Roman" w:cs="Times New Roman"/>
        </w:rPr>
        <w:t xml:space="preserve"> Declaração de Atendimento dos Requisitos Técnicos e de Capacidade Operativa - Declaração de que a licitante disporá, por ocasião da futura contratação, de todos os equipamentos, pessoal técnico e operacional necessários à execução dos serviços, incluindo que o fornecedor disponibilizará data center (próprio ou terceirizado) com capacidade de processamento (links, servidores, nobreaks, fontes alternativas de energia (grupo gerador), segurança, sistema de climatização), para alocação dos sistemas objeto desta licitação, conforme orientações do termo de referência, garantindo ainda que não haverá qualquer tipo de paralisação dos serviços por falta dos equipamentos ou de pessoal; </w:t>
      </w:r>
    </w:p>
    <w:p w14:paraId="18D81D28"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t)</w:t>
      </w:r>
      <w:r w:rsidRPr="00B84389">
        <w:rPr>
          <w:rFonts w:ascii="Times New Roman" w:hAnsi="Times New Roman" w:cs="Times New Roman"/>
        </w:rPr>
        <w:t xml:space="preserve"> Declaração de que o sistema de gestão atende as condições estabelecidas na Instrução Normativa TC-35/2024; </w:t>
      </w:r>
    </w:p>
    <w:p w14:paraId="35E33AA2"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u) </w:t>
      </w:r>
      <w:r w:rsidRPr="00B84389">
        <w:rPr>
          <w:rFonts w:ascii="Times New Roman" w:hAnsi="Times New Roman" w:cs="Times New Roman"/>
        </w:rPr>
        <w:t>Declaração de que o sistema que atende integralmente os aspectos legais (SIAFIC) conforme previsão legal contida do Decreto Nº 10540/2022;</w:t>
      </w:r>
    </w:p>
    <w:p w14:paraId="694D2E0B"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s)</w:t>
      </w:r>
      <w:r w:rsidRPr="00B84389">
        <w:rPr>
          <w:rFonts w:ascii="Times New Roman" w:hAnsi="Times New Roman" w:cs="Times New Roman"/>
        </w:rPr>
        <w:t xml:space="preserve"> Todos os documentos deverão estar em nome da licitante, com indicação do número de inscrição no CNPJ. Se a licitante for matriz, os documentos deverão estar com o número do CNPJ da matriz, se for filial, os documentos deverão estar com o número do CNPJ da filial, salvo aqueles que, por sua natureza, comprovadamente, são emitidos em nome da matriz.;</w:t>
      </w:r>
    </w:p>
    <w:p w14:paraId="50EC49FD"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t) </w:t>
      </w:r>
      <w:r w:rsidRPr="00B84389">
        <w:rPr>
          <w:rFonts w:ascii="Times New Roman" w:hAnsi="Times New Roman" w:cs="Times New Roman"/>
        </w:rPr>
        <w:t>O Cadastro Nacional da Pessoa Jurídica – CNPJ, indicado nos documentos da proposta de preço e da habilitação deverá ser do mesmo estabelecimento da licitante que efetivamente vai fornecer o material/serviço objeto da presente licitação;</w:t>
      </w:r>
    </w:p>
    <w:p w14:paraId="13DF61A1"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Fonts w:ascii="Times New Roman" w:hAnsi="Times New Roman" w:cs="Times New Roman"/>
        </w:rPr>
      </w:pPr>
      <w:r w:rsidRPr="00B84389">
        <w:rPr>
          <w:rFonts w:ascii="Times New Roman" w:hAnsi="Times New Roman" w:cs="Times New Roman"/>
          <w:b/>
        </w:rPr>
        <w:t xml:space="preserve">u) </w:t>
      </w:r>
      <w:r w:rsidRPr="00B84389">
        <w:rPr>
          <w:rFonts w:ascii="Times New Roman" w:hAnsi="Times New Roman" w:cs="Times New Roman"/>
        </w:rPr>
        <w:t>Se o licitante não atender às exigências de habilitação, o pregoeiro examinará a proposta subsequente e assim sucessivamente, na ordem de classificação, até a seleção da proposta que melhor atenda a este edital</w:t>
      </w:r>
    </w:p>
    <w:p w14:paraId="7BB1147B" w14:textId="77777777" w:rsidR="00B307DB" w:rsidRPr="00B84389" w:rsidRDefault="00B307DB" w:rsidP="00B307DB">
      <w:pPr>
        <w:pStyle w:val="PargrafodaLista"/>
        <w:tabs>
          <w:tab w:val="left" w:pos="284"/>
          <w:tab w:val="left" w:pos="567"/>
          <w:tab w:val="left" w:pos="851"/>
        </w:tabs>
        <w:spacing w:after="0" w:line="240" w:lineRule="auto"/>
        <w:ind w:left="0" w:right="-568"/>
        <w:jc w:val="both"/>
        <w:rPr>
          <w:rStyle w:val="Hyperlink"/>
          <w:rFonts w:ascii="Times New Roman" w:hAnsi="Times New Roman" w:cs="Times New Roman"/>
          <w:bCs/>
        </w:rPr>
      </w:pPr>
      <w:r w:rsidRPr="00B84389">
        <w:rPr>
          <w:rFonts w:ascii="Times New Roman" w:hAnsi="Times New Roman" w:cs="Times New Roman"/>
          <w:b/>
        </w:rPr>
        <w:t xml:space="preserve">v) </w:t>
      </w:r>
      <w:r w:rsidRPr="00B84389">
        <w:rPr>
          <w:rFonts w:ascii="Times New Roman" w:hAnsi="Times New Roman" w:cs="Times New Roman"/>
        </w:rPr>
        <w:t>Constatado o atendimento às exigências fixadas neste edital, o licitante será declarado o vencedor.</w:t>
      </w:r>
    </w:p>
    <w:p w14:paraId="536BBF53" w14:textId="77777777" w:rsidR="00B307DB" w:rsidRPr="00B84389" w:rsidRDefault="00B307DB" w:rsidP="00B307DB">
      <w:pPr>
        <w:pStyle w:val="PargrafodaLista"/>
        <w:tabs>
          <w:tab w:val="left" w:pos="567"/>
        </w:tabs>
        <w:spacing w:after="0" w:line="240" w:lineRule="auto"/>
        <w:ind w:left="0" w:right="-568"/>
        <w:jc w:val="both"/>
        <w:rPr>
          <w:rFonts w:ascii="Times New Roman" w:hAnsi="Times New Roman" w:cs="Times New Roman"/>
          <w:bCs/>
        </w:rPr>
      </w:pPr>
    </w:p>
    <w:p w14:paraId="6797AABE" w14:textId="77777777" w:rsidR="00B307DB" w:rsidRPr="00B84389" w:rsidRDefault="00B307DB" w:rsidP="00B307DB">
      <w:pPr>
        <w:spacing w:after="0" w:line="240" w:lineRule="auto"/>
        <w:ind w:right="-568"/>
        <w:jc w:val="both"/>
        <w:rPr>
          <w:rFonts w:ascii="Times New Roman" w:hAnsi="Times New Roman" w:cs="Times New Roman"/>
          <w:b/>
        </w:rPr>
      </w:pPr>
      <w:r w:rsidRPr="00B84389">
        <w:rPr>
          <w:rFonts w:ascii="Times New Roman" w:hAnsi="Times New Roman" w:cs="Times New Roman"/>
          <w:b/>
        </w:rPr>
        <w:t>6 Modelo de execução do objeto, que consiste na definição de como o contrato deverá produzir os resultados pretendidos desde o seu início até o seu encerramento.</w:t>
      </w:r>
    </w:p>
    <w:p w14:paraId="407E21D3" w14:textId="77777777" w:rsidR="00B307DB" w:rsidRPr="00B84389" w:rsidRDefault="00B307DB" w:rsidP="00B307DB">
      <w:pPr>
        <w:spacing w:after="0" w:line="240" w:lineRule="auto"/>
        <w:ind w:right="-568"/>
        <w:jc w:val="both"/>
        <w:rPr>
          <w:rFonts w:ascii="Times New Roman" w:hAnsi="Times New Roman" w:cs="Times New Roman"/>
          <w:b/>
          <w:bCs/>
        </w:rPr>
      </w:pPr>
      <w:r w:rsidRPr="00B84389">
        <w:rPr>
          <w:rFonts w:ascii="Times New Roman" w:hAnsi="Times New Roman" w:cs="Times New Roman"/>
          <w:b/>
          <w:bCs/>
        </w:rPr>
        <w:t xml:space="preserve">Compete à CONTRATADA: </w:t>
      </w:r>
    </w:p>
    <w:p w14:paraId="41E47D95" w14:textId="77777777" w:rsidR="00B307DB" w:rsidRPr="00B84389" w:rsidRDefault="00B307DB" w:rsidP="00B307DB">
      <w:pPr>
        <w:tabs>
          <w:tab w:val="left" w:pos="284"/>
        </w:tabs>
        <w:spacing w:after="0" w:line="240" w:lineRule="auto"/>
        <w:ind w:right="-568"/>
        <w:jc w:val="both"/>
        <w:rPr>
          <w:rFonts w:ascii="Times New Roman" w:hAnsi="Times New Roman" w:cs="Times New Roman"/>
          <w:b/>
          <w:bCs/>
        </w:rPr>
      </w:pPr>
      <w:r w:rsidRPr="00B84389">
        <w:rPr>
          <w:rFonts w:ascii="Times New Roman" w:hAnsi="Times New Roman" w:cs="Times New Roman"/>
          <w:b/>
          <w:bCs/>
        </w:rPr>
        <w:lastRenderedPageBreak/>
        <w:t>16.1 Constituem obrigações da CONTRATADA:</w:t>
      </w:r>
    </w:p>
    <w:p w14:paraId="75B2A67A"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Arcar com os ônus trabalhistas, impostos, encargos sociais, incluindo, despesas referentes à transporte, traslados, hospedagens, alimentação e pagamento de diárias, dentre outros afins, no atendimento a execução dos serviços descritos neste termo, durante toda a vigência contratual;  </w:t>
      </w:r>
    </w:p>
    <w:p w14:paraId="61A97EFE"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Executar a configuração, migração de informações e demais atividades necessárias à implantação dos módulos do sistema contratado, autorizados formalmente pela CONTRATANTE, através de ordem de início de serviço, no prazo máximo declarado no contrato;  </w:t>
      </w:r>
    </w:p>
    <w:p w14:paraId="3E79CD09"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Efetuar a manutenção legal do sistema para adaptação às alterações legais (legislação federal e estadual) inerentes às suas funcionalidades, durante toda a vigência do contrato, devendo executar as atualizações que se fizerem necessárias para o seu perfeito funcionamento e enquadramento as mudanças nas legislações;</w:t>
      </w:r>
    </w:p>
    <w:p w14:paraId="61BBA849"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Efetuar a manutenção corretiva do sistema, corrigindo eventuais falhas, independentemente de serem observadas ou não pelos usuários; </w:t>
      </w:r>
    </w:p>
    <w:p w14:paraId="7733E670"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Prestar o serviço de suporte técnico conforme disposições do termo de referência e contrato;</w:t>
      </w:r>
    </w:p>
    <w:p w14:paraId="1D1C4270"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Avaliar, em prazo razoável, a viabilidade técnica e jurídica das solicitações de alteração específicas encaminhadas eletronicamente pelo CONTRATANTE, e repassar orçamento acompanhado de cronograma para execução dos serviços;</w:t>
      </w:r>
    </w:p>
    <w:p w14:paraId="602D7DF4"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Executar as customizações do sistema, conforme viabilidade técnica e solicitações da CONTRATANTE, mediante orçamento prévio aprovado e acordo de nível de serviços; </w:t>
      </w:r>
    </w:p>
    <w:p w14:paraId="4C45ED7B"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Com relação ao data center, manter os sistemas básicos (Sistema Operacional, Servidor de Aplicação, Servidor de Banco de Dados, etc.) em constante atualização, especialmente quando falhas de segurança forem reportadas pelos fabricantes (quando licenciados) ou comunidade (quando software livre); </w:t>
      </w:r>
      <w:r w:rsidRPr="00D952DE">
        <w:rPr>
          <w:rFonts w:ascii="Times New Roman" w:hAnsi="Times New Roman" w:cs="Times New Roman"/>
          <w:bCs/>
          <w:strike/>
          <w:color w:val="FF0000"/>
        </w:rPr>
        <w:t>Também em relação ao DATACENTER, a contratada deverá realizar monitoramento proativo para avaliação de necessidade de ampliação da capacidade de armazenamento ou processamento do DATACENTER, para manter a mesma capacidade e performance de uso dos softwares;</w:t>
      </w:r>
      <w:r w:rsidRPr="00D952DE">
        <w:rPr>
          <w:rFonts w:ascii="Times New Roman" w:hAnsi="Times New Roman" w:cs="Times New Roman"/>
          <w:bCs/>
          <w:color w:val="FF0000"/>
        </w:rPr>
        <w:t xml:space="preserve"> </w:t>
      </w:r>
    </w:p>
    <w:p w14:paraId="31B45A7B"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Manter, durante a vigência do contrato, todas as condições de habilitação e qualificações exigidas na licitação que deu origem a contratação;  </w:t>
      </w:r>
    </w:p>
    <w:p w14:paraId="6EFFEF81"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Não transferir a outrem, no todo ou em parte, a execução do presente contrato, sem prévia e expressa anuência da CONTRATANTE;</w:t>
      </w:r>
    </w:p>
    <w:p w14:paraId="6B942B5C"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Manter o(s) servidor(es) da CONTRATANTE, encarregado(s) de acompanhar os trabalhos, a par do andamento dos serviços, prestando-lhe(s) as informações necessárias;</w:t>
      </w:r>
    </w:p>
    <w:p w14:paraId="2E50603C"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Desenvolver todas as atividades constantes no edital e seus anexos, bem como seguir as especificações funcionais do mesmo;</w:t>
      </w:r>
    </w:p>
    <w:p w14:paraId="5C88A25B"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Tratar como confidenciais informações e dados contidos nos sistemas da Contratante, guardando total sigilo perante terceiros, nos termos da Lei 13.709/2018 (Lei Geral da Proteção de Dados Pessoais – LGPD);</w:t>
      </w:r>
    </w:p>
    <w:p w14:paraId="00C95E9F"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Comunicar imediatamente, por escrito, a impossibilidade de execução de qualquer obrigação contratual, para adoção das providências cabíveis;</w:t>
      </w:r>
    </w:p>
    <w:p w14:paraId="483F99E8"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Responsabilizar-se por quaisquer danos ou prejuízos causados a contratante ou terceiros em função do desempenho de suas atividades, se apurada culpa ou responsabilidade civil, nos termos da legislação, observado o direito à ampla defesa e ao contraditório;</w:t>
      </w:r>
    </w:p>
    <w:p w14:paraId="4B003033"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Realizar a atualização/upgrades ou releases constantes da solução de ERP, com melhorias tecnológicas, atualizações e incremento de requisitos de forma permanente, sem impactar em novos custos de aquisição por parte da administração municipal, garantindo ainda que tais upgrades na solução não inviabilizem a integração com os diversos módulos de softwares;</w:t>
      </w:r>
    </w:p>
    <w:p w14:paraId="6145EE71"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Um preposto para o contrato, sendo este o interlocutor da CONTRATADA junto à CONTRATANTE para os assuntos relativos ao cumprimento das cláusulas contratuais e para participar de reuniões de acompanhamento, sempre que solicitado;</w:t>
      </w:r>
    </w:p>
    <w:p w14:paraId="52D93DB1"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Responsabilizar-se técnica e administrativamente pelo objeto contratado, não sendo aceito, sob qualquer pretexto, a transferência de responsabilidade a outras entidades, sejam fabricantes, técnicos ou quaisquer outros;</w:t>
      </w:r>
    </w:p>
    <w:p w14:paraId="73208491"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Comunicar à CONTRATANTE, no prazo máximo de 24 (vinte e quatro) horas que antecede a data da entrega, os motivos que impossibilitem o cumprimento do prazo previsto, com a devida comprovação;</w:t>
      </w:r>
    </w:p>
    <w:p w14:paraId="418AA3A4"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Envidar todo o empenho e a dedicação necessários ao fiel e adequado cumprimento dos encargos que lhe são confiados; </w:t>
      </w:r>
    </w:p>
    <w:p w14:paraId="7EB492E1"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lastRenderedPageBreak/>
        <w:t xml:space="preserve">Assinar o instrumento contratual; </w:t>
      </w:r>
    </w:p>
    <w:p w14:paraId="7073CCCD"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Tomar todas as providências necessárias para o fiel cumprimento das disposições contidas neste termo de referência e demais anexos; </w:t>
      </w:r>
    </w:p>
    <w:p w14:paraId="2584D979"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Fornecer os serviços, conforme descrito neste termo de referência e estudo técnico preliminar;</w:t>
      </w:r>
    </w:p>
    <w:p w14:paraId="7497BA51"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Reparar, corrigir, remover, reconstruir ou substituir, às suas expensas, as partes do objeto descritas neste termo de referência, em que se verificarem vícios, defeitos, ou incorreções resultantes dos produtos empregados; </w:t>
      </w:r>
    </w:p>
    <w:p w14:paraId="7BD39A93"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Não efetuar, sob nenhum pretexto, a transferência de responsabilidade para outros, sejam fabricantes, técnicos ou quaisquer outros; </w:t>
      </w:r>
    </w:p>
    <w:p w14:paraId="7FDE01FE"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Manter durante toda a execução do objeto da presente licitação, em compatibilidade com as obrigações assumidas, todas as condições de habilitação e qualificação exigidas no edital;</w:t>
      </w:r>
    </w:p>
    <w:p w14:paraId="02FF7293" w14:textId="77777777" w:rsidR="00B307DB" w:rsidRPr="00B84389" w:rsidRDefault="00B307DB" w:rsidP="00D952DE">
      <w:pPr>
        <w:pStyle w:val="PargrafodaLista"/>
        <w:numPr>
          <w:ilvl w:val="0"/>
          <w:numId w:val="269"/>
        </w:numPr>
        <w:tabs>
          <w:tab w:val="left" w:pos="284"/>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Informar ao Órgão Gerenciador ou à CONTRATANTE, conforme o caso, a ocorrência de fatos que possam interferir, direta ou indiretamente, na regularidade do fornecimento;</w:t>
      </w:r>
    </w:p>
    <w:p w14:paraId="1CDB2A47" w14:textId="77777777" w:rsidR="00B307DB" w:rsidRPr="00B84389" w:rsidRDefault="00B307DB" w:rsidP="00D952DE">
      <w:pPr>
        <w:pStyle w:val="PargrafodaLista"/>
        <w:numPr>
          <w:ilvl w:val="0"/>
          <w:numId w:val="269"/>
        </w:numPr>
        <w:tabs>
          <w:tab w:val="left" w:pos="284"/>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Efetuar a entrega dos serviços em perfeitas condições, no prazo e local indicados pelo Departamento solicitante, em estrita observância das especificações deste Termo de Referência e da proposta da contratada, acompanhado da respectiva nota fiscal constando detalhadamente, no que couber;</w:t>
      </w:r>
    </w:p>
    <w:p w14:paraId="1EF1941A"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Responsabilizar-se pelos vícios e danos decorrentes da execução do objeto, de acordo com os artigos 12, 13, 18 e 26, do Código de Defesa do Consumidor (Lei no 8.078, de 1990);</w:t>
      </w:r>
    </w:p>
    <w:p w14:paraId="34CB7DAA"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Atender prontamente a quaisquer exigências da administração, inerentes ao objeto da presente licitação;</w:t>
      </w:r>
    </w:p>
    <w:p w14:paraId="7DA0C2E3"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Responsabilizar-se pelas despesas dos tributos, encargos trabalhistas, previdenciários, fiscais, comerciais, taxas, fretes, seguros, deslocamento de pessoal, prestação de garantia e quaisquer outras que incidam ou venham a incidir na execução do contrato;</w:t>
      </w:r>
    </w:p>
    <w:p w14:paraId="1B618065" w14:textId="77777777" w:rsidR="00B307DB" w:rsidRPr="00B84389" w:rsidRDefault="00B307DB" w:rsidP="00D952DE">
      <w:pPr>
        <w:pStyle w:val="PargrafodaLista"/>
        <w:numPr>
          <w:ilvl w:val="0"/>
          <w:numId w:val="269"/>
        </w:numPr>
        <w:tabs>
          <w:tab w:val="left" w:pos="284"/>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Acatar as decisões e observações feitas pela fiscalização da contratante. </w:t>
      </w:r>
    </w:p>
    <w:p w14:paraId="068754F9" w14:textId="77777777" w:rsidR="00B307DB" w:rsidRPr="00B84389" w:rsidRDefault="00B307DB" w:rsidP="00B307DB">
      <w:pPr>
        <w:tabs>
          <w:tab w:val="left" w:pos="284"/>
          <w:tab w:val="left" w:pos="851"/>
          <w:tab w:val="left" w:pos="993"/>
        </w:tabs>
        <w:spacing w:after="0" w:line="240" w:lineRule="auto"/>
        <w:ind w:right="-568"/>
        <w:contextualSpacing/>
        <w:jc w:val="both"/>
        <w:rPr>
          <w:rFonts w:ascii="Times New Roman" w:hAnsi="Times New Roman" w:cs="Times New Roman"/>
          <w:b/>
        </w:rPr>
      </w:pPr>
    </w:p>
    <w:p w14:paraId="10D3835E" w14:textId="77777777" w:rsidR="00B307DB" w:rsidRPr="00B84389" w:rsidRDefault="00B307DB" w:rsidP="00B307DB">
      <w:pPr>
        <w:tabs>
          <w:tab w:val="left" w:pos="284"/>
        </w:tabs>
        <w:spacing w:after="0" w:line="240" w:lineRule="auto"/>
        <w:ind w:right="-568"/>
        <w:jc w:val="both"/>
        <w:rPr>
          <w:rFonts w:ascii="Times New Roman" w:hAnsi="Times New Roman" w:cs="Times New Roman"/>
          <w:b/>
        </w:rPr>
      </w:pPr>
      <w:r w:rsidRPr="00B84389">
        <w:rPr>
          <w:rFonts w:ascii="Times New Roman" w:hAnsi="Times New Roman" w:cs="Times New Roman"/>
          <w:b/>
        </w:rPr>
        <w:t>7 Modelo de gestão do contrato, que descreve coo a execução do objeto será acompanhada e fiscalizada pelo órgão ou entidade.</w:t>
      </w:r>
    </w:p>
    <w:p w14:paraId="1D635563" w14:textId="77777777" w:rsidR="00B307DB" w:rsidRPr="00B84389" w:rsidRDefault="00B307DB" w:rsidP="00B307DB">
      <w:pPr>
        <w:tabs>
          <w:tab w:val="left" w:pos="426"/>
          <w:tab w:val="left" w:pos="567"/>
        </w:tabs>
        <w:spacing w:after="0" w:line="240" w:lineRule="auto"/>
        <w:ind w:right="-568"/>
        <w:jc w:val="both"/>
        <w:rPr>
          <w:rFonts w:ascii="Times New Roman" w:hAnsi="Times New Roman" w:cs="Times New Roman"/>
          <w:bCs/>
        </w:rPr>
      </w:pPr>
      <w:r w:rsidRPr="00B84389">
        <w:rPr>
          <w:rFonts w:ascii="Times New Roman" w:hAnsi="Times New Roman" w:cs="Times New Roman"/>
          <w:b/>
          <w:bCs/>
        </w:rPr>
        <w:t>7.1</w:t>
      </w:r>
      <w:r w:rsidRPr="00B84389">
        <w:rPr>
          <w:rFonts w:ascii="Times New Roman" w:hAnsi="Times New Roman" w:cs="Times New Roman"/>
          <w:bCs/>
        </w:rPr>
        <w:t xml:space="preserve"> A gestão do contrato segue o decreto municipal nº 4788/2023</w:t>
      </w:r>
      <w:r>
        <w:rPr>
          <w:rFonts w:ascii="Times New Roman" w:hAnsi="Times New Roman" w:cs="Times New Roman"/>
          <w:bCs/>
        </w:rPr>
        <w:t xml:space="preserve"> </w:t>
      </w:r>
      <w:r w:rsidRPr="00071C1D">
        <w:rPr>
          <w:rFonts w:ascii="Times New Roman" w:hAnsi="Times New Roman" w:cs="Times New Roman"/>
          <w:bCs/>
        </w:rPr>
        <w:t>e a Resolução nº 03/2024</w:t>
      </w:r>
      <w:r w:rsidRPr="00B84389">
        <w:rPr>
          <w:rFonts w:ascii="Times New Roman" w:hAnsi="Times New Roman" w:cs="Times New Roman"/>
          <w:bCs/>
        </w:rPr>
        <w:t>.</w:t>
      </w:r>
    </w:p>
    <w:p w14:paraId="06CF7F33" w14:textId="77777777" w:rsidR="00B307DB" w:rsidRPr="00B84389" w:rsidRDefault="00B307DB" w:rsidP="00B307DB">
      <w:pPr>
        <w:tabs>
          <w:tab w:val="left" w:pos="426"/>
          <w:tab w:val="left" w:pos="567"/>
        </w:tabs>
        <w:spacing w:after="0" w:line="240" w:lineRule="auto"/>
        <w:ind w:right="-568"/>
        <w:jc w:val="both"/>
        <w:rPr>
          <w:rFonts w:ascii="Times New Roman" w:hAnsi="Times New Roman" w:cs="Times New Roman"/>
          <w:bCs/>
        </w:rPr>
      </w:pPr>
      <w:r w:rsidRPr="00B84389">
        <w:rPr>
          <w:rFonts w:ascii="Times New Roman" w:hAnsi="Times New Roman" w:cs="Times New Roman"/>
          <w:b/>
          <w:bCs/>
        </w:rPr>
        <w:t xml:space="preserve">7.1.1 </w:t>
      </w:r>
      <w:r w:rsidRPr="00B84389">
        <w:rPr>
          <w:rFonts w:ascii="Times New Roman" w:hAnsi="Times New Roman" w:cs="Times New Roman"/>
          <w:bCs/>
        </w:rPr>
        <w:t xml:space="preserve">A gestão do contrato caberá ao Sr. Renaldo Mueller e </w:t>
      </w:r>
      <w:r>
        <w:rPr>
          <w:rFonts w:ascii="Times New Roman" w:hAnsi="Times New Roman" w:cs="Times New Roman"/>
          <w:bCs/>
        </w:rPr>
        <w:t xml:space="preserve">Sr. </w:t>
      </w:r>
      <w:r w:rsidRPr="00B84389">
        <w:rPr>
          <w:rFonts w:ascii="Times New Roman" w:hAnsi="Times New Roman" w:cs="Times New Roman"/>
          <w:bCs/>
        </w:rPr>
        <w:t xml:space="preserve">Junior Steffen. </w:t>
      </w:r>
    </w:p>
    <w:p w14:paraId="614F7EE6" w14:textId="77777777" w:rsidR="00B307DB" w:rsidRPr="00B84389" w:rsidRDefault="00B307DB" w:rsidP="00B307DB">
      <w:pPr>
        <w:tabs>
          <w:tab w:val="left" w:pos="426"/>
          <w:tab w:val="left" w:pos="567"/>
        </w:tabs>
        <w:spacing w:after="0" w:line="240" w:lineRule="auto"/>
        <w:ind w:right="-568"/>
        <w:jc w:val="both"/>
        <w:rPr>
          <w:rFonts w:ascii="Times New Roman" w:hAnsi="Times New Roman" w:cs="Times New Roman"/>
        </w:rPr>
      </w:pPr>
      <w:r w:rsidRPr="00B84389">
        <w:rPr>
          <w:rFonts w:ascii="Times New Roman" w:hAnsi="Times New Roman" w:cs="Times New Roman"/>
          <w:b/>
          <w:bCs/>
        </w:rPr>
        <w:t>7.1.2</w:t>
      </w:r>
      <w:r w:rsidRPr="00B84389">
        <w:rPr>
          <w:rFonts w:ascii="Times New Roman" w:hAnsi="Times New Roman" w:cs="Times New Roman"/>
          <w:bCs/>
        </w:rPr>
        <w:t xml:space="preserve"> </w:t>
      </w:r>
      <w:r w:rsidRPr="00B84389">
        <w:rPr>
          <w:rFonts w:ascii="Times New Roman" w:hAnsi="Times New Roman" w:cs="Times New Roman"/>
        </w:rPr>
        <w:t>A execução do contrato será acompanhada e fiscalizada pelo(a)s Sr(as). Ademar Antônio Pignat, Sandra Mara da Rosa</w:t>
      </w:r>
      <w:r w:rsidRPr="00B84389">
        <w:rPr>
          <w:rFonts w:ascii="Times New Roman" w:hAnsi="Times New Roman" w:cs="Times New Roman"/>
          <w:iCs/>
        </w:rPr>
        <w:t xml:space="preserve">, Edson Cesar Trentini, Eleni Rutzen Endrigo, </w:t>
      </w:r>
      <w:r w:rsidRPr="00B84389">
        <w:rPr>
          <w:rFonts w:ascii="Times New Roman" w:hAnsi="Times New Roman" w:cs="Times New Roman"/>
        </w:rPr>
        <w:t>Marcos Antônio Garlet, Ana Salete Bordignon e Paulo Henrique Heller em observância ao disposto no art. 117 e seguintes da Lei 14.133/2021.</w:t>
      </w:r>
    </w:p>
    <w:p w14:paraId="41C4204F" w14:textId="77777777" w:rsidR="00B307DB" w:rsidRPr="00B84389" w:rsidRDefault="00B307DB" w:rsidP="00B307DB">
      <w:pPr>
        <w:tabs>
          <w:tab w:val="left" w:pos="426"/>
          <w:tab w:val="left" w:pos="567"/>
        </w:tabs>
        <w:spacing w:after="0" w:line="240" w:lineRule="auto"/>
        <w:ind w:right="-568"/>
        <w:jc w:val="both"/>
        <w:rPr>
          <w:rFonts w:ascii="Times New Roman" w:hAnsi="Times New Roman" w:cs="Times New Roman"/>
          <w:b/>
          <w:bCs/>
        </w:rPr>
      </w:pPr>
      <w:r w:rsidRPr="00B84389">
        <w:rPr>
          <w:rFonts w:ascii="Times New Roman" w:hAnsi="Times New Roman" w:cs="Times New Roman"/>
          <w:b/>
          <w:bCs/>
        </w:rPr>
        <w:t xml:space="preserve">7.2 Compete à CONTRATANTE: </w:t>
      </w:r>
    </w:p>
    <w:p w14:paraId="1C185FFA"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Efetuar os pagamentos nas condições e preços pactuados no termo contratual, incluindo as customizações, acréscimos e apostilamentos; </w:t>
      </w:r>
    </w:p>
    <w:p w14:paraId="6E26B529"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Prestar as informações, esclarecimentos e fornecer os dados e arquivos necessários ao desenvolvimento dos serviços contratados, de forma completa e legível ou utilizável; </w:t>
      </w:r>
    </w:p>
    <w:p w14:paraId="5E00E0B3"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Fiscalizar e acompanhar a execução do contrato, documentar e notificar formalmente à Contratada, a ocorrência de eventuais imperfeições, falhas ou irregularidades no curso de execução dos serviços, fixando prazo para a sua correção ou regularização; </w:t>
      </w:r>
    </w:p>
    <w:p w14:paraId="62B92823"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Documentar todos os pedidos de intervenção no sistema e parâmetros de configuração desde a implantação até as demais no decorrer do contrato, bem como conferir todas as intervenções feitas no sistema pela Contratada antes de liberação para o uso, de modo a evitar possíveis erros ou equívocos, uma vez que a Contratante é a proprietária do banco de dados e responsável por todos os parâmetros, dados e informações repassadas aos técnicos da Contratada para realização de seus serviços;</w:t>
      </w:r>
    </w:p>
    <w:p w14:paraId="7445C33E"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Responsabilizar-se pela completa e correta inserção de dados e parâmetros nos sistemas em nível de usuário, além de atualizar as fórmulas de cálculo, indicadores, estatística, alíquotas, multas, medidas, padrões, preceitos, critérios, fundamentos, entre outros critérios, quando necessário;</w:t>
      </w:r>
    </w:p>
    <w:p w14:paraId="33601D62"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Responsabilizar-se por erros em cálculos, folhas, relatórios, boletos e cobranças ou outros equívocos de processamento, provenientes de dados, parâmetros e informações repassadas, informadas, lançadas ou carregadas no sistema;</w:t>
      </w:r>
    </w:p>
    <w:p w14:paraId="0953F5D2"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Dispor de equipamentos de informática adequados para uso do sistema e programas locados, bem como para treinamento via internet de usuários; </w:t>
      </w:r>
    </w:p>
    <w:p w14:paraId="750A3C1F"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lastRenderedPageBreak/>
        <w:t>Cumprir as orientações e procedimentos técnicos especificados pela CONTRATADA para o bom funcionamento e operacionalidade do sistema;</w:t>
      </w:r>
    </w:p>
    <w:p w14:paraId="24B1725D"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Dar prioridade aos técnicos da CONTRATADA para utilização do equipamento da CONTRATANTE quando da visita técnica dos mesmos, bem como assegurar o acesso dos empregados da Contratada, quando devidamente identificados e uniformizados, aos locais em que devam executar os serviços;</w:t>
      </w:r>
    </w:p>
    <w:p w14:paraId="467D326D"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Durante a vigência do contrato, não ceder a terceiros, acessar, manipular ou fazer qualquer tipo de uso ou manipulação do banco de dados;</w:t>
      </w:r>
    </w:p>
    <w:p w14:paraId="4C0454DE"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 xml:space="preserve"> Zelar pela segurança dos softwares que compõem a solução, evitando o manuseio por pessoas não habilitadas;</w:t>
      </w:r>
    </w:p>
    <w:p w14:paraId="5D38973F"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
          <w:bCs/>
        </w:rPr>
        <w:t xml:space="preserve"> </w:t>
      </w:r>
      <w:r w:rsidRPr="00B84389">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p>
    <w:p w14:paraId="5F0F3A7B"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
          <w:bCs/>
        </w:rPr>
        <w:t xml:space="preserve">  </w:t>
      </w:r>
      <w:r w:rsidRPr="00B84389">
        <w:rPr>
          <w:rFonts w:ascii="Times New Roman" w:hAnsi="Times New Roman" w:cs="Times New Roman"/>
          <w:bCs/>
        </w:rPr>
        <w:t xml:space="preserve">Efetuar o pagamento à CONTRATADA, de acordo com o estabelecido no instrumento contratual; </w:t>
      </w:r>
    </w:p>
    <w:p w14:paraId="66435E6B"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
        </w:rPr>
        <w:t xml:space="preserve"> </w:t>
      </w:r>
      <w:r w:rsidRPr="00B84389">
        <w:rPr>
          <w:rFonts w:ascii="Times New Roman" w:hAnsi="Times New Roman" w:cs="Times New Roman"/>
          <w:bCs/>
        </w:rPr>
        <w:t>Promover o acompanhamento e a fiscalização do fornecimento do objeto anotando em registro próprio as falhas detectadas;</w:t>
      </w:r>
    </w:p>
    <w:p w14:paraId="418A11A0"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Cs/>
        </w:rPr>
        <w:t>Comunicar prontamente à CONTRATADA qualquer anormalidade no objeto do instrumento contratual, podendo recusar o recebimento, caso não esteja de acordo com as especificações e condições estabelecidas neste termo de referência;</w:t>
      </w:r>
    </w:p>
    <w:p w14:paraId="68D31066" w14:textId="77777777" w:rsidR="00B307DB" w:rsidRPr="00B84389" w:rsidRDefault="00B307DB" w:rsidP="00D952DE">
      <w:pPr>
        <w:pStyle w:val="PargrafodaLista"/>
        <w:numPr>
          <w:ilvl w:val="0"/>
          <w:numId w:val="270"/>
        </w:numPr>
        <w:tabs>
          <w:tab w:val="left" w:pos="426"/>
          <w:tab w:val="left" w:pos="567"/>
        </w:tabs>
        <w:spacing w:after="0" w:line="240" w:lineRule="auto"/>
        <w:ind w:left="0" w:right="-568" w:firstLine="0"/>
        <w:contextualSpacing w:val="0"/>
        <w:jc w:val="both"/>
        <w:rPr>
          <w:rFonts w:ascii="Times New Roman" w:hAnsi="Times New Roman" w:cs="Times New Roman"/>
          <w:bCs/>
        </w:rPr>
      </w:pPr>
      <w:r w:rsidRPr="00B84389">
        <w:rPr>
          <w:rFonts w:ascii="Times New Roman" w:hAnsi="Times New Roman" w:cs="Times New Roman"/>
          <w:b/>
          <w:bCs/>
        </w:rPr>
        <w:t xml:space="preserve"> </w:t>
      </w:r>
      <w:r w:rsidRPr="00B84389">
        <w:rPr>
          <w:rFonts w:ascii="Times New Roman" w:hAnsi="Times New Roman" w:cs="Times New Roman"/>
          <w:bCs/>
        </w:rPr>
        <w:t xml:space="preserve">Notificar previamente à CONTRATADA, quando da aplicação de sanções administrativas. </w:t>
      </w:r>
    </w:p>
    <w:p w14:paraId="0428FAC4" w14:textId="77777777" w:rsidR="00B307DB" w:rsidRPr="00B84389" w:rsidRDefault="00B307DB" w:rsidP="00B307DB">
      <w:pPr>
        <w:spacing w:after="0" w:line="240" w:lineRule="auto"/>
        <w:ind w:right="-568"/>
        <w:jc w:val="both"/>
        <w:rPr>
          <w:rFonts w:ascii="Times New Roman" w:hAnsi="Times New Roman" w:cs="Times New Roman"/>
          <w:b/>
          <w:color w:val="FF0000"/>
        </w:rPr>
      </w:pPr>
    </w:p>
    <w:p w14:paraId="3328DF49" w14:textId="77777777" w:rsidR="00B307DB" w:rsidRPr="00B84389" w:rsidRDefault="00B307DB" w:rsidP="00B307DB">
      <w:pPr>
        <w:spacing w:after="0" w:line="240" w:lineRule="auto"/>
        <w:ind w:right="-568"/>
        <w:jc w:val="both"/>
        <w:rPr>
          <w:rFonts w:ascii="Times New Roman" w:hAnsi="Times New Roman" w:cs="Times New Roman"/>
          <w:b/>
        </w:rPr>
      </w:pPr>
      <w:r w:rsidRPr="00B84389">
        <w:rPr>
          <w:rFonts w:ascii="Times New Roman" w:hAnsi="Times New Roman" w:cs="Times New Roman"/>
          <w:b/>
        </w:rPr>
        <w:t>8 Critérios de medição e de pagamento.</w:t>
      </w:r>
    </w:p>
    <w:p w14:paraId="420AC232"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8.1</w:t>
      </w:r>
      <w:r w:rsidRPr="00B84389">
        <w:rPr>
          <w:rFonts w:ascii="Times New Roman" w:hAnsi="Times New Roman" w:cs="Times New Roman"/>
        </w:rPr>
        <w:t xml:space="preserve"> O pagamento dos serviços fornecidos, será feito através de crédito em conta, no banco indicado pela Licitante, em até 10 (dez) dias após o fornecimento, mediante apresentação da Nota Fiscal, não acarretando qualquer acréscimo nos valores contratados, a nota fiscal deverá estar devidamente atestada pela pessoa indicada pelo Recebimento do objeto.</w:t>
      </w:r>
    </w:p>
    <w:p w14:paraId="31C8C75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8.1.1</w:t>
      </w:r>
      <w:r w:rsidRPr="00B8438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7E95146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8.1.2</w:t>
      </w:r>
      <w:r w:rsidRPr="00B84389">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383C703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8.2</w:t>
      </w:r>
      <w:r w:rsidRPr="00B84389">
        <w:rPr>
          <w:rFonts w:ascii="Times New Roman" w:hAnsi="Times New Roman" w:cs="Times New Roman"/>
        </w:rPr>
        <w:t xml:space="preserve"> As notas fiscais eletrônicas deverão ser encaminhadas para o e-mail: </w:t>
      </w:r>
      <w:r w:rsidRPr="00B84389">
        <w:rPr>
          <w:rFonts w:ascii="Times New Roman" w:hAnsi="Times New Roman" w:cs="Times New Roman"/>
          <w:u w:val="single" w:color="000000"/>
        </w:rPr>
        <w:t>licitacao@riqueza.sc.gov.br</w:t>
      </w:r>
      <w:r w:rsidRPr="00B84389">
        <w:rPr>
          <w:rFonts w:ascii="Times New Roman" w:hAnsi="Times New Roman" w:cs="Times New Roman"/>
        </w:rPr>
        <w:t>, nos arquivos com extensão XML e PDF.</w:t>
      </w:r>
    </w:p>
    <w:p w14:paraId="01A8A0E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O pagamento dos serviços de locação dos sistemas, suporte e assistência técnica se dará de forma mensal e sucessiva durante toda a vigência do contrato, sendo a primeira com vencimento em 30 (trinta) dias contados a partir da liberação dos aplicativos/softwares para uso;</w:t>
      </w:r>
    </w:p>
    <w:p w14:paraId="3D3191FD"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serviços de implantação e treinamento dos usuários internos serão pagos em parcela única em um prazo não superior a 30 (trinta) dias contados a partir da sua realização.</w:t>
      </w:r>
    </w:p>
    <w:p w14:paraId="31BA691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8.3</w:t>
      </w:r>
      <w:r w:rsidRPr="00B84389">
        <w:rPr>
          <w:rFonts w:ascii="Times New Roman" w:hAnsi="Times New Roman" w:cs="Times New Roman"/>
        </w:rPr>
        <w:t xml:space="preserve"> Os serviços de técnicos ou ofertados por hora técnica (sob demanda) e todo os demais serão pagos mensalmente, de acordo com a proposta apresentada pela licitante e os serviços variáveis pelo número de horas técnicas utilizadas no mês anterior ao mês do pagamento.</w:t>
      </w:r>
    </w:p>
    <w:p w14:paraId="575F201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8.4</w:t>
      </w:r>
      <w:r w:rsidRPr="00B84389">
        <w:rPr>
          <w:rFonts w:ascii="Times New Roman" w:hAnsi="Times New Roman" w:cs="Times New Roman"/>
        </w:rPr>
        <w:t xml:space="preserve"> Das Notas Fiscais:</w:t>
      </w:r>
    </w:p>
    <w:p w14:paraId="775E6EF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8.4.1</w:t>
      </w:r>
      <w:r w:rsidRPr="00B84389">
        <w:rPr>
          <w:rFonts w:ascii="Times New Roman" w:hAnsi="Times New Roman" w:cs="Times New Roman"/>
        </w:rPr>
        <w:t xml:space="preserve"> A nota fiscal deverá descrever as seguintes informações: </w:t>
      </w:r>
    </w:p>
    <w:p w14:paraId="7CD4C3F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1) Valor unitário e valor total do produto/serviço/material;</w:t>
      </w:r>
    </w:p>
    <w:p w14:paraId="096DBAE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2) Número da nota de empenho e do processo de compra;</w:t>
      </w:r>
    </w:p>
    <w:p w14:paraId="51A845B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3) Dados bancários para depósito;</w:t>
      </w:r>
    </w:p>
    <w:p w14:paraId="3F86C1B0" w14:textId="77777777" w:rsidR="00B307DB" w:rsidRPr="00B84389" w:rsidRDefault="00B307DB" w:rsidP="00B307DB">
      <w:pPr>
        <w:tabs>
          <w:tab w:val="left" w:pos="426"/>
        </w:tabs>
        <w:spacing w:after="0" w:line="240" w:lineRule="auto"/>
        <w:ind w:right="-568"/>
        <w:jc w:val="both"/>
        <w:rPr>
          <w:rFonts w:ascii="Times New Roman" w:hAnsi="Times New Roman" w:cs="Times New Roman"/>
          <w:b/>
          <w:bCs/>
          <w:i/>
        </w:rPr>
      </w:pPr>
      <w:r w:rsidRPr="00B84389">
        <w:rPr>
          <w:rFonts w:ascii="Times New Roman" w:hAnsi="Times New Roman" w:cs="Times New Roman"/>
          <w:b/>
          <w:bCs/>
        </w:rPr>
        <w:t>8.5</w:t>
      </w:r>
      <w:r w:rsidRPr="00B84389">
        <w:rPr>
          <w:rFonts w:ascii="Times New Roman" w:hAnsi="Times New Roman" w:cs="Times New Roman"/>
          <w:bCs/>
        </w:rPr>
        <w:t xml:space="preserve"> </w:t>
      </w:r>
      <w:r w:rsidRPr="00B84389">
        <w:rPr>
          <w:rFonts w:ascii="Times New Roman" w:hAnsi="Times New Roman" w:cs="Times New Roman"/>
          <w:b/>
          <w:bCs/>
          <w:i/>
        </w:rPr>
        <w:t>A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FC158BA" w14:textId="77777777" w:rsidR="00B307DB" w:rsidRPr="00B84389" w:rsidRDefault="00B307DB" w:rsidP="00B307DB">
      <w:pPr>
        <w:tabs>
          <w:tab w:val="left" w:pos="426"/>
        </w:tabs>
        <w:spacing w:after="0" w:line="240" w:lineRule="auto"/>
        <w:ind w:right="-568"/>
        <w:jc w:val="both"/>
        <w:rPr>
          <w:rFonts w:ascii="Times New Roman" w:hAnsi="Times New Roman" w:cs="Times New Roman"/>
          <w:b/>
          <w:bCs/>
        </w:rPr>
      </w:pPr>
      <w:r w:rsidRPr="00B84389">
        <w:rPr>
          <w:rFonts w:ascii="Times New Roman" w:hAnsi="Times New Roman" w:cs="Times New Roman"/>
          <w:b/>
          <w:bCs/>
        </w:rPr>
        <w:lastRenderedPageBreak/>
        <w:t xml:space="preserve">8.6 </w:t>
      </w:r>
      <w:r w:rsidRPr="00B84389">
        <w:rPr>
          <w:rFonts w:ascii="Times New Roman" w:hAnsi="Times New Roman" w:cs="Times New Roman"/>
          <w:bCs/>
        </w:rPr>
        <w:t>Juntamente com a Nota Fiscal deverá ser encaminhado Prova de Regularidade da Fazenda Federal , Certidão Negativa Trabalhista e Fundo de Garantia do Tempo de Serviço.</w:t>
      </w:r>
    </w:p>
    <w:p w14:paraId="27759E9B" w14:textId="77777777" w:rsidR="00B307DB" w:rsidRPr="00B84389" w:rsidRDefault="00B307DB" w:rsidP="00B307DB">
      <w:pPr>
        <w:spacing w:after="0" w:line="240" w:lineRule="auto"/>
        <w:ind w:right="-568"/>
        <w:jc w:val="both"/>
        <w:rPr>
          <w:rFonts w:ascii="Times New Roman" w:hAnsi="Times New Roman" w:cs="Times New Roman"/>
          <w:b/>
          <w:bCs/>
        </w:rPr>
      </w:pPr>
      <w:r w:rsidRPr="00B84389">
        <w:rPr>
          <w:rFonts w:ascii="Times New Roman" w:hAnsi="Times New Roman" w:cs="Times New Roman"/>
          <w:b/>
          <w:bCs/>
        </w:rPr>
        <w:t xml:space="preserve">8.7 </w:t>
      </w:r>
      <w:r w:rsidRPr="00B84389">
        <w:rPr>
          <w:rFonts w:ascii="Times New Roman" w:hAnsi="Times New Roman" w:cs="Times New Roman"/>
        </w:rPr>
        <w:t xml:space="preserve">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66525B46"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8.8</w:t>
      </w:r>
      <w:r w:rsidRPr="00B84389">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00848AC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8.9</w:t>
      </w:r>
      <w:r w:rsidRPr="00B84389">
        <w:rPr>
          <w:rFonts w:ascii="Times New Roman" w:hAnsi="Times New Roman" w:cs="Times New Roman"/>
        </w:rPr>
        <w:t xml:space="preserve"> No caso de controvérsia sobre o fornecimento dos serviços, quanto à dimensão, qualidade e quantidade, deverá ser observado o teor do art. 143 da Lei nº 14.133, de 2021, comunicando-se à empresa para emissão de Nota Fiscal no que pertence à parcela incontroversa da entrega do bem, para efeito de liquidação e pagamento. </w:t>
      </w:r>
    </w:p>
    <w:p w14:paraId="77CC17C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8.10</w:t>
      </w:r>
      <w:r w:rsidRPr="00B84389">
        <w:rPr>
          <w:rFonts w:ascii="Times New Roman" w:hAnsi="Times New Roman" w:cs="Times New Roman"/>
        </w:rPr>
        <w:t xml:space="preserve"> O recebimento provisório ou definitivo não excluirá a responsabilidade civil pela solidez e pela segurança do objeto fornecido nem a responsabilidade ético-profissional pela perfeita execução do contrato. </w:t>
      </w:r>
    </w:p>
    <w:p w14:paraId="6BB83ACD" w14:textId="77777777" w:rsidR="00B307DB" w:rsidRPr="00B84389" w:rsidRDefault="00B307DB" w:rsidP="00B307DB">
      <w:pPr>
        <w:tabs>
          <w:tab w:val="left" w:pos="426"/>
        </w:tabs>
        <w:spacing w:after="0" w:line="240" w:lineRule="auto"/>
        <w:ind w:right="-568"/>
        <w:jc w:val="both"/>
        <w:rPr>
          <w:rFonts w:ascii="Times New Roman" w:hAnsi="Times New Roman" w:cs="Times New Roman"/>
          <w:b/>
        </w:rPr>
      </w:pPr>
    </w:p>
    <w:p w14:paraId="15B4C13D" w14:textId="4065D10B" w:rsidR="00B307DB" w:rsidRPr="00D25E7E" w:rsidRDefault="00B307DB" w:rsidP="00D25E7E">
      <w:pPr>
        <w:pStyle w:val="PargrafodaLista"/>
        <w:numPr>
          <w:ilvl w:val="0"/>
          <w:numId w:val="251"/>
        </w:numPr>
        <w:tabs>
          <w:tab w:val="left" w:pos="284"/>
        </w:tabs>
        <w:spacing w:after="0" w:line="240" w:lineRule="auto"/>
        <w:ind w:right="-568"/>
        <w:jc w:val="both"/>
        <w:rPr>
          <w:rFonts w:ascii="Times New Roman" w:hAnsi="Times New Roman" w:cs="Times New Roman"/>
          <w:b/>
        </w:rPr>
      </w:pPr>
      <w:r w:rsidRPr="00D25E7E">
        <w:rPr>
          <w:rFonts w:ascii="Times New Roman" w:hAnsi="Times New Roman" w:cs="Times New Roman"/>
          <w:b/>
        </w:rPr>
        <w:t>Forma e critérios de seleção do fornecedor.</w:t>
      </w:r>
    </w:p>
    <w:p w14:paraId="5265F0E4"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9.1</w:t>
      </w:r>
      <w:r w:rsidRPr="00B84389">
        <w:rPr>
          <w:rFonts w:ascii="Times New Roman" w:hAnsi="Times New Roman" w:cs="Times New Roman"/>
        </w:rPr>
        <w:t xml:space="preserve"> O julgamento das propostas será feito pelo menor preço apresentado: MENOR PREÇO POR LOTE.</w:t>
      </w:r>
    </w:p>
    <w:p w14:paraId="2BD7295B"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Tratam-se de serviços que se recomendam o seu agrupamento por se tratarem de serviços relacionados a sistema estruturante, integrado. O julgamento por menor preço por LOTE em nada restringe a participação, não justificaria o parcelamento dos itens, uma vez que não será eficaz para Administração Pública a celebração de diversos contratos, o que poderia prejudicar execução simultânea dos serviços e a gestão e fiscalização de inúmeros profissionais técnicos das licitantes envolvidas na execução dos serviços e heterogeneidade de modelos de negócio, linguagem de programação, diferentes tecnologias e códigos envolvendo relações de propriedade intelectual;</w:t>
      </w:r>
    </w:p>
    <w:p w14:paraId="785A495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9.2 </w:t>
      </w:r>
      <w:r w:rsidRPr="00B84389">
        <w:rPr>
          <w:rFonts w:ascii="Times New Roman" w:hAnsi="Times New Roman" w:cs="Times New Roman"/>
        </w:rPr>
        <w:t>É indiscutível que, em determinadas situações, o parcelamento ou fracionamento do objeto licitatório possibilitará uma participação de um número maior de licitantes, o que democratiza o acesso às contratações públicas. Entretanto, tal parcelamento não pode ocasionar prejuízos ao erário na medida em que atinge a única finalidade de possibilitar o acesso de mais particulares, ainda que haja maior competição e disputa entre os licitantes, objetivos determinados na norma regulatória. O que se visa atingir com o processo licitatório é a maior vantajosidade para o Município, para além da democratização da participação de particulares;</w:t>
      </w:r>
    </w:p>
    <w:p w14:paraId="3ABBB0A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9.3 </w:t>
      </w:r>
      <w:r w:rsidRPr="00B84389">
        <w:rPr>
          <w:rFonts w:ascii="Times New Roman" w:hAnsi="Times New Roman" w:cs="Times New Roman"/>
        </w:rPr>
        <w:t>Sob o aspecto técnico e econômico, por conseguinte, o parcelamento dependerá da divisibilidade do objeto licitado, garantindo não comprometer o funcionamento, à guisa concatenada, do serviço que se vislumbra obter, revelando risco de impossibilidade de execução satisfatória do serviço. Ainda sob a perspectiva técnica, o parcelamento do objeto leva a uma divisão de responsabilidades entre as múltiplas empresas contratadas, levando a uma inadequação do acompanhamento de problemas, e dificuldade de identificação de suas causas e de atribuição de responsabilidade, reduzindo o controle sobre a execução do objeto licitado e consequente o não atingimento das necessidades do Município;</w:t>
      </w:r>
    </w:p>
    <w:p w14:paraId="4D748C79"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9.4 </w:t>
      </w:r>
      <w:r w:rsidRPr="00B84389">
        <w:rPr>
          <w:rFonts w:ascii="Times New Roman" w:hAnsi="Times New Roman" w:cs="Times New Roman"/>
        </w:rPr>
        <w:t>Em que pese à possibilidade de se obter maior competitividade com a divisão do sistema em itens, lotes distintos e/ou consórcios, o resultado a ser atingido e pretendido pela administração poderia restar frustrado, com inúmeras empresas sagrando-se vencedoras cada uma de determinado quinhão, sem que houvesse, no entanto, compatibilidade entre os sistemas por elas ofertados, já que cada empresa é livre para adotar as estratégias, linguagens de programação, estruturas e recursos tecnológicos que melhor lhe convém pelo princípios da livre iniciativa, da criatividade e da propriedade intelectual, o que não permitiria a integração dos sistemas de informática do Município;</w:t>
      </w:r>
    </w:p>
    <w:p w14:paraId="0B3DD254"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9.5 </w:t>
      </w:r>
      <w:r w:rsidRPr="00B84389">
        <w:rPr>
          <w:rFonts w:ascii="Times New Roman" w:hAnsi="Times New Roman" w:cs="Times New Roman"/>
        </w:rPr>
        <w:t>A licitação que se pretende levar a termo, por certo, se realizada por itens, conduzirá a sérios riscos ao resultado final do objeto ora pretendido, podendo principalmente trazer sérios prejuízos ao erário.</w:t>
      </w:r>
    </w:p>
    <w:p w14:paraId="5DBAA83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 xml:space="preserve">O parcelamento dos itens no presente caso ao invés de proporcionar a Administração economicidade poderá causar prejuízos e interrupções temporárias da disponibilização de um ou mais serviços em razão de complicações e infindáveis acusações entre empresas, sendo difícil e demorado achar um culpado/responsável, que geralmente surgem principalmente no que se refere aos serviços de suporte técnico, o não cumprimento de forma simultânea e organizada, e ainda descumprimento de obrigações </w:t>
      </w:r>
      <w:r w:rsidRPr="00B84389">
        <w:rPr>
          <w:rFonts w:ascii="Times New Roman" w:hAnsi="Times New Roman" w:cs="Times New Roman"/>
        </w:rPr>
        <w:lastRenderedPageBreak/>
        <w:t>de uma outra contratada iria ocasionar a interrupção e atrasos na execução dos serviços objeto desta licitação, podendo provocar graves riscos e prejuízos à Administração;</w:t>
      </w:r>
    </w:p>
    <w:p w14:paraId="5CD46607"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9.6 </w:t>
      </w:r>
      <w:r w:rsidRPr="00B84389">
        <w:rPr>
          <w:rFonts w:ascii="Times New Roman" w:hAnsi="Times New Roman" w:cs="Times New Roman"/>
        </w:rPr>
        <w:t>Além disso, temos a perda de economia de escala decorrente dos custos para cada parcela licitada individualmente. É sabido que nos custos de locação de uma solução em nuvem, há aqueles fixos de infraestrutura, atendimento, e desenvolvimento de software que são suportados pelos licitantes. Se a licitação for realizada por itens ou lotes distintos, cada licitante irá propor, para cada item/lote, um custo, ao passo que se o licitante obtiver a adjudicação de todos os itens, na forma menor desconto sobre o valor de um único lote que se pretende, tais custos serão sensivelmente diluídos, posto que suportados por apenas um licitante, qual seja, aquele que se sagrar vencedor. Logo, ao propor, sua respectiva proposta considerará tal realidade, qual seja, a adjudicação e todo o objeto e não apenas parte dele, fazendo com que proponha custos mais reduzidos para mencionadas etapas, dentro de um conceito de economia de escala;</w:t>
      </w:r>
    </w:p>
    <w:p w14:paraId="5B5AF3C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9.7 </w:t>
      </w:r>
      <w:r w:rsidRPr="00B84389">
        <w:rPr>
          <w:rFonts w:ascii="Times New Roman" w:hAnsi="Times New Roman" w:cs="Times New Roman"/>
        </w:rPr>
        <w:t>Ainda, merecem destaque os riscos inerentes à própria execução, pois, não restam dúvidas que o objeto pretendido, quando executado por vários contratados, poderá não ser integralmente executado, tendo em vista possíveis problemas nas relações jurídicas mantidas com diversos contratados, além de possíveis incompatibilidades entre eles. Isso colocaria em risco o ponto principal que é a integração e funcionalidade dos sistemas de informática do Município, posto que, contratando diversas plataformas, teríamos possíveis incompatibilidades, inadequação da execução, e não atendimento às necessidades do Município. O risco seria absurdo para a Administração e para os munícipes;</w:t>
      </w:r>
    </w:p>
    <w:p w14:paraId="4B47264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9.8 </w:t>
      </w:r>
      <w:r w:rsidRPr="00B84389">
        <w:rPr>
          <w:rFonts w:ascii="Times New Roman" w:hAnsi="Times New Roman" w:cs="Times New Roman"/>
        </w:rPr>
        <w:t>O TCU, no Acórdão nº 732/2008, se pronunciou no sentido de que “a questão da viabilidade do fracionamento deve ser decidida com base em cada caso, pois cada obra tem as suas especificidades, devendo o gestor decidir analisando qual a solução mais adequada no caso concreto”.</w:t>
      </w:r>
    </w:p>
    <w:p w14:paraId="039578B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9.9 </w:t>
      </w:r>
      <w:r w:rsidRPr="00B84389">
        <w:rPr>
          <w:rFonts w:ascii="Times New Roman" w:hAnsi="Times New Roman" w:cs="Times New Roman"/>
        </w:rPr>
        <w:t>O Professor Jorge Ulisses Jacoby Fernandes, no Parecer nº 2086/00, elaborado no Processo nº 194/2000 do TCDF, ensina que:</w:t>
      </w:r>
    </w:p>
    <w:p w14:paraId="18440FE5" w14:textId="77777777" w:rsidR="00B307DB" w:rsidRPr="00B84389" w:rsidRDefault="00B307DB" w:rsidP="00B307DB">
      <w:pPr>
        <w:spacing w:after="0" w:line="240" w:lineRule="auto"/>
        <w:ind w:right="-568"/>
        <w:jc w:val="both"/>
        <w:rPr>
          <w:rFonts w:ascii="Times New Roman" w:hAnsi="Times New Roman" w:cs="Times New Roman"/>
        </w:rPr>
      </w:pPr>
    </w:p>
    <w:p w14:paraId="062285C2" w14:textId="77777777" w:rsidR="00B307DB" w:rsidRPr="00B84389" w:rsidRDefault="00B307DB" w:rsidP="00B307DB">
      <w:pPr>
        <w:spacing w:after="0" w:line="240" w:lineRule="auto"/>
        <w:ind w:left="1134" w:right="-568"/>
        <w:jc w:val="both"/>
        <w:rPr>
          <w:rFonts w:ascii="Times New Roman" w:hAnsi="Times New Roman" w:cs="Times New Roman"/>
          <w:i/>
        </w:rPr>
      </w:pPr>
      <w:r w:rsidRPr="00B84389">
        <w:rPr>
          <w:rFonts w:ascii="Times New Roman" w:hAnsi="Times New Roman" w:cs="Times New Roman"/>
          <w:i/>
        </w:rPr>
        <w:t>“Desse modo a regra do parcelamento deve ser coordenada com o requisito que a própria lei definiu: só se pode falar em parcelamento quando há viabilidade técnica para sua adoção. Não se imagina, quando o objeto é fisicamente único, como um automóvel, que o administrador esteja vinculado a parcelar o objeto. Nesse sentido, um exame atento dos tipos de objeto licitados pela Administração Pública evidencia que embora sejam divisíveis, há interesse técnico na manutenção da unicidade, da licitação ou do item da mesma. Não é, pois, a simples divisibilidade, mas a viabilidade técnica que dirige o processo decisório. Observa-se que, na aplicação dessa norma, até pela disposição dos requisitos, fisicamente dispostos no seu conteúdo, a avaliação sob o aspecto técnico precede a avaliação sob o aspecto econômico. É a visão jurídica que se harmoniza com a lógica. Se um objeto, divisível, sob o aspecto econômico for mais vantajoso, mas houver inviabilidade técnica em que seja licitado em separado, de nada valerá a avaliação econômica. Imagine-se ainda esse elementar exemplo do automóvel: se por exemplo as peças isoladamente custassem mais barato, mesmo assim, seria recomendável o não parcelamento, pois sob o aspecto técnico é a visão do conjunto que iria definir a garantia do fabricante, o ajuste das partes compondo todo único, orgânico e harmônico. Por esse motivo, deve o bom administrador, primeiramente, avaliar se o objeto é divisível. Em caso afirmativo, o próximo passo será avaliar a conveniência técnica de que seja licitado inteiro ou dividido”. (grifo nosso).</w:t>
      </w:r>
    </w:p>
    <w:p w14:paraId="7572147A" w14:textId="77777777" w:rsidR="00B307DB" w:rsidRPr="00B84389" w:rsidRDefault="00B307DB" w:rsidP="00B307DB">
      <w:pPr>
        <w:spacing w:after="0" w:line="240" w:lineRule="auto"/>
        <w:ind w:left="1134" w:right="-568"/>
        <w:jc w:val="both"/>
        <w:rPr>
          <w:rFonts w:ascii="Times New Roman" w:hAnsi="Times New Roman" w:cs="Times New Roman"/>
          <w:i/>
        </w:rPr>
      </w:pPr>
    </w:p>
    <w:p w14:paraId="3488849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9.10 </w:t>
      </w:r>
      <w:r w:rsidRPr="00B84389">
        <w:rPr>
          <w:rFonts w:ascii="Times New Roman" w:hAnsi="Times New Roman" w:cs="Times New Roman"/>
        </w:rPr>
        <w:t>No mesmo sentido, destaca-se, ainda, a lição de Justen Filho, para quem:</w:t>
      </w:r>
    </w:p>
    <w:p w14:paraId="74531022" w14:textId="77777777" w:rsidR="00B307DB" w:rsidRPr="00B84389" w:rsidRDefault="00B307DB" w:rsidP="00B307DB">
      <w:pPr>
        <w:spacing w:after="0" w:line="240" w:lineRule="auto"/>
        <w:ind w:right="-568"/>
        <w:jc w:val="both"/>
        <w:rPr>
          <w:rFonts w:ascii="Times New Roman" w:hAnsi="Times New Roman" w:cs="Times New Roman"/>
        </w:rPr>
      </w:pPr>
    </w:p>
    <w:p w14:paraId="319ED78C" w14:textId="77777777" w:rsidR="00B307DB" w:rsidRPr="00B84389" w:rsidRDefault="00B307DB" w:rsidP="00B307DB">
      <w:pPr>
        <w:spacing w:after="0" w:line="240" w:lineRule="auto"/>
        <w:ind w:left="1134" w:right="-568"/>
        <w:jc w:val="both"/>
        <w:rPr>
          <w:rFonts w:ascii="Times New Roman" w:hAnsi="Times New Roman" w:cs="Times New Roman"/>
          <w:i/>
        </w:rPr>
      </w:pPr>
      <w:r w:rsidRPr="00B84389">
        <w:rPr>
          <w:rFonts w:ascii="Times New Roman" w:hAnsi="Times New Roman" w:cs="Times New Roman"/>
          <w:i/>
        </w:rPr>
        <w:t>[...] a obrigatoriedade do fracionamento respeita limites de ordem técnica e econômica. Não se admite o fracionamento quando tecnicamente isso não for viável ou, mesmo, recomendável. O fracionamento em lotes deve respeitar a integridade qualitativa do objeto a ser executado. [...] a unidade do objeto a ser executado não pode ser destruída através do fracionamento” (JUSTEN FILHO, Marçal. Comentários à Lei de Licitações e Contratos Administrativos. 11.ed. São Paulo: 2005, Dialética, p. 207).</w:t>
      </w:r>
    </w:p>
    <w:p w14:paraId="35BFDE9E" w14:textId="77777777" w:rsidR="00B307DB" w:rsidRPr="00B84389" w:rsidRDefault="00B307DB" w:rsidP="00B307DB">
      <w:pPr>
        <w:spacing w:after="0" w:line="240" w:lineRule="auto"/>
        <w:ind w:left="1134" w:right="-568"/>
        <w:jc w:val="both"/>
        <w:rPr>
          <w:rFonts w:ascii="Times New Roman" w:hAnsi="Times New Roman" w:cs="Times New Roman"/>
          <w:i/>
        </w:rPr>
      </w:pPr>
    </w:p>
    <w:p w14:paraId="1CCC153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9.11 </w:t>
      </w:r>
      <w:r w:rsidRPr="00B84389">
        <w:rPr>
          <w:rFonts w:ascii="Times New Roman" w:hAnsi="Times New Roman" w:cs="Times New Roman"/>
        </w:rPr>
        <w:t>Em relação ao tema, cabe ressaltar os entendimentos do Tribunal de Contas do Rio Grande do Sul:</w:t>
      </w:r>
    </w:p>
    <w:p w14:paraId="5C559858" w14:textId="77777777" w:rsidR="00B307DB" w:rsidRPr="00B84389" w:rsidRDefault="00B307DB" w:rsidP="00B307DB">
      <w:pPr>
        <w:spacing w:after="0" w:line="240" w:lineRule="auto"/>
        <w:ind w:right="-568"/>
        <w:jc w:val="both"/>
        <w:rPr>
          <w:rFonts w:ascii="Times New Roman" w:hAnsi="Times New Roman" w:cs="Times New Roman"/>
        </w:rPr>
      </w:pPr>
    </w:p>
    <w:p w14:paraId="5AC253DD" w14:textId="77777777" w:rsidR="00B307DB" w:rsidRPr="00B84389" w:rsidRDefault="00B307DB" w:rsidP="00B307DB">
      <w:pPr>
        <w:spacing w:after="0" w:line="240" w:lineRule="auto"/>
        <w:ind w:left="1134" w:right="-568"/>
        <w:jc w:val="both"/>
        <w:rPr>
          <w:rFonts w:ascii="Times New Roman" w:hAnsi="Times New Roman" w:cs="Times New Roman"/>
        </w:rPr>
      </w:pPr>
      <w:r w:rsidRPr="00B84389">
        <w:rPr>
          <w:rFonts w:ascii="Times New Roman" w:hAnsi="Times New Roman" w:cs="Times New Roman"/>
        </w:rPr>
        <w:lastRenderedPageBreak/>
        <w:t>REPRESENTAÇÃO. LICITAÇÃO. SISTEMA DE GESTÃO. AGLUTINAÇÃO DO OBJETO. VISITA TÉCNICA. DIVERGÊNCIAS DE PRAZOS DE IMPLANTAÇÃO. PROVA DE CONCEITO. RESTRIÇÃO À COMPETIÇÃO. NÃO RENOVAÇÃO DO CONTRATO. DETERMINAÇÕES PARA FUTURAS LICITAÇÕES. PRIORIZAÇÃO DA MODALIDADE ELETRÔNICA DO PREGÃO. ACOMPANHAMENTO. CIÊNCIA. [...] Este inter-relacionamento, segundo certificado pela Área Técnica, encontra justificativa na medida em que manipulam uma série de dados comuns. E, em algumas situações, a aglutinação do objeto é vantajosa, como é de se pressupor em um município com população de aproximadamente seis mil habitantes, acrescendo-se a isto o fato de que, nos termos do informe técnico, a viabilidade da integração entre os distintos sistemas pode representar em elevação dos custos da municipalidade e, ainda, que isto dificultaria as licitações futuras, na qual novas integrações seriam necessárias. Desta forma e, neste ponto, repiso que adoto integralmente o contido na Informação do SASOT, elaborada por técnico com larga experiência na área de Tecnologia da Informação, motivo pelo qual entendo que, no caso aqui tratado, a inconformidade não representa em irregularidade, sobretudo à luz da jurisprudência trazida pela Área Instrutiva e pelo Parecer Ministerial (Acórdão 280/20101 – Plenário e Súmula 2472, do TCU). (Processo: 030181-0200/20-9, Representação, Conselheiro Iradir Pietroski).</w:t>
      </w:r>
    </w:p>
    <w:p w14:paraId="6C1834B3" w14:textId="77777777" w:rsidR="00B307DB" w:rsidRPr="00B84389" w:rsidRDefault="00B307DB" w:rsidP="00B307DB">
      <w:pPr>
        <w:spacing w:after="0" w:line="240" w:lineRule="auto"/>
        <w:ind w:left="1134" w:right="-568"/>
        <w:jc w:val="both"/>
        <w:rPr>
          <w:rFonts w:ascii="Times New Roman" w:hAnsi="Times New Roman" w:cs="Times New Roman"/>
        </w:rPr>
      </w:pPr>
    </w:p>
    <w:p w14:paraId="77AABB0C"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9.12 </w:t>
      </w:r>
      <w:r w:rsidRPr="00B84389">
        <w:rPr>
          <w:rFonts w:ascii="Times New Roman" w:hAnsi="Times New Roman" w:cs="Times New Roman"/>
        </w:rPr>
        <w:t>Tais pressupostos também atendem ao princípio da padronização, impondo compatibilidade de especificações técnicas, e de desempenho, observadas as condições de manutenção, assistência técnica, garantia e a economia de escala;</w:t>
      </w:r>
    </w:p>
    <w:p w14:paraId="6BD6BDA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9.13 </w:t>
      </w:r>
      <w:r w:rsidRPr="00B84389">
        <w:rPr>
          <w:rFonts w:ascii="Times New Roman" w:hAnsi="Times New Roman" w:cs="Times New Roman"/>
        </w:rPr>
        <w:t xml:space="preserve">Além disso, as integrações com base em banco de dados único evitam desconformidades e erros sistemáticos e dificuldades da gestão, pois a partir do momento que empresas potencialmente concorrentes alimentam e retroalimentam informações a partir de banco de dados distintos, haveria exponencial aumento do risco de problemas, com incansáveis trocas de acusações técnicas; </w:t>
      </w:r>
    </w:p>
    <w:p w14:paraId="2836D17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9.14 </w:t>
      </w:r>
      <w:r w:rsidRPr="00B84389">
        <w:rPr>
          <w:rFonts w:ascii="Times New Roman" w:hAnsi="Times New Roman" w:cs="Times New Roman"/>
        </w:rPr>
        <w:t>Por fim, e de singular importância, diga-se que o parcelamento do objeto, acabaria por desnaturar o próprio objeto da contratação, que se funda em um Enterprise Resource Planning Web (ERP Web), já que não haveria sistema, sem justamente um conjunto de softwares organizados em uma única plataforma, responsável por automatizar, gerenciar, coordenar, vincular e integrar os processos/atividades e todo o fluxo de dados entre eles, fornecendo uma única fonte de verdade. Ou seja, colocando por água abaixo os objetivos da integração total e em tempo real, simplificando as operações em toda a organização, reduzindo tempo, custos e melhorando o desempenho das atividades das pessoas;</w:t>
      </w:r>
    </w:p>
    <w:p w14:paraId="5A0D95D2"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9.15</w:t>
      </w:r>
      <w:r w:rsidRPr="00B84389">
        <w:rPr>
          <w:rFonts w:ascii="Times New Roman" w:hAnsi="Times New Roman" w:cs="Times New Roman"/>
        </w:rPr>
        <w:t xml:space="preserve"> Sem dizer, apenas num esforço argumentativo, que é impensável em um mundo capitalista, que um fornecedor permitiria a outro “mexer” em seu código fonte (sua maior propriedade e fundamento de seu negócio), dando suporte, assistência técnica, manutenção e customização, muito menos deixá-lo exposto em nuvem, em um datacenter do qual não possuísse inteiro domínio por meio de contratos rigorosos de obrigação de sigilo;</w:t>
      </w:r>
    </w:p>
    <w:p w14:paraId="563974D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9.16 </w:t>
      </w:r>
      <w:r w:rsidRPr="00B84389">
        <w:rPr>
          <w:rFonts w:ascii="Times New Roman" w:hAnsi="Times New Roman" w:cs="Times New Roman"/>
        </w:rPr>
        <w:t>Portanto, a decisão de julgamento PELO MENOR PREÇO POR LOTE, não se mostra desarrazoada a ponto de comprometer o caráter competitivo do certame, devendo tão-somente constituir garantia mínima suficiente de que o futuro contratado detém capacidade de cumprir com as obrigações contratuais, e que a Administração receba aquilo que é de sua necessidade e contratado. A prudência e cautela são sempre recomendáveis em licitações cujo objeto se trata de serviços técnicos deste nível, para que não incidam sobre ele acusações de má administração de recursos públicos e a Administração Pública venha a promover a seleção de empresas verdadeiramente aptas a cumprir o objeto contratual com a qualidade que se espera;</w:t>
      </w:r>
    </w:p>
    <w:p w14:paraId="7544A7AF"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bCs/>
        </w:rPr>
        <w:t>9.17</w:t>
      </w:r>
      <w:r w:rsidRPr="00B84389">
        <w:rPr>
          <w:rFonts w:ascii="Times New Roman" w:hAnsi="Times New Roman" w:cs="Times New Roman"/>
        </w:rPr>
        <w:t xml:space="preserve"> Para fins de habilitação, deverá o licitante comprovar os requisitos de habilitação jurídica, fiscal, econômico-financeira e qualificação técnica previstos no edital;</w:t>
      </w:r>
    </w:p>
    <w:p w14:paraId="65E1D244" w14:textId="77777777" w:rsidR="00B307DB" w:rsidRPr="00B84389" w:rsidRDefault="00B307DB" w:rsidP="00B307DB">
      <w:pPr>
        <w:spacing w:after="0" w:line="240" w:lineRule="auto"/>
        <w:ind w:right="-568"/>
        <w:jc w:val="both"/>
        <w:rPr>
          <w:rFonts w:ascii="Times New Roman" w:hAnsi="Times New Roman" w:cs="Times New Roman"/>
          <w:color w:val="000000"/>
        </w:rPr>
      </w:pPr>
      <w:r w:rsidRPr="00B84389">
        <w:rPr>
          <w:rFonts w:ascii="Times New Roman" w:hAnsi="Times New Roman" w:cs="Times New Roman"/>
          <w:b/>
          <w:bCs/>
        </w:rPr>
        <w:t>9.18</w:t>
      </w:r>
      <w:r w:rsidRPr="00B84389">
        <w:rPr>
          <w:rFonts w:ascii="Times New Roman" w:hAnsi="Times New Roman" w:cs="Times New Roman"/>
        </w:rPr>
        <w:t xml:space="preserve"> O fornecedor será selecionado por meio da realização de procedimento de LICITAÇÃO, na modalidade PREGÃO ELETRONICO</w:t>
      </w:r>
      <w:r w:rsidRPr="00B84389">
        <w:rPr>
          <w:rFonts w:ascii="Times New Roman" w:hAnsi="Times New Roman" w:cs="Times New Roman"/>
          <w:color w:val="000000"/>
        </w:rPr>
        <w:t>, com critério de julgamento MENOR PREÇO POR LOTE.</w:t>
      </w:r>
      <w:r w:rsidRPr="00B84389">
        <w:rPr>
          <w:rFonts w:ascii="Times New Roman" w:hAnsi="Times New Roman" w:cs="Times New Roman"/>
        </w:rPr>
        <w:t xml:space="preserve"> </w:t>
      </w:r>
    </w:p>
    <w:p w14:paraId="234C77E9" w14:textId="77777777" w:rsidR="00B307DB" w:rsidRPr="00B84389" w:rsidRDefault="00B307DB" w:rsidP="00B307DB">
      <w:pPr>
        <w:spacing w:after="0" w:line="240" w:lineRule="auto"/>
        <w:ind w:left="426" w:right="-568"/>
        <w:jc w:val="both"/>
        <w:rPr>
          <w:rFonts w:ascii="Times New Roman" w:hAnsi="Times New Roman" w:cs="Times New Roman"/>
          <w:b/>
        </w:rPr>
      </w:pPr>
    </w:p>
    <w:p w14:paraId="47A0ED20" w14:textId="77777777" w:rsidR="00B307DB" w:rsidRPr="00B84389" w:rsidRDefault="00B307DB" w:rsidP="00B307DB">
      <w:pPr>
        <w:spacing w:after="0" w:line="240" w:lineRule="auto"/>
        <w:ind w:right="-568"/>
        <w:jc w:val="both"/>
        <w:rPr>
          <w:rFonts w:ascii="Times New Roman" w:hAnsi="Times New Roman" w:cs="Times New Roman"/>
          <w:b/>
        </w:rPr>
      </w:pPr>
      <w:r w:rsidRPr="00B84389">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3B5C96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lastRenderedPageBreak/>
        <w:t>10.1</w:t>
      </w:r>
      <w:r w:rsidRPr="00B84389">
        <w:rPr>
          <w:rFonts w:ascii="Times New Roman" w:hAnsi="Times New Roman" w:cs="Times New Roman"/>
        </w:rPr>
        <w:t xml:space="preserve"> Os valores máximos permitidos pela contratação, são aqueles estabelecidos nas pesquisas de preços que tiveram como base orçamentos de fornecedores do ramo e contratações similares formalizadas por outros órgãos da administração pública. Conforme critérios definidos na PORTARIA PGR/MPU Nº 100, DE 31 DE MAIO DE 2023, que regulamenta o procedimento administrativo para realização de pesquisa de preços para aquisição de bens e contratação de serviços em geral, no âmbito do Ministério Público da União, com supedâneo na INSTRUÇÃO NORMATIVA STJ/GDG N. 4 DE 13 DE FEVEREIRO DE 2023, que disciplina as condições preliminares de contratações de bens e serviços regidas pela Lei n. 14.133, de 1º de abril de 2021, no Superior Tribunal de Justiça, Seção IX, cujos dispositivos indicam como parâmetro de pesquisa, com destaque, adotados de forma combinada ou não, destacados no §1º do art. 23 da Lei nº 14.133/2021, cujos dispositivos indicam como parâmetro de pesquisa, a busca de contratações similares de outros entes públicos.</w:t>
      </w:r>
    </w:p>
    <w:p w14:paraId="6FFC5A05"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10.2</w:t>
      </w:r>
      <w:r w:rsidRPr="00B84389">
        <w:rPr>
          <w:rFonts w:ascii="Times New Roman" w:hAnsi="Times New Roman" w:cs="Times New Roman"/>
        </w:rPr>
        <w:t xml:space="preserve"> Só serão cobradas as horas das customizações (ou melhorias), solicitadas e autorizadas pela CONTRATANTE nos limites estabelecidos neste Termo de Referência, no período de 12 meses, que corresponde a vigência do contrato, e cujo valor não poderá ultrapassar o definido neste processo de licitação.</w:t>
      </w:r>
    </w:p>
    <w:p w14:paraId="3F16575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10.3</w:t>
      </w:r>
      <w:r w:rsidRPr="00B84389">
        <w:rPr>
          <w:rFonts w:ascii="Times New Roman" w:hAnsi="Times New Roman" w:cs="Times New Roman"/>
        </w:rPr>
        <w:t xml:space="preserve"> O quantitativo de horas estabelecido não representa compromisso de contratação, sendo considerado apenas como limite. A CONTRATANTE não é obrigada a solicitar qualquer quantidade de horas de customizações (ou melhorias), manutenções evolutivas, consultorias, treinamentos e capacitações;</w:t>
      </w:r>
    </w:p>
    <w:p w14:paraId="5721A99A"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10.4</w:t>
      </w:r>
      <w:r w:rsidRPr="00B84389">
        <w:rPr>
          <w:rFonts w:ascii="Times New Roman" w:hAnsi="Times New Roman" w:cs="Times New Roman"/>
        </w:rPr>
        <w:t xml:space="preserve"> Não deverá ser cobrada hora técnica para deslocamentos, reuniões para ajuste de cronogramas e planejamentos, reuniões de avaliações da execução dos serviços contratados e outras reuniões que não estejam contabilizadas.</w:t>
      </w:r>
    </w:p>
    <w:p w14:paraId="41746298" w14:textId="77777777" w:rsidR="00B307DB" w:rsidRPr="00B84389" w:rsidRDefault="00B307DB" w:rsidP="00B307DB">
      <w:pPr>
        <w:spacing w:after="0" w:line="240" w:lineRule="auto"/>
        <w:ind w:right="-568"/>
        <w:jc w:val="both"/>
        <w:rPr>
          <w:rFonts w:ascii="Times New Roman" w:hAnsi="Times New Roman" w:cs="Times New Roman"/>
          <w:highlight w:val="yellow"/>
        </w:rPr>
      </w:pPr>
      <w:r w:rsidRPr="00B84389">
        <w:rPr>
          <w:rFonts w:ascii="Times New Roman" w:hAnsi="Times New Roman" w:cs="Times New Roman"/>
          <w:b/>
        </w:rPr>
        <w:t>10.5</w:t>
      </w:r>
      <w:r w:rsidRPr="00B84389">
        <w:rPr>
          <w:rFonts w:ascii="Times New Roman" w:hAnsi="Times New Roman" w:cs="Times New Roman"/>
        </w:rPr>
        <w:t xml:space="preserve"> O pagamento será proporcional à execução do contrato, levando em conta as penalidades e multas estabelecidas neste documento;</w:t>
      </w:r>
    </w:p>
    <w:p w14:paraId="28F73F6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 xml:space="preserve">10.6 </w:t>
      </w:r>
      <w:r w:rsidRPr="00B84389">
        <w:rPr>
          <w:rFonts w:ascii="Times New Roman" w:hAnsi="Times New Roman" w:cs="Times New Roman"/>
        </w:rPr>
        <w:t>Os preços unitários, as memorias de cálculos, e todos os documentos referencias se encontram em planilha especifica de pesquisa de preços.</w:t>
      </w:r>
    </w:p>
    <w:p w14:paraId="3048389F" w14:textId="77777777" w:rsidR="00B307DB" w:rsidRPr="00B84389" w:rsidRDefault="00B307DB" w:rsidP="00B307DB">
      <w:pPr>
        <w:spacing w:after="0" w:line="240" w:lineRule="auto"/>
        <w:ind w:right="-568"/>
        <w:jc w:val="both"/>
        <w:rPr>
          <w:rFonts w:ascii="Times New Roman" w:hAnsi="Times New Roman" w:cs="Times New Roman"/>
        </w:rPr>
      </w:pPr>
    </w:p>
    <w:p w14:paraId="5DB0FC4F" w14:textId="77777777" w:rsidR="00B307DB" w:rsidRPr="00B84389" w:rsidRDefault="00B307DB" w:rsidP="00B307DB">
      <w:pPr>
        <w:spacing w:after="0" w:line="240" w:lineRule="auto"/>
        <w:ind w:right="-568"/>
        <w:jc w:val="both"/>
        <w:rPr>
          <w:rFonts w:ascii="Times New Roman" w:hAnsi="Times New Roman" w:cs="Times New Roman"/>
          <w:b/>
        </w:rPr>
      </w:pPr>
      <w:r w:rsidRPr="00B84389">
        <w:rPr>
          <w:rFonts w:ascii="Times New Roman" w:hAnsi="Times New Roman" w:cs="Times New Roman"/>
          <w:b/>
        </w:rPr>
        <w:t>11 Adequação orçamentária</w:t>
      </w:r>
    </w:p>
    <w:p w14:paraId="69CC46A7" w14:textId="77777777" w:rsidR="00B307DB" w:rsidRPr="00B84389" w:rsidRDefault="00B307DB" w:rsidP="00B307DB">
      <w:pPr>
        <w:spacing w:after="0" w:line="240" w:lineRule="auto"/>
        <w:ind w:right="-568"/>
        <w:jc w:val="both"/>
        <w:rPr>
          <w:rFonts w:ascii="Times New Roman" w:hAnsi="Times New Roman" w:cs="Times New Roman"/>
          <w:b/>
        </w:rPr>
      </w:pPr>
      <w:r w:rsidRPr="00B84389">
        <w:rPr>
          <w:rFonts w:ascii="Times New Roman" w:hAnsi="Times New Roman" w:cs="Times New Roman"/>
          <w:b/>
        </w:rPr>
        <w:t>11.1</w:t>
      </w:r>
      <w:r w:rsidRPr="00B84389">
        <w:rPr>
          <w:rFonts w:ascii="Times New Roman" w:hAnsi="Times New Roman" w:cs="Times New Roman"/>
        </w:rPr>
        <w:t xml:space="preserve"> As despesas decorrentes do objeto da presente licitação correrão pelas seguintes dotações orçamentárias:</w:t>
      </w:r>
    </w:p>
    <w:tbl>
      <w:tblPr>
        <w:tblW w:w="9067"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B307DB" w:rsidRPr="00B84389" w14:paraId="717ED42C"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BF5A58" w14:textId="77777777" w:rsidR="00B307DB" w:rsidRPr="00B84389" w:rsidRDefault="00B307DB" w:rsidP="00B307DB">
            <w:pPr>
              <w:spacing w:after="0" w:line="240" w:lineRule="auto"/>
              <w:ind w:right="-568"/>
              <w:jc w:val="both"/>
              <w:rPr>
                <w:rFonts w:ascii="Times New Roman" w:hAnsi="Times New Roman" w:cs="Times New Roman"/>
                <w:iCs/>
              </w:rPr>
            </w:pPr>
            <w:r w:rsidRPr="00B84389">
              <w:rPr>
                <w:rFonts w:ascii="Times New Roman" w:hAnsi="Times New Roman" w:cs="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F9CE77" w14:textId="77777777" w:rsidR="00B307DB" w:rsidRPr="00B84389" w:rsidRDefault="00B307DB" w:rsidP="00B307DB">
            <w:pPr>
              <w:spacing w:after="0" w:line="240" w:lineRule="auto"/>
              <w:ind w:right="-568"/>
              <w:jc w:val="both"/>
              <w:rPr>
                <w:rFonts w:ascii="Times New Roman" w:hAnsi="Times New Roman" w:cs="Times New Roman"/>
                <w:iCs/>
              </w:rPr>
            </w:pPr>
            <w:r w:rsidRPr="00B84389">
              <w:rPr>
                <w:rFonts w:ascii="Times New Roman" w:hAnsi="Times New Roman" w:cs="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7285AC" w14:textId="77777777" w:rsidR="00B307DB" w:rsidRPr="00B84389" w:rsidRDefault="00B307DB" w:rsidP="00B307DB">
            <w:pPr>
              <w:spacing w:after="0" w:line="240" w:lineRule="auto"/>
              <w:ind w:left="79" w:right="-568"/>
              <w:jc w:val="both"/>
              <w:rPr>
                <w:rFonts w:ascii="Times New Roman" w:hAnsi="Times New Roman" w:cs="Times New Roman"/>
                <w:iCs/>
              </w:rPr>
            </w:pPr>
            <w:r w:rsidRPr="00B84389">
              <w:rPr>
                <w:rFonts w:ascii="Times New Roman" w:hAnsi="Times New Roman" w:cs="Times New Roman"/>
                <w:b/>
                <w:iCs/>
              </w:rPr>
              <w:t xml:space="preserve">CÓDIGO </w:t>
            </w:r>
          </w:p>
        </w:tc>
      </w:tr>
      <w:tr w:rsidR="00B307DB" w:rsidRPr="00B84389" w14:paraId="53CEDFCF"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9EA122" w14:textId="77777777" w:rsidR="00B307DB" w:rsidRPr="00B84389" w:rsidRDefault="00B307DB" w:rsidP="00B307DB">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9866A6"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A6CB38" w14:textId="77777777" w:rsidR="00B307DB" w:rsidRPr="00B84389" w:rsidRDefault="00B307DB" w:rsidP="00B307DB">
            <w:pPr>
              <w:spacing w:after="0" w:line="240" w:lineRule="auto"/>
              <w:ind w:right="119"/>
              <w:jc w:val="right"/>
              <w:rPr>
                <w:rFonts w:ascii="Times New Roman" w:hAnsi="Times New Roman" w:cs="Times New Roman"/>
              </w:rPr>
            </w:pPr>
            <w:r w:rsidRPr="00B84389">
              <w:rPr>
                <w:rFonts w:ascii="Times New Roman" w:hAnsi="Times New Roman" w:cs="Times New Roman"/>
              </w:rPr>
              <w:t>04</w:t>
            </w:r>
          </w:p>
        </w:tc>
      </w:tr>
      <w:tr w:rsidR="00B307DB" w:rsidRPr="00B84389" w14:paraId="11B61EDC"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6CF872" w14:textId="77777777" w:rsidR="00B307DB" w:rsidRPr="00B84389" w:rsidRDefault="00B307DB" w:rsidP="00B307DB">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83FBA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Dpto. De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598E56" w14:textId="77777777" w:rsidR="00B307DB" w:rsidRPr="00B84389" w:rsidRDefault="00B307DB" w:rsidP="00B307DB">
            <w:pPr>
              <w:spacing w:after="0" w:line="240" w:lineRule="auto"/>
              <w:ind w:right="119"/>
              <w:jc w:val="right"/>
              <w:rPr>
                <w:rFonts w:ascii="Times New Roman" w:hAnsi="Times New Roman" w:cs="Times New Roman"/>
              </w:rPr>
            </w:pPr>
            <w:r w:rsidRPr="00B84389">
              <w:rPr>
                <w:rFonts w:ascii="Times New Roman" w:hAnsi="Times New Roman" w:cs="Times New Roman"/>
              </w:rPr>
              <w:t>01</w:t>
            </w:r>
          </w:p>
        </w:tc>
      </w:tr>
      <w:tr w:rsidR="00B307DB" w:rsidRPr="00B84389" w14:paraId="4AD135A7"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CA9872" w14:textId="77777777" w:rsidR="00B307DB" w:rsidRPr="00B84389" w:rsidRDefault="00B307DB" w:rsidP="00B307DB">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46FB9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Administração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2DE5AF" w14:textId="77777777" w:rsidR="00B307DB" w:rsidRPr="00B84389" w:rsidRDefault="00B307DB" w:rsidP="00B307DB">
            <w:pPr>
              <w:spacing w:after="0" w:line="240" w:lineRule="auto"/>
              <w:ind w:right="119"/>
              <w:jc w:val="right"/>
              <w:rPr>
                <w:rFonts w:ascii="Times New Roman" w:hAnsi="Times New Roman" w:cs="Times New Roman"/>
              </w:rPr>
            </w:pPr>
            <w:r w:rsidRPr="00B84389">
              <w:rPr>
                <w:rFonts w:ascii="Times New Roman" w:hAnsi="Times New Roman" w:cs="Times New Roman"/>
              </w:rPr>
              <w:t>04</w:t>
            </w:r>
          </w:p>
        </w:tc>
      </w:tr>
      <w:tr w:rsidR="00B307DB" w:rsidRPr="00B84389" w14:paraId="71935F9D"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042D28" w14:textId="77777777" w:rsidR="00B307DB" w:rsidRPr="00B84389" w:rsidRDefault="00B307DB" w:rsidP="00B307DB">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4545D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9497E1" w14:textId="77777777" w:rsidR="00B307DB" w:rsidRPr="00B84389" w:rsidRDefault="00B307DB" w:rsidP="00B307DB">
            <w:pPr>
              <w:spacing w:after="0" w:line="240" w:lineRule="auto"/>
              <w:ind w:right="119"/>
              <w:jc w:val="right"/>
              <w:rPr>
                <w:rFonts w:ascii="Times New Roman" w:hAnsi="Times New Roman" w:cs="Times New Roman"/>
              </w:rPr>
            </w:pPr>
            <w:r w:rsidRPr="00B84389">
              <w:rPr>
                <w:rFonts w:ascii="Times New Roman" w:hAnsi="Times New Roman" w:cs="Times New Roman"/>
              </w:rPr>
              <w:t>122</w:t>
            </w:r>
          </w:p>
        </w:tc>
      </w:tr>
      <w:tr w:rsidR="00B307DB" w:rsidRPr="00B84389" w14:paraId="5A745E94" w14:textId="77777777" w:rsidTr="00B307DB">
        <w:trPr>
          <w:trHeight w:val="33"/>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C7F1D0" w14:textId="77777777" w:rsidR="00B307DB" w:rsidRPr="00B84389" w:rsidRDefault="00B307DB" w:rsidP="00B307DB">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948211"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4EA748" w14:textId="77777777" w:rsidR="00B307DB" w:rsidRPr="00B84389" w:rsidRDefault="00B307DB" w:rsidP="00B307DB">
            <w:pPr>
              <w:spacing w:after="0" w:line="240" w:lineRule="auto"/>
              <w:ind w:right="119"/>
              <w:jc w:val="right"/>
              <w:rPr>
                <w:rFonts w:ascii="Times New Roman" w:hAnsi="Times New Roman" w:cs="Times New Roman"/>
              </w:rPr>
            </w:pPr>
            <w:r w:rsidRPr="00B84389">
              <w:rPr>
                <w:rFonts w:ascii="Times New Roman" w:hAnsi="Times New Roman" w:cs="Times New Roman"/>
              </w:rPr>
              <w:t>0003</w:t>
            </w:r>
          </w:p>
        </w:tc>
      </w:tr>
      <w:tr w:rsidR="00B307DB" w:rsidRPr="00B84389" w14:paraId="726CB2D5"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5D437C" w14:textId="77777777" w:rsidR="00B307DB" w:rsidRPr="00B84389" w:rsidRDefault="00B307DB" w:rsidP="00B307DB">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F2BF38"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9E92A6" w14:textId="77777777" w:rsidR="00B307DB" w:rsidRPr="00B84389" w:rsidRDefault="00B307DB" w:rsidP="00B307DB">
            <w:pPr>
              <w:spacing w:after="0" w:line="240" w:lineRule="auto"/>
              <w:ind w:right="119"/>
              <w:jc w:val="right"/>
              <w:rPr>
                <w:rFonts w:ascii="Times New Roman" w:hAnsi="Times New Roman" w:cs="Times New Roman"/>
              </w:rPr>
            </w:pPr>
            <w:r w:rsidRPr="00B84389">
              <w:rPr>
                <w:rFonts w:ascii="Times New Roman" w:hAnsi="Times New Roman" w:cs="Times New Roman"/>
              </w:rPr>
              <w:t>2.003</w:t>
            </w:r>
          </w:p>
        </w:tc>
      </w:tr>
      <w:tr w:rsidR="00B307DB" w:rsidRPr="00B84389" w14:paraId="504F678F"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158EFD" w14:textId="77777777" w:rsidR="00B307DB" w:rsidRPr="00B84389" w:rsidRDefault="00B307DB" w:rsidP="00B307DB">
            <w:pPr>
              <w:spacing w:after="0" w:line="240" w:lineRule="auto"/>
              <w:ind w:right="104"/>
              <w:jc w:val="right"/>
              <w:rPr>
                <w:rFonts w:ascii="Times New Roman" w:hAnsi="Times New Roman" w:cs="Times New Roman"/>
              </w:rPr>
            </w:pPr>
            <w:r w:rsidRPr="00B84389">
              <w:rPr>
                <w:rFonts w:ascii="Times New Roman" w:hAnsi="Times New Roman" w:cs="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1B5243"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2F795A" w14:textId="77777777" w:rsidR="00B307DB" w:rsidRPr="00B84389" w:rsidRDefault="00B307DB" w:rsidP="00B307DB">
            <w:pPr>
              <w:spacing w:after="0" w:line="240" w:lineRule="auto"/>
              <w:ind w:right="119"/>
              <w:jc w:val="right"/>
              <w:rPr>
                <w:rFonts w:ascii="Times New Roman" w:hAnsi="Times New Roman" w:cs="Times New Roman"/>
              </w:rPr>
            </w:pPr>
            <w:r w:rsidRPr="00B84389">
              <w:rPr>
                <w:rFonts w:ascii="Times New Roman" w:hAnsi="Times New Roman" w:cs="Times New Roman"/>
              </w:rPr>
              <w:t>1500</w:t>
            </w:r>
          </w:p>
        </w:tc>
      </w:tr>
      <w:tr w:rsidR="00B307DB" w:rsidRPr="00B84389" w14:paraId="11F3936C"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144A827"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b/>
              </w:rPr>
              <w:t>II – CARACTERIZAÇÃO DO PROJETO/ATIVIDADE</w:t>
            </w:r>
          </w:p>
        </w:tc>
      </w:tr>
      <w:tr w:rsidR="00B307DB" w:rsidRPr="00B84389" w14:paraId="585C0CC0"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86B5300" w14:textId="77777777" w:rsidR="00B307DB" w:rsidRPr="00B84389" w:rsidRDefault="00B307DB" w:rsidP="00B307DB">
            <w:pPr>
              <w:spacing w:after="0" w:line="240" w:lineRule="auto"/>
              <w:ind w:right="-568"/>
              <w:jc w:val="both"/>
              <w:rPr>
                <w:rFonts w:ascii="Times New Roman" w:hAnsi="Times New Roman" w:cs="Times New Roman"/>
              </w:rPr>
            </w:pPr>
            <w:r w:rsidRPr="00B84389">
              <w:rPr>
                <w:rFonts w:ascii="Times New Roman" w:hAnsi="Times New Roman" w:cs="Times New Roman"/>
              </w:rPr>
              <w:t>3.3.90.40.01.00.00 – LOCAÇÃO DE EQUIPAMEMTOS E SOFTWARES</w:t>
            </w:r>
          </w:p>
        </w:tc>
      </w:tr>
    </w:tbl>
    <w:p w14:paraId="5E621537" w14:textId="77777777" w:rsidR="00B307DB" w:rsidRPr="00B84389" w:rsidRDefault="00B307DB" w:rsidP="00B307DB">
      <w:pPr>
        <w:spacing w:after="0" w:line="240" w:lineRule="auto"/>
        <w:ind w:right="-568"/>
        <w:jc w:val="both"/>
        <w:rPr>
          <w:rFonts w:ascii="Times New Roman" w:hAnsi="Times New Roman" w:cs="Times New Roman"/>
          <w:b/>
        </w:rPr>
      </w:pPr>
    </w:p>
    <w:tbl>
      <w:tblPr>
        <w:tblStyle w:val="TableGrid"/>
        <w:tblW w:w="9067" w:type="dxa"/>
        <w:tblInd w:w="0" w:type="dxa"/>
        <w:tblLayout w:type="fixed"/>
        <w:tblCellMar>
          <w:top w:w="13" w:type="dxa"/>
          <w:left w:w="70" w:type="dxa"/>
          <w:right w:w="20" w:type="dxa"/>
        </w:tblCellMar>
        <w:tblLook w:val="04A0" w:firstRow="1" w:lastRow="0" w:firstColumn="1" w:lastColumn="0" w:noHBand="0" w:noVBand="1"/>
      </w:tblPr>
      <w:tblGrid>
        <w:gridCol w:w="2263"/>
        <w:gridCol w:w="5237"/>
        <w:gridCol w:w="1567"/>
      </w:tblGrid>
      <w:tr w:rsidR="00B307DB" w:rsidRPr="00B84389" w14:paraId="5BCF0E0A" w14:textId="77777777" w:rsidTr="00B307DB">
        <w:trPr>
          <w:trHeight w:val="239"/>
        </w:trPr>
        <w:tc>
          <w:tcPr>
            <w:tcW w:w="2263" w:type="dxa"/>
            <w:tcBorders>
              <w:top w:val="single" w:sz="4" w:space="0" w:color="000000"/>
              <w:left w:val="single" w:sz="4" w:space="0" w:color="000000"/>
              <w:bottom w:val="single" w:sz="4" w:space="0" w:color="000000"/>
              <w:right w:val="single" w:sz="4" w:space="0" w:color="000000"/>
            </w:tcBorders>
          </w:tcPr>
          <w:p w14:paraId="73D4B54C" w14:textId="77777777" w:rsidR="00B307DB" w:rsidRPr="00B84389" w:rsidRDefault="00B307DB" w:rsidP="00B307DB">
            <w:pPr>
              <w:jc w:val="center"/>
              <w:rPr>
                <w:rFonts w:ascii="Times New Roman" w:hAnsi="Times New Roman"/>
              </w:rPr>
            </w:pPr>
            <w:r w:rsidRPr="00B84389">
              <w:rPr>
                <w:rFonts w:ascii="Times New Roman" w:hAnsi="Times New Roman"/>
                <w:b/>
                <w:i/>
              </w:rPr>
              <w:t xml:space="preserve">I – CLASSIFICAÇÃO </w:t>
            </w:r>
          </w:p>
        </w:tc>
        <w:tc>
          <w:tcPr>
            <w:tcW w:w="5237" w:type="dxa"/>
            <w:tcBorders>
              <w:top w:val="single" w:sz="4" w:space="0" w:color="000000"/>
              <w:left w:val="single" w:sz="4" w:space="0" w:color="000000"/>
              <w:bottom w:val="single" w:sz="4" w:space="0" w:color="000000"/>
              <w:right w:val="single" w:sz="4" w:space="0" w:color="000000"/>
            </w:tcBorders>
          </w:tcPr>
          <w:p w14:paraId="423C080A" w14:textId="77777777" w:rsidR="00B307DB" w:rsidRPr="00B84389" w:rsidRDefault="00B307DB" w:rsidP="00B307DB">
            <w:pPr>
              <w:ind w:right="-568"/>
              <w:jc w:val="center"/>
              <w:rPr>
                <w:rFonts w:ascii="Times New Roman" w:hAnsi="Times New Roman"/>
              </w:rPr>
            </w:pPr>
            <w:r w:rsidRPr="00B84389">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tcPr>
          <w:p w14:paraId="140D42F9" w14:textId="77777777" w:rsidR="00B307DB" w:rsidRPr="00B84389" w:rsidRDefault="00B307DB" w:rsidP="00B307DB">
            <w:pPr>
              <w:ind w:left="79" w:right="-568"/>
              <w:rPr>
                <w:rFonts w:ascii="Times New Roman" w:hAnsi="Times New Roman"/>
              </w:rPr>
            </w:pPr>
            <w:r w:rsidRPr="00B84389">
              <w:rPr>
                <w:rFonts w:ascii="Times New Roman" w:hAnsi="Times New Roman"/>
                <w:b/>
                <w:i/>
              </w:rPr>
              <w:t xml:space="preserve">CÓDIGO </w:t>
            </w:r>
          </w:p>
        </w:tc>
      </w:tr>
      <w:tr w:rsidR="00B307DB" w:rsidRPr="00B84389" w14:paraId="0AF1A83B" w14:textId="77777777" w:rsidTr="00B307DB">
        <w:trPr>
          <w:trHeight w:val="239"/>
        </w:trPr>
        <w:tc>
          <w:tcPr>
            <w:tcW w:w="2263" w:type="dxa"/>
            <w:tcBorders>
              <w:top w:val="single" w:sz="4" w:space="0" w:color="000000"/>
              <w:left w:val="single" w:sz="4" w:space="0" w:color="000000"/>
              <w:bottom w:val="single" w:sz="4" w:space="0" w:color="000000"/>
              <w:right w:val="single" w:sz="4" w:space="0" w:color="000000"/>
            </w:tcBorders>
          </w:tcPr>
          <w:p w14:paraId="315A8FB1" w14:textId="77777777" w:rsidR="00B307DB" w:rsidRPr="00B84389" w:rsidRDefault="00B307DB" w:rsidP="00B307DB">
            <w:pPr>
              <w:jc w:val="right"/>
              <w:rPr>
                <w:rFonts w:ascii="Times New Roman" w:hAnsi="Times New Roman"/>
              </w:rPr>
            </w:pPr>
            <w:r w:rsidRPr="00B84389">
              <w:rPr>
                <w:rFonts w:ascii="Times New Roman" w:hAnsi="Times New Roman"/>
              </w:rPr>
              <w:t xml:space="preserve">Órgão </w:t>
            </w:r>
          </w:p>
        </w:tc>
        <w:tc>
          <w:tcPr>
            <w:tcW w:w="5237" w:type="dxa"/>
            <w:tcBorders>
              <w:top w:val="single" w:sz="4" w:space="0" w:color="000000"/>
              <w:left w:val="single" w:sz="4" w:space="0" w:color="000000"/>
              <w:bottom w:val="single" w:sz="4" w:space="0" w:color="000000"/>
              <w:right w:val="single" w:sz="4" w:space="0" w:color="000000"/>
            </w:tcBorders>
          </w:tcPr>
          <w:p w14:paraId="7A474F04" w14:textId="77777777" w:rsidR="00B307DB" w:rsidRPr="00B84389" w:rsidRDefault="00B307DB" w:rsidP="00B307DB">
            <w:pPr>
              <w:ind w:right="-568"/>
              <w:rPr>
                <w:rFonts w:ascii="Times New Roman" w:hAnsi="Times New Roman"/>
              </w:rPr>
            </w:pPr>
            <w:r w:rsidRPr="00B84389">
              <w:rPr>
                <w:rFonts w:ascii="Times New Roman" w:hAnsi="Times New Roman"/>
              </w:rPr>
              <w:t>Câmara  Municipal de Vereadores</w:t>
            </w:r>
          </w:p>
        </w:tc>
        <w:tc>
          <w:tcPr>
            <w:tcW w:w="1567" w:type="dxa"/>
            <w:tcBorders>
              <w:top w:val="single" w:sz="4" w:space="0" w:color="000000"/>
              <w:left w:val="single" w:sz="4" w:space="0" w:color="000000"/>
              <w:bottom w:val="single" w:sz="4" w:space="0" w:color="000000"/>
              <w:right w:val="single" w:sz="4" w:space="0" w:color="000000"/>
            </w:tcBorders>
          </w:tcPr>
          <w:p w14:paraId="1CAF44DE" w14:textId="77777777" w:rsidR="00B307DB" w:rsidRPr="00B84389" w:rsidRDefault="00B307DB" w:rsidP="00B307DB">
            <w:pPr>
              <w:ind w:right="-22"/>
              <w:jc w:val="right"/>
              <w:rPr>
                <w:rFonts w:ascii="Times New Roman" w:hAnsi="Times New Roman"/>
              </w:rPr>
            </w:pPr>
            <w:r w:rsidRPr="00B84389">
              <w:rPr>
                <w:rFonts w:ascii="Times New Roman" w:hAnsi="Times New Roman"/>
              </w:rPr>
              <w:t>01</w:t>
            </w:r>
          </w:p>
        </w:tc>
      </w:tr>
      <w:tr w:rsidR="00B307DB" w:rsidRPr="00B84389" w14:paraId="0739D596" w14:textId="77777777" w:rsidTr="00B307DB">
        <w:trPr>
          <w:trHeight w:val="239"/>
        </w:trPr>
        <w:tc>
          <w:tcPr>
            <w:tcW w:w="2263" w:type="dxa"/>
            <w:tcBorders>
              <w:top w:val="single" w:sz="4" w:space="0" w:color="000000"/>
              <w:left w:val="single" w:sz="4" w:space="0" w:color="000000"/>
              <w:bottom w:val="single" w:sz="4" w:space="0" w:color="000000"/>
              <w:right w:val="single" w:sz="4" w:space="0" w:color="000000"/>
            </w:tcBorders>
          </w:tcPr>
          <w:p w14:paraId="73CFA005" w14:textId="77777777" w:rsidR="00B307DB" w:rsidRPr="00B84389" w:rsidRDefault="00B307DB" w:rsidP="00B307DB">
            <w:pPr>
              <w:jc w:val="right"/>
              <w:rPr>
                <w:rFonts w:ascii="Times New Roman" w:hAnsi="Times New Roman"/>
              </w:rPr>
            </w:pPr>
            <w:r w:rsidRPr="00B84389">
              <w:rPr>
                <w:rFonts w:ascii="Times New Roman" w:hAnsi="Times New Roman"/>
              </w:rPr>
              <w:t xml:space="preserve">Unidade Orçamento </w:t>
            </w:r>
          </w:p>
        </w:tc>
        <w:tc>
          <w:tcPr>
            <w:tcW w:w="5237" w:type="dxa"/>
            <w:tcBorders>
              <w:top w:val="single" w:sz="4" w:space="0" w:color="000000"/>
              <w:left w:val="single" w:sz="4" w:space="0" w:color="000000"/>
              <w:bottom w:val="single" w:sz="4" w:space="0" w:color="000000"/>
              <w:right w:val="single" w:sz="4" w:space="0" w:color="000000"/>
            </w:tcBorders>
          </w:tcPr>
          <w:p w14:paraId="7F3ACFAE" w14:textId="77777777" w:rsidR="00B307DB" w:rsidRPr="00B84389" w:rsidRDefault="00B307DB" w:rsidP="00B307DB">
            <w:pPr>
              <w:ind w:right="-568"/>
              <w:rPr>
                <w:rFonts w:ascii="Times New Roman" w:hAnsi="Times New Roman"/>
              </w:rPr>
            </w:pPr>
            <w:r w:rsidRPr="00B84389">
              <w:rPr>
                <w:rFonts w:ascii="Times New Roman" w:hAnsi="Times New Roman"/>
              </w:rPr>
              <w:t>Câmara Municipal de Vereadores</w:t>
            </w:r>
          </w:p>
        </w:tc>
        <w:tc>
          <w:tcPr>
            <w:tcW w:w="1567" w:type="dxa"/>
            <w:tcBorders>
              <w:top w:val="single" w:sz="4" w:space="0" w:color="000000"/>
              <w:left w:val="single" w:sz="4" w:space="0" w:color="000000"/>
              <w:bottom w:val="single" w:sz="4" w:space="0" w:color="000000"/>
              <w:right w:val="single" w:sz="4" w:space="0" w:color="000000"/>
            </w:tcBorders>
          </w:tcPr>
          <w:p w14:paraId="0E3E4DC2" w14:textId="77777777" w:rsidR="00B307DB" w:rsidRPr="00B84389" w:rsidRDefault="00B307DB" w:rsidP="00B307DB">
            <w:pPr>
              <w:jc w:val="right"/>
              <w:rPr>
                <w:rFonts w:ascii="Times New Roman" w:hAnsi="Times New Roman"/>
              </w:rPr>
            </w:pPr>
            <w:r w:rsidRPr="00B84389">
              <w:rPr>
                <w:rFonts w:ascii="Times New Roman" w:hAnsi="Times New Roman"/>
              </w:rPr>
              <w:t>01</w:t>
            </w:r>
          </w:p>
        </w:tc>
      </w:tr>
      <w:tr w:rsidR="00B307DB" w:rsidRPr="00B84389" w14:paraId="4C8B717D" w14:textId="77777777" w:rsidTr="00B307DB">
        <w:trPr>
          <w:trHeight w:val="239"/>
        </w:trPr>
        <w:tc>
          <w:tcPr>
            <w:tcW w:w="2263" w:type="dxa"/>
            <w:tcBorders>
              <w:top w:val="single" w:sz="4" w:space="0" w:color="000000"/>
              <w:left w:val="single" w:sz="4" w:space="0" w:color="000000"/>
              <w:bottom w:val="single" w:sz="4" w:space="0" w:color="000000"/>
              <w:right w:val="single" w:sz="4" w:space="0" w:color="000000"/>
            </w:tcBorders>
          </w:tcPr>
          <w:p w14:paraId="50C38141" w14:textId="77777777" w:rsidR="00B307DB" w:rsidRPr="00B84389" w:rsidRDefault="00B307DB" w:rsidP="00B307DB">
            <w:pPr>
              <w:jc w:val="right"/>
              <w:rPr>
                <w:rFonts w:ascii="Times New Roman" w:hAnsi="Times New Roman"/>
              </w:rPr>
            </w:pPr>
            <w:r w:rsidRPr="00B84389">
              <w:rPr>
                <w:rFonts w:ascii="Times New Roman" w:hAnsi="Times New Roman"/>
              </w:rPr>
              <w:t xml:space="preserve">Função </w:t>
            </w:r>
          </w:p>
        </w:tc>
        <w:tc>
          <w:tcPr>
            <w:tcW w:w="5237" w:type="dxa"/>
            <w:tcBorders>
              <w:top w:val="single" w:sz="4" w:space="0" w:color="000000"/>
              <w:left w:val="single" w:sz="4" w:space="0" w:color="000000"/>
              <w:bottom w:val="single" w:sz="4" w:space="0" w:color="000000"/>
              <w:right w:val="single" w:sz="4" w:space="0" w:color="000000"/>
            </w:tcBorders>
          </w:tcPr>
          <w:p w14:paraId="7742896E" w14:textId="77777777" w:rsidR="00B307DB" w:rsidRPr="00B84389" w:rsidRDefault="00B307DB" w:rsidP="00B307DB">
            <w:pPr>
              <w:ind w:right="-568"/>
              <w:rPr>
                <w:rFonts w:ascii="Times New Roman" w:hAnsi="Times New Roman"/>
              </w:rPr>
            </w:pPr>
            <w:r w:rsidRPr="00B84389">
              <w:rPr>
                <w:rFonts w:ascii="Times New Roman" w:hAnsi="Times New Roman"/>
              </w:rPr>
              <w:t>Legislativa</w:t>
            </w:r>
          </w:p>
        </w:tc>
        <w:tc>
          <w:tcPr>
            <w:tcW w:w="1567" w:type="dxa"/>
            <w:tcBorders>
              <w:top w:val="single" w:sz="4" w:space="0" w:color="000000"/>
              <w:left w:val="single" w:sz="4" w:space="0" w:color="000000"/>
              <w:bottom w:val="single" w:sz="4" w:space="0" w:color="000000"/>
              <w:right w:val="single" w:sz="4" w:space="0" w:color="000000"/>
            </w:tcBorders>
          </w:tcPr>
          <w:p w14:paraId="4E9F339A" w14:textId="77777777" w:rsidR="00B307DB" w:rsidRPr="00B84389" w:rsidRDefault="00B307DB" w:rsidP="00B307DB">
            <w:pPr>
              <w:jc w:val="right"/>
              <w:rPr>
                <w:rFonts w:ascii="Times New Roman" w:hAnsi="Times New Roman"/>
              </w:rPr>
            </w:pPr>
            <w:r w:rsidRPr="00B84389">
              <w:rPr>
                <w:rFonts w:ascii="Times New Roman" w:hAnsi="Times New Roman"/>
              </w:rPr>
              <w:t>01</w:t>
            </w:r>
          </w:p>
        </w:tc>
      </w:tr>
      <w:tr w:rsidR="00B307DB" w:rsidRPr="00B84389" w14:paraId="6C26818F" w14:textId="77777777" w:rsidTr="00B307DB">
        <w:trPr>
          <w:trHeight w:val="239"/>
        </w:trPr>
        <w:tc>
          <w:tcPr>
            <w:tcW w:w="2263" w:type="dxa"/>
            <w:tcBorders>
              <w:top w:val="single" w:sz="4" w:space="0" w:color="000000"/>
              <w:left w:val="single" w:sz="4" w:space="0" w:color="000000"/>
              <w:bottom w:val="single" w:sz="4" w:space="0" w:color="000000"/>
              <w:right w:val="single" w:sz="4" w:space="0" w:color="000000"/>
            </w:tcBorders>
          </w:tcPr>
          <w:p w14:paraId="1C8D9A62" w14:textId="77777777" w:rsidR="00B307DB" w:rsidRPr="00B84389" w:rsidRDefault="00B307DB" w:rsidP="00B307DB">
            <w:pPr>
              <w:jc w:val="right"/>
              <w:rPr>
                <w:rFonts w:ascii="Times New Roman" w:hAnsi="Times New Roman"/>
              </w:rPr>
            </w:pPr>
            <w:r w:rsidRPr="00B84389">
              <w:rPr>
                <w:rFonts w:ascii="Times New Roman" w:hAnsi="Times New Roman"/>
              </w:rPr>
              <w:t xml:space="preserve">Subfunção </w:t>
            </w:r>
          </w:p>
        </w:tc>
        <w:tc>
          <w:tcPr>
            <w:tcW w:w="5237" w:type="dxa"/>
            <w:tcBorders>
              <w:top w:val="single" w:sz="4" w:space="0" w:color="000000"/>
              <w:left w:val="single" w:sz="4" w:space="0" w:color="000000"/>
              <w:bottom w:val="single" w:sz="4" w:space="0" w:color="000000"/>
              <w:right w:val="single" w:sz="4" w:space="0" w:color="000000"/>
            </w:tcBorders>
          </w:tcPr>
          <w:p w14:paraId="7F68707F" w14:textId="77777777" w:rsidR="00B307DB" w:rsidRPr="00B84389" w:rsidRDefault="00B307DB" w:rsidP="00B307DB">
            <w:pPr>
              <w:ind w:right="-568"/>
              <w:rPr>
                <w:rFonts w:ascii="Times New Roman" w:hAnsi="Times New Roman"/>
              </w:rPr>
            </w:pPr>
            <w:r w:rsidRPr="00B84389">
              <w:rPr>
                <w:rFonts w:ascii="Times New Roman" w:hAnsi="Times New Roman"/>
              </w:rPr>
              <w:t>Ação Legislativa</w:t>
            </w:r>
          </w:p>
        </w:tc>
        <w:tc>
          <w:tcPr>
            <w:tcW w:w="1567" w:type="dxa"/>
            <w:tcBorders>
              <w:top w:val="single" w:sz="4" w:space="0" w:color="000000"/>
              <w:left w:val="single" w:sz="4" w:space="0" w:color="000000"/>
              <w:bottom w:val="single" w:sz="4" w:space="0" w:color="000000"/>
              <w:right w:val="single" w:sz="4" w:space="0" w:color="000000"/>
            </w:tcBorders>
          </w:tcPr>
          <w:p w14:paraId="64B0C29A" w14:textId="77777777" w:rsidR="00B307DB" w:rsidRPr="00B84389" w:rsidRDefault="00B307DB" w:rsidP="00B307DB">
            <w:pPr>
              <w:jc w:val="right"/>
              <w:rPr>
                <w:rFonts w:ascii="Times New Roman" w:hAnsi="Times New Roman"/>
              </w:rPr>
            </w:pPr>
            <w:r w:rsidRPr="00B84389">
              <w:rPr>
                <w:rFonts w:ascii="Times New Roman" w:hAnsi="Times New Roman"/>
              </w:rPr>
              <w:t>031</w:t>
            </w:r>
          </w:p>
        </w:tc>
      </w:tr>
      <w:tr w:rsidR="00B307DB" w:rsidRPr="00B84389" w14:paraId="59BF2383" w14:textId="77777777" w:rsidTr="00B307DB">
        <w:trPr>
          <w:trHeight w:val="239"/>
        </w:trPr>
        <w:tc>
          <w:tcPr>
            <w:tcW w:w="2263" w:type="dxa"/>
            <w:tcBorders>
              <w:top w:val="single" w:sz="4" w:space="0" w:color="000000"/>
              <w:left w:val="single" w:sz="4" w:space="0" w:color="000000"/>
              <w:bottom w:val="single" w:sz="4" w:space="0" w:color="000000"/>
              <w:right w:val="single" w:sz="4" w:space="0" w:color="000000"/>
            </w:tcBorders>
          </w:tcPr>
          <w:p w14:paraId="1C452F35" w14:textId="77777777" w:rsidR="00B307DB" w:rsidRPr="00B84389" w:rsidRDefault="00B307DB" w:rsidP="00B307DB">
            <w:pPr>
              <w:jc w:val="right"/>
              <w:rPr>
                <w:rFonts w:ascii="Times New Roman" w:hAnsi="Times New Roman"/>
              </w:rPr>
            </w:pPr>
            <w:r w:rsidRPr="00B84389">
              <w:rPr>
                <w:rFonts w:ascii="Times New Roman" w:hAnsi="Times New Roman"/>
              </w:rPr>
              <w:t xml:space="preserve">Programa </w:t>
            </w:r>
          </w:p>
        </w:tc>
        <w:tc>
          <w:tcPr>
            <w:tcW w:w="5237" w:type="dxa"/>
            <w:tcBorders>
              <w:top w:val="single" w:sz="4" w:space="0" w:color="000000"/>
              <w:left w:val="single" w:sz="4" w:space="0" w:color="000000"/>
              <w:bottom w:val="single" w:sz="4" w:space="0" w:color="000000"/>
              <w:right w:val="single" w:sz="4" w:space="0" w:color="000000"/>
            </w:tcBorders>
          </w:tcPr>
          <w:p w14:paraId="2530B93B" w14:textId="77777777" w:rsidR="00B307DB" w:rsidRPr="00B84389" w:rsidRDefault="00B307DB" w:rsidP="00B307DB">
            <w:pPr>
              <w:ind w:right="-568"/>
              <w:rPr>
                <w:rFonts w:ascii="Times New Roman" w:hAnsi="Times New Roman"/>
              </w:rPr>
            </w:pPr>
            <w:r w:rsidRPr="00B84389">
              <w:rPr>
                <w:rFonts w:ascii="Times New Roman" w:hAnsi="Times New Roman"/>
              </w:rPr>
              <w:t>PROCESSO LEGISLATIVO</w:t>
            </w:r>
          </w:p>
        </w:tc>
        <w:tc>
          <w:tcPr>
            <w:tcW w:w="1567" w:type="dxa"/>
            <w:tcBorders>
              <w:top w:val="single" w:sz="4" w:space="0" w:color="000000"/>
              <w:left w:val="single" w:sz="4" w:space="0" w:color="000000"/>
              <w:bottom w:val="single" w:sz="4" w:space="0" w:color="000000"/>
              <w:right w:val="single" w:sz="4" w:space="0" w:color="000000"/>
            </w:tcBorders>
          </w:tcPr>
          <w:p w14:paraId="593ED005" w14:textId="77777777" w:rsidR="00B307DB" w:rsidRPr="00B84389" w:rsidRDefault="00B307DB" w:rsidP="00B307DB">
            <w:pPr>
              <w:jc w:val="right"/>
              <w:rPr>
                <w:rFonts w:ascii="Times New Roman" w:hAnsi="Times New Roman"/>
              </w:rPr>
            </w:pPr>
            <w:r w:rsidRPr="00B84389">
              <w:rPr>
                <w:rFonts w:ascii="Times New Roman" w:hAnsi="Times New Roman"/>
              </w:rPr>
              <w:t>0001</w:t>
            </w:r>
          </w:p>
        </w:tc>
      </w:tr>
      <w:tr w:rsidR="00B307DB" w:rsidRPr="00B84389" w14:paraId="78A2ECBE" w14:textId="77777777" w:rsidTr="00B307DB">
        <w:trPr>
          <w:trHeight w:val="239"/>
        </w:trPr>
        <w:tc>
          <w:tcPr>
            <w:tcW w:w="2263" w:type="dxa"/>
            <w:tcBorders>
              <w:top w:val="single" w:sz="4" w:space="0" w:color="000000"/>
              <w:left w:val="single" w:sz="4" w:space="0" w:color="000000"/>
              <w:bottom w:val="single" w:sz="4" w:space="0" w:color="000000"/>
              <w:right w:val="single" w:sz="4" w:space="0" w:color="000000"/>
            </w:tcBorders>
          </w:tcPr>
          <w:p w14:paraId="14C22E50" w14:textId="77777777" w:rsidR="00B307DB" w:rsidRPr="00B84389" w:rsidRDefault="00B307DB" w:rsidP="00B307DB">
            <w:pPr>
              <w:jc w:val="right"/>
              <w:rPr>
                <w:rFonts w:ascii="Times New Roman" w:hAnsi="Times New Roman"/>
              </w:rPr>
            </w:pPr>
            <w:r w:rsidRPr="00B84389">
              <w:rPr>
                <w:rFonts w:ascii="Times New Roman" w:hAnsi="Times New Roman"/>
              </w:rPr>
              <w:t xml:space="preserve">Atividade </w:t>
            </w:r>
          </w:p>
        </w:tc>
        <w:tc>
          <w:tcPr>
            <w:tcW w:w="5237" w:type="dxa"/>
            <w:tcBorders>
              <w:top w:val="single" w:sz="4" w:space="0" w:color="000000"/>
              <w:left w:val="single" w:sz="4" w:space="0" w:color="000000"/>
              <w:bottom w:val="single" w:sz="4" w:space="0" w:color="000000"/>
              <w:right w:val="single" w:sz="4" w:space="0" w:color="000000"/>
            </w:tcBorders>
          </w:tcPr>
          <w:p w14:paraId="78775EBE" w14:textId="77777777" w:rsidR="00B307DB" w:rsidRPr="00B84389" w:rsidRDefault="00B307DB" w:rsidP="00B307DB">
            <w:pPr>
              <w:ind w:right="-568"/>
              <w:rPr>
                <w:rFonts w:ascii="Times New Roman" w:hAnsi="Times New Roman"/>
              </w:rPr>
            </w:pPr>
            <w:r w:rsidRPr="00B84389">
              <w:rPr>
                <w:rFonts w:ascii="Times New Roman" w:hAnsi="Times New Roman"/>
              </w:rPr>
              <w:t>Manutenção das Atividades da Câmara de Vereadores</w:t>
            </w:r>
          </w:p>
        </w:tc>
        <w:tc>
          <w:tcPr>
            <w:tcW w:w="1567" w:type="dxa"/>
            <w:tcBorders>
              <w:top w:val="single" w:sz="4" w:space="0" w:color="000000"/>
              <w:left w:val="single" w:sz="4" w:space="0" w:color="000000"/>
              <w:bottom w:val="single" w:sz="4" w:space="0" w:color="000000"/>
              <w:right w:val="single" w:sz="4" w:space="0" w:color="000000"/>
            </w:tcBorders>
          </w:tcPr>
          <w:p w14:paraId="167A9B42" w14:textId="77777777" w:rsidR="00B307DB" w:rsidRPr="00B84389" w:rsidRDefault="00B307DB" w:rsidP="00B307DB">
            <w:pPr>
              <w:jc w:val="right"/>
              <w:rPr>
                <w:rFonts w:ascii="Times New Roman" w:hAnsi="Times New Roman"/>
              </w:rPr>
            </w:pPr>
            <w:r w:rsidRPr="00B84389">
              <w:rPr>
                <w:rFonts w:ascii="Times New Roman" w:hAnsi="Times New Roman"/>
              </w:rPr>
              <w:t>2.001</w:t>
            </w:r>
          </w:p>
        </w:tc>
      </w:tr>
      <w:tr w:rsidR="00B307DB" w:rsidRPr="00B84389" w14:paraId="19DE9E2E" w14:textId="77777777" w:rsidTr="00B307DB">
        <w:trPr>
          <w:trHeight w:val="239"/>
        </w:trPr>
        <w:tc>
          <w:tcPr>
            <w:tcW w:w="2263" w:type="dxa"/>
            <w:tcBorders>
              <w:top w:val="single" w:sz="4" w:space="0" w:color="000000"/>
              <w:left w:val="single" w:sz="4" w:space="0" w:color="000000"/>
              <w:bottom w:val="single" w:sz="4" w:space="0" w:color="000000"/>
              <w:right w:val="single" w:sz="4" w:space="0" w:color="000000"/>
            </w:tcBorders>
          </w:tcPr>
          <w:p w14:paraId="1D6136F4" w14:textId="77777777" w:rsidR="00B307DB" w:rsidRPr="00B84389" w:rsidRDefault="00B307DB" w:rsidP="00B307DB">
            <w:pPr>
              <w:jc w:val="right"/>
              <w:rPr>
                <w:rFonts w:ascii="Times New Roman" w:hAnsi="Times New Roman"/>
              </w:rPr>
            </w:pPr>
            <w:r w:rsidRPr="00B84389">
              <w:rPr>
                <w:rFonts w:ascii="Times New Roman" w:hAnsi="Times New Roman"/>
              </w:rPr>
              <w:t xml:space="preserve">Fonte de Recursos </w:t>
            </w:r>
          </w:p>
        </w:tc>
        <w:tc>
          <w:tcPr>
            <w:tcW w:w="5237" w:type="dxa"/>
            <w:tcBorders>
              <w:top w:val="single" w:sz="4" w:space="0" w:color="000000"/>
              <w:left w:val="single" w:sz="4" w:space="0" w:color="000000"/>
              <w:bottom w:val="single" w:sz="4" w:space="0" w:color="000000"/>
              <w:right w:val="single" w:sz="4" w:space="0" w:color="000000"/>
            </w:tcBorders>
          </w:tcPr>
          <w:p w14:paraId="3585E0EB" w14:textId="77777777" w:rsidR="00B307DB" w:rsidRPr="00B84389" w:rsidRDefault="00B307DB" w:rsidP="00B307DB">
            <w:pPr>
              <w:ind w:right="-568"/>
              <w:rPr>
                <w:rFonts w:ascii="Times New Roman" w:hAnsi="Times New Roman"/>
              </w:rPr>
            </w:pPr>
            <w:r w:rsidRPr="00B84389">
              <w:rPr>
                <w:rFonts w:ascii="Times New Roman" w:hAnsi="Times New Roman"/>
              </w:rPr>
              <w:t xml:space="preserve">APLICAÇÕES DIRETAS </w:t>
            </w:r>
          </w:p>
        </w:tc>
        <w:tc>
          <w:tcPr>
            <w:tcW w:w="1567" w:type="dxa"/>
            <w:tcBorders>
              <w:top w:val="single" w:sz="4" w:space="0" w:color="000000"/>
              <w:left w:val="single" w:sz="4" w:space="0" w:color="000000"/>
              <w:bottom w:val="single" w:sz="4" w:space="0" w:color="000000"/>
              <w:right w:val="single" w:sz="4" w:space="0" w:color="000000"/>
            </w:tcBorders>
          </w:tcPr>
          <w:p w14:paraId="6C126CA3" w14:textId="77777777" w:rsidR="00B307DB" w:rsidRPr="00B84389" w:rsidRDefault="00B307DB" w:rsidP="00B307DB">
            <w:pPr>
              <w:jc w:val="right"/>
              <w:rPr>
                <w:rFonts w:ascii="Times New Roman" w:hAnsi="Times New Roman"/>
              </w:rPr>
            </w:pPr>
            <w:r w:rsidRPr="00B84389">
              <w:rPr>
                <w:rFonts w:ascii="Times New Roman" w:hAnsi="Times New Roman"/>
              </w:rPr>
              <w:t>102</w:t>
            </w:r>
          </w:p>
        </w:tc>
      </w:tr>
      <w:tr w:rsidR="00B307DB" w:rsidRPr="00B84389" w14:paraId="69516528"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0C671305" w14:textId="77777777" w:rsidR="00B307DB" w:rsidRPr="00B84389" w:rsidRDefault="00B307DB" w:rsidP="00B307DB">
            <w:pPr>
              <w:ind w:right="-568"/>
              <w:rPr>
                <w:rFonts w:ascii="Times New Roman" w:hAnsi="Times New Roman"/>
              </w:rPr>
            </w:pPr>
            <w:r w:rsidRPr="00B84389">
              <w:rPr>
                <w:rFonts w:ascii="Times New Roman" w:hAnsi="Times New Roman"/>
                <w:b/>
              </w:rPr>
              <w:t>II – CARACTERIZAÇÃO DO PROJETO/ATIVIDADE</w:t>
            </w:r>
          </w:p>
        </w:tc>
      </w:tr>
      <w:tr w:rsidR="00B307DB" w:rsidRPr="00B84389" w14:paraId="6134CAE8"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tcPr>
          <w:p w14:paraId="72A28E2A" w14:textId="77777777" w:rsidR="00B307DB" w:rsidRPr="00B84389" w:rsidRDefault="00B307DB" w:rsidP="00B307DB">
            <w:pPr>
              <w:ind w:right="-568"/>
              <w:rPr>
                <w:rFonts w:ascii="Times New Roman" w:hAnsi="Times New Roman"/>
              </w:rPr>
            </w:pPr>
            <w:r w:rsidRPr="00B84389">
              <w:rPr>
                <w:rFonts w:ascii="Times New Roman" w:hAnsi="Times New Roman"/>
              </w:rPr>
              <w:t>3.3.90.40.02.00.00 – Desenvolvimento e Manutenção de Software</w:t>
            </w:r>
          </w:p>
        </w:tc>
      </w:tr>
    </w:tbl>
    <w:p w14:paraId="4159049E" w14:textId="77777777" w:rsidR="00B307DB" w:rsidRPr="00B84389" w:rsidRDefault="00B307DB" w:rsidP="00B307DB">
      <w:pPr>
        <w:spacing w:after="0" w:line="240" w:lineRule="auto"/>
        <w:ind w:right="-568"/>
        <w:jc w:val="both"/>
        <w:rPr>
          <w:rFonts w:ascii="Times New Roman" w:hAnsi="Times New Roman" w:cs="Times New Roman"/>
          <w:b/>
        </w:rPr>
      </w:pPr>
    </w:p>
    <w:p w14:paraId="0F12EF2D" w14:textId="4EDF6606" w:rsidR="00B307DB" w:rsidRPr="00B84389" w:rsidRDefault="00B307DB" w:rsidP="00B307DB">
      <w:pPr>
        <w:spacing w:after="0" w:line="240" w:lineRule="auto"/>
        <w:ind w:right="-568"/>
        <w:jc w:val="right"/>
        <w:rPr>
          <w:rFonts w:ascii="Times New Roman" w:hAnsi="Times New Roman" w:cs="Times New Roman"/>
        </w:rPr>
      </w:pPr>
      <w:r w:rsidRPr="00B84389">
        <w:rPr>
          <w:rFonts w:ascii="Times New Roman" w:hAnsi="Times New Roman" w:cs="Times New Roman"/>
        </w:rPr>
        <w:t xml:space="preserve">Riqueza/SC, </w:t>
      </w:r>
      <w:r w:rsidR="00D25E7E">
        <w:rPr>
          <w:rFonts w:ascii="Times New Roman" w:hAnsi="Times New Roman" w:cs="Times New Roman"/>
        </w:rPr>
        <w:t>29</w:t>
      </w:r>
      <w:r w:rsidRPr="00CD0EF9">
        <w:rPr>
          <w:rFonts w:ascii="Times New Roman" w:hAnsi="Times New Roman" w:cs="Times New Roman"/>
        </w:rPr>
        <w:t xml:space="preserve"> de novembro de 2024.</w:t>
      </w:r>
    </w:p>
    <w:p w14:paraId="646E59A7" w14:textId="77777777" w:rsidR="00B307DB" w:rsidRPr="00B84389" w:rsidRDefault="00B307DB" w:rsidP="00B307DB">
      <w:pPr>
        <w:spacing w:after="0" w:line="240" w:lineRule="auto"/>
        <w:ind w:right="-568"/>
        <w:jc w:val="both"/>
        <w:rPr>
          <w:rFonts w:ascii="Times New Roman" w:hAnsi="Times New Roman" w:cs="Times New Roman"/>
        </w:rPr>
      </w:pPr>
    </w:p>
    <w:p w14:paraId="7872405E" w14:textId="77777777" w:rsidR="00B307DB" w:rsidRPr="00B84389" w:rsidRDefault="00B307DB" w:rsidP="00B307DB">
      <w:pPr>
        <w:spacing w:after="0" w:line="240" w:lineRule="auto"/>
        <w:ind w:right="-568"/>
        <w:jc w:val="both"/>
        <w:rPr>
          <w:rFonts w:ascii="Times New Roman" w:hAnsi="Times New Roman" w:cs="Times New Roman"/>
        </w:rPr>
      </w:pPr>
    </w:p>
    <w:p w14:paraId="521C5B25" w14:textId="77777777" w:rsidR="00B307DB" w:rsidRPr="00B84389" w:rsidRDefault="00B307DB" w:rsidP="00B307DB">
      <w:pPr>
        <w:spacing w:after="0" w:line="240" w:lineRule="auto"/>
        <w:ind w:right="-568"/>
        <w:jc w:val="both"/>
        <w:rPr>
          <w:rFonts w:ascii="Times New Roman" w:hAnsi="Times New Roman" w:cs="Times New Roman"/>
        </w:rPr>
      </w:pPr>
    </w:p>
    <w:p w14:paraId="24E1842B" w14:textId="77777777" w:rsidR="00B307DB" w:rsidRPr="00B84389" w:rsidRDefault="00B307DB" w:rsidP="00B307DB">
      <w:pPr>
        <w:spacing w:after="0" w:line="240" w:lineRule="auto"/>
        <w:ind w:right="-568"/>
        <w:jc w:val="center"/>
        <w:rPr>
          <w:rFonts w:ascii="Times New Roman" w:hAnsi="Times New Roman" w:cs="Times New Roman"/>
        </w:rPr>
      </w:pPr>
      <w:r w:rsidRPr="00B84389">
        <w:rPr>
          <w:rFonts w:ascii="Times New Roman" w:hAnsi="Times New Roman" w:cs="Times New Roman"/>
        </w:rPr>
        <w:t>________________________________</w:t>
      </w:r>
    </w:p>
    <w:p w14:paraId="7A982468" w14:textId="77777777" w:rsidR="00B307DB" w:rsidRPr="00B84389" w:rsidRDefault="00B307DB" w:rsidP="00B307DB">
      <w:pPr>
        <w:pStyle w:val="TextosemFormatao"/>
        <w:ind w:right="-568"/>
        <w:jc w:val="center"/>
        <w:rPr>
          <w:rFonts w:ascii="Times New Roman" w:hAnsi="Times New Roman"/>
          <w:b/>
          <w:sz w:val="22"/>
          <w:szCs w:val="22"/>
        </w:rPr>
      </w:pPr>
      <w:r w:rsidRPr="00B84389">
        <w:rPr>
          <w:rFonts w:ascii="Times New Roman" w:hAnsi="Times New Roman"/>
          <w:b/>
          <w:sz w:val="22"/>
          <w:szCs w:val="22"/>
        </w:rPr>
        <w:t>ADEMAR ANTÔNIO PIGNAT</w:t>
      </w:r>
    </w:p>
    <w:p w14:paraId="39B9B23A" w14:textId="77777777" w:rsidR="00B307DB" w:rsidRPr="00B84389" w:rsidRDefault="00B307DB" w:rsidP="00B307DB">
      <w:pPr>
        <w:spacing w:after="0" w:line="240" w:lineRule="auto"/>
        <w:ind w:right="-568"/>
        <w:jc w:val="center"/>
        <w:rPr>
          <w:rFonts w:ascii="Times New Roman" w:hAnsi="Times New Roman" w:cs="Times New Roman"/>
        </w:rPr>
      </w:pPr>
      <w:r w:rsidRPr="00B84389">
        <w:rPr>
          <w:rFonts w:ascii="Times New Roman" w:hAnsi="Times New Roman" w:cs="Times New Roman"/>
        </w:rPr>
        <w:t>Secretário de Administração e Finanças</w:t>
      </w:r>
    </w:p>
    <w:p w14:paraId="23F72C12" w14:textId="77777777" w:rsidR="00B307DB" w:rsidRDefault="00B307DB" w:rsidP="00B307DB">
      <w:pPr>
        <w:jc w:val="both"/>
      </w:pPr>
    </w:p>
    <w:p w14:paraId="5C626F93" w14:textId="77777777" w:rsidR="00B307DB" w:rsidRDefault="00B307DB" w:rsidP="00B307DB">
      <w:pPr>
        <w:jc w:val="both"/>
      </w:pPr>
    </w:p>
    <w:p w14:paraId="475F4DB8" w14:textId="77777777" w:rsidR="00B307DB" w:rsidRPr="00B2760C" w:rsidRDefault="00B307DB" w:rsidP="00B307DB">
      <w:pPr>
        <w:jc w:val="center"/>
      </w:pPr>
    </w:p>
    <w:p w14:paraId="2E35543A" w14:textId="77777777" w:rsidR="00B307DB" w:rsidRDefault="00B307DB" w:rsidP="00B307DB">
      <w:pPr>
        <w:jc w:val="center"/>
      </w:pPr>
    </w:p>
    <w:p w14:paraId="4EECFA61" w14:textId="77777777" w:rsidR="00B307DB" w:rsidRDefault="00B307DB" w:rsidP="00B307DB">
      <w:pPr>
        <w:jc w:val="center"/>
      </w:pPr>
    </w:p>
    <w:p w14:paraId="744E35C0" w14:textId="77777777" w:rsidR="00B307DB" w:rsidRDefault="00B307DB" w:rsidP="00B307DB">
      <w:pPr>
        <w:jc w:val="center"/>
      </w:pPr>
    </w:p>
    <w:p w14:paraId="7770F0C5" w14:textId="77777777" w:rsidR="00B307DB" w:rsidRDefault="00B307DB" w:rsidP="00B307DB">
      <w:pPr>
        <w:jc w:val="both"/>
      </w:pPr>
    </w:p>
    <w:p w14:paraId="42D1B6AB" w14:textId="77777777" w:rsidR="00B307DB" w:rsidRDefault="00B307DB" w:rsidP="00B307DB">
      <w:pPr>
        <w:jc w:val="both"/>
      </w:pPr>
    </w:p>
    <w:p w14:paraId="025996C4" w14:textId="77777777" w:rsidR="00B307DB" w:rsidRPr="00CA1D69" w:rsidRDefault="00B307DB" w:rsidP="00B307DB">
      <w:pPr>
        <w:spacing w:after="0" w:line="240" w:lineRule="auto"/>
        <w:ind w:right="-568"/>
        <w:jc w:val="both"/>
        <w:rPr>
          <w:rFonts w:ascii="Times New Roman" w:hAnsi="Times New Roman" w:cs="Times New Roman"/>
        </w:rPr>
      </w:pPr>
    </w:p>
    <w:p w14:paraId="41F98C1C" w14:textId="77777777" w:rsidR="00B307DB" w:rsidRPr="00CA1D69" w:rsidRDefault="00B307DB" w:rsidP="00B307DB">
      <w:pPr>
        <w:spacing w:after="0" w:line="240" w:lineRule="auto"/>
        <w:ind w:right="-568"/>
        <w:rPr>
          <w:rStyle w:val="Hyperlink"/>
          <w:rFonts w:ascii="Times New Roman" w:hAnsi="Times New Roman" w:cs="Times New Roman"/>
        </w:rPr>
      </w:pPr>
    </w:p>
    <w:p w14:paraId="1D80DCC7" w14:textId="77777777" w:rsidR="00B307DB" w:rsidRPr="00CA1D69" w:rsidRDefault="00B307DB" w:rsidP="00B307DB">
      <w:pPr>
        <w:spacing w:after="0" w:line="240" w:lineRule="auto"/>
        <w:ind w:right="-568"/>
        <w:rPr>
          <w:rStyle w:val="Hyperlink"/>
          <w:rFonts w:ascii="Times New Roman" w:hAnsi="Times New Roman" w:cs="Times New Roman"/>
        </w:rPr>
      </w:pPr>
    </w:p>
    <w:p w14:paraId="73A27729" w14:textId="77777777" w:rsidR="00B307DB" w:rsidRPr="00CA1D69" w:rsidRDefault="00B307DB" w:rsidP="00B307DB">
      <w:pPr>
        <w:spacing w:after="0" w:line="240" w:lineRule="auto"/>
        <w:ind w:right="-568"/>
        <w:rPr>
          <w:rStyle w:val="Hyperlink"/>
          <w:rFonts w:ascii="Times New Roman" w:hAnsi="Times New Roman" w:cs="Times New Roman"/>
        </w:rPr>
      </w:pPr>
    </w:p>
    <w:p w14:paraId="3AC25AED" w14:textId="77777777" w:rsidR="00B307DB" w:rsidRPr="00CA1D69" w:rsidRDefault="00B307DB" w:rsidP="00B307DB">
      <w:pPr>
        <w:spacing w:after="0" w:line="240" w:lineRule="auto"/>
        <w:ind w:right="-568"/>
        <w:rPr>
          <w:rStyle w:val="Hyperlink"/>
          <w:rFonts w:ascii="Times New Roman" w:hAnsi="Times New Roman" w:cs="Times New Roman"/>
        </w:rPr>
      </w:pPr>
    </w:p>
    <w:p w14:paraId="4D2719D4" w14:textId="77777777" w:rsidR="00B307DB" w:rsidRPr="00CA1D69" w:rsidRDefault="00B307DB" w:rsidP="00B307DB">
      <w:pPr>
        <w:spacing w:after="0" w:line="240" w:lineRule="auto"/>
        <w:ind w:right="-568"/>
        <w:rPr>
          <w:rStyle w:val="Hyperlink"/>
          <w:rFonts w:ascii="Times New Roman" w:hAnsi="Times New Roman" w:cs="Times New Roman"/>
        </w:rPr>
      </w:pPr>
    </w:p>
    <w:p w14:paraId="7016AAC9" w14:textId="77777777" w:rsidR="00B307DB" w:rsidRPr="00CA1D69" w:rsidRDefault="00B307DB" w:rsidP="00B307DB">
      <w:pPr>
        <w:spacing w:after="0" w:line="240" w:lineRule="auto"/>
        <w:ind w:right="-568"/>
        <w:rPr>
          <w:rStyle w:val="Hyperlink"/>
          <w:rFonts w:ascii="Times New Roman" w:hAnsi="Times New Roman" w:cs="Times New Roman"/>
        </w:rPr>
      </w:pPr>
    </w:p>
    <w:p w14:paraId="30A2D9E1" w14:textId="77777777" w:rsidR="00B307DB" w:rsidRPr="00CA1D69" w:rsidRDefault="00B307DB" w:rsidP="00B307DB">
      <w:pPr>
        <w:spacing w:after="0" w:line="240" w:lineRule="auto"/>
        <w:ind w:right="-568"/>
        <w:rPr>
          <w:rStyle w:val="Hyperlink"/>
          <w:rFonts w:ascii="Times New Roman" w:hAnsi="Times New Roman" w:cs="Times New Roman"/>
        </w:rPr>
      </w:pPr>
    </w:p>
    <w:p w14:paraId="728D6620" w14:textId="77777777" w:rsidR="00B307DB" w:rsidRDefault="00B307DB" w:rsidP="00B307DB">
      <w:pPr>
        <w:spacing w:after="0" w:line="240" w:lineRule="auto"/>
        <w:rPr>
          <w:rStyle w:val="Hyperlink"/>
        </w:rPr>
      </w:pPr>
    </w:p>
    <w:p w14:paraId="3593CE37" w14:textId="77777777" w:rsidR="00B307DB" w:rsidRDefault="00B307DB" w:rsidP="00B307DB">
      <w:pPr>
        <w:spacing w:after="0" w:line="240" w:lineRule="auto"/>
        <w:rPr>
          <w:rStyle w:val="Hyperlink"/>
        </w:rPr>
      </w:pPr>
    </w:p>
    <w:p w14:paraId="025ADFBD" w14:textId="77777777" w:rsidR="00B307DB" w:rsidRDefault="00B307DB" w:rsidP="00B307DB">
      <w:pPr>
        <w:spacing w:after="0" w:line="240" w:lineRule="auto"/>
        <w:rPr>
          <w:rStyle w:val="Hyperlink"/>
        </w:rPr>
      </w:pPr>
    </w:p>
    <w:p w14:paraId="7345FB45" w14:textId="77777777" w:rsidR="00B307DB" w:rsidRDefault="00B307DB" w:rsidP="00B307DB">
      <w:pPr>
        <w:spacing w:after="0" w:line="240" w:lineRule="auto"/>
        <w:rPr>
          <w:rStyle w:val="Hyperlink"/>
        </w:rPr>
      </w:pPr>
    </w:p>
    <w:p w14:paraId="5EC58D50" w14:textId="77777777" w:rsidR="00B307DB" w:rsidRDefault="00B307DB" w:rsidP="00B307DB">
      <w:pPr>
        <w:spacing w:after="0" w:line="240" w:lineRule="auto"/>
        <w:rPr>
          <w:rStyle w:val="Hyperlink"/>
        </w:rPr>
      </w:pPr>
    </w:p>
    <w:p w14:paraId="5BCB2195" w14:textId="77777777" w:rsidR="00B307DB" w:rsidRDefault="00B307DB" w:rsidP="00B307DB">
      <w:pPr>
        <w:spacing w:after="0" w:line="240" w:lineRule="auto"/>
        <w:rPr>
          <w:rStyle w:val="Hyperlink"/>
        </w:rPr>
      </w:pPr>
    </w:p>
    <w:p w14:paraId="1AD44412" w14:textId="77777777" w:rsidR="00B307DB" w:rsidRDefault="00B307DB" w:rsidP="00B307DB">
      <w:pPr>
        <w:spacing w:after="0" w:line="240" w:lineRule="auto"/>
        <w:rPr>
          <w:rStyle w:val="Hyperlink"/>
        </w:rPr>
      </w:pPr>
    </w:p>
    <w:p w14:paraId="5C443271" w14:textId="77777777" w:rsidR="00B307DB" w:rsidRDefault="00B307DB" w:rsidP="00B307DB">
      <w:pPr>
        <w:spacing w:after="0" w:line="240" w:lineRule="auto"/>
        <w:rPr>
          <w:rStyle w:val="Hyperlink"/>
        </w:rPr>
      </w:pPr>
    </w:p>
    <w:p w14:paraId="3F4FF2F7" w14:textId="77777777" w:rsidR="00B307DB" w:rsidRDefault="00B307DB" w:rsidP="00B307DB">
      <w:pPr>
        <w:spacing w:after="0" w:line="240" w:lineRule="auto"/>
        <w:rPr>
          <w:rStyle w:val="Hyperlink"/>
        </w:rPr>
      </w:pPr>
    </w:p>
    <w:p w14:paraId="7928C65E" w14:textId="77777777" w:rsidR="00B307DB" w:rsidRDefault="00B307DB" w:rsidP="00B307DB">
      <w:pPr>
        <w:spacing w:after="0" w:line="240" w:lineRule="auto"/>
        <w:rPr>
          <w:rStyle w:val="Hyperlink"/>
        </w:rPr>
      </w:pPr>
    </w:p>
    <w:p w14:paraId="2C4EFFC8" w14:textId="77777777" w:rsidR="00B307DB" w:rsidRDefault="00B307DB" w:rsidP="00B307DB">
      <w:pPr>
        <w:spacing w:after="0" w:line="240" w:lineRule="auto"/>
        <w:rPr>
          <w:rStyle w:val="Hyperlink"/>
        </w:rPr>
      </w:pPr>
    </w:p>
    <w:p w14:paraId="6DB76A67" w14:textId="77777777" w:rsidR="00B307DB" w:rsidRDefault="00B307DB" w:rsidP="00B307DB">
      <w:pPr>
        <w:spacing w:after="0" w:line="240" w:lineRule="auto"/>
        <w:rPr>
          <w:rStyle w:val="Hyperlink"/>
        </w:rPr>
      </w:pPr>
    </w:p>
    <w:p w14:paraId="3079EDF3" w14:textId="77777777" w:rsidR="00B307DB" w:rsidRDefault="00B307DB" w:rsidP="00B307DB">
      <w:pPr>
        <w:spacing w:after="0" w:line="240" w:lineRule="auto"/>
        <w:rPr>
          <w:rStyle w:val="Hyperlink"/>
        </w:rPr>
      </w:pPr>
    </w:p>
    <w:p w14:paraId="50AA58EB" w14:textId="77777777" w:rsidR="00B307DB" w:rsidRDefault="00B307DB" w:rsidP="00B307DB">
      <w:pPr>
        <w:spacing w:after="0" w:line="240" w:lineRule="auto"/>
        <w:rPr>
          <w:rStyle w:val="Hyperlink"/>
        </w:rPr>
      </w:pPr>
    </w:p>
    <w:p w14:paraId="322220D0" w14:textId="77777777" w:rsidR="00B307DB" w:rsidRDefault="00B307DB" w:rsidP="00B307DB">
      <w:pPr>
        <w:spacing w:after="0" w:line="240" w:lineRule="auto"/>
        <w:rPr>
          <w:rStyle w:val="Hyperlink"/>
        </w:rPr>
      </w:pPr>
    </w:p>
    <w:p w14:paraId="6251A58D" w14:textId="77777777" w:rsidR="00B307DB" w:rsidRDefault="00B307DB" w:rsidP="00B307DB">
      <w:pPr>
        <w:spacing w:after="0" w:line="240" w:lineRule="auto"/>
        <w:rPr>
          <w:rStyle w:val="Hyperlink"/>
        </w:rPr>
      </w:pPr>
    </w:p>
    <w:p w14:paraId="7148F1D4" w14:textId="77777777" w:rsidR="00B307DB" w:rsidRDefault="00B307DB" w:rsidP="00B307DB">
      <w:pPr>
        <w:spacing w:after="0" w:line="240" w:lineRule="auto"/>
        <w:rPr>
          <w:rStyle w:val="Hyperlink"/>
        </w:rPr>
      </w:pPr>
    </w:p>
    <w:p w14:paraId="16724987" w14:textId="77777777" w:rsidR="00B307DB" w:rsidRDefault="00B307DB" w:rsidP="00B307DB">
      <w:pPr>
        <w:spacing w:after="0" w:line="240" w:lineRule="auto"/>
        <w:rPr>
          <w:rStyle w:val="Hyperlink"/>
        </w:rPr>
      </w:pPr>
    </w:p>
    <w:p w14:paraId="397B8F18" w14:textId="77777777" w:rsidR="00B307DB" w:rsidRDefault="00B307DB" w:rsidP="00B307DB">
      <w:pPr>
        <w:spacing w:after="0" w:line="240" w:lineRule="auto"/>
        <w:rPr>
          <w:rStyle w:val="Hyperlink"/>
        </w:rPr>
      </w:pPr>
    </w:p>
    <w:p w14:paraId="542D5765" w14:textId="77777777" w:rsidR="00B307DB" w:rsidRDefault="00B307DB" w:rsidP="00B307DB">
      <w:pPr>
        <w:spacing w:after="0" w:line="240" w:lineRule="auto"/>
        <w:rPr>
          <w:rStyle w:val="Hyperlink"/>
        </w:rPr>
      </w:pPr>
    </w:p>
    <w:p w14:paraId="6A7EA910" w14:textId="77777777" w:rsidR="00B307DB" w:rsidRDefault="00B307DB" w:rsidP="00B307DB">
      <w:pPr>
        <w:spacing w:after="0" w:line="240" w:lineRule="auto"/>
        <w:rPr>
          <w:rStyle w:val="Hyperlink"/>
        </w:rPr>
      </w:pPr>
    </w:p>
    <w:p w14:paraId="1828AFD2" w14:textId="77777777" w:rsidR="00B307DB" w:rsidRDefault="00B307DB" w:rsidP="00B307DB">
      <w:pPr>
        <w:spacing w:after="0" w:line="240" w:lineRule="auto"/>
        <w:rPr>
          <w:rStyle w:val="Hyperlink"/>
        </w:rPr>
      </w:pPr>
    </w:p>
    <w:p w14:paraId="6BEDB911" w14:textId="77777777" w:rsidR="00B307DB" w:rsidRDefault="00B307DB" w:rsidP="00B307DB">
      <w:pPr>
        <w:spacing w:after="0" w:line="240" w:lineRule="auto"/>
        <w:rPr>
          <w:rStyle w:val="Hyperlink"/>
        </w:rPr>
      </w:pPr>
    </w:p>
    <w:p w14:paraId="19E1C0B5" w14:textId="77777777" w:rsidR="00B307DB" w:rsidRDefault="00B307DB" w:rsidP="00B307DB">
      <w:pPr>
        <w:spacing w:after="0" w:line="240" w:lineRule="auto"/>
        <w:rPr>
          <w:rStyle w:val="Hyperlink"/>
        </w:rPr>
      </w:pPr>
    </w:p>
    <w:p w14:paraId="04AA993A" w14:textId="77777777" w:rsidR="00B307DB" w:rsidRDefault="00B307DB" w:rsidP="00B307DB">
      <w:pPr>
        <w:spacing w:after="0" w:line="240" w:lineRule="auto"/>
        <w:rPr>
          <w:rStyle w:val="Hyperlink"/>
        </w:rPr>
      </w:pPr>
    </w:p>
    <w:p w14:paraId="1FC505C3" w14:textId="77777777" w:rsidR="00B307DB" w:rsidRDefault="00B307DB" w:rsidP="00B307DB">
      <w:pPr>
        <w:spacing w:after="0" w:line="240" w:lineRule="auto"/>
        <w:rPr>
          <w:rStyle w:val="Hyperlink"/>
        </w:rPr>
      </w:pPr>
    </w:p>
    <w:p w14:paraId="647ACC73" w14:textId="77777777" w:rsidR="00B307DB" w:rsidRDefault="00B307DB" w:rsidP="00B307DB">
      <w:pPr>
        <w:spacing w:after="0" w:line="240" w:lineRule="auto"/>
        <w:rPr>
          <w:rStyle w:val="Hyperlink"/>
        </w:rPr>
      </w:pPr>
    </w:p>
    <w:p w14:paraId="560243F9" w14:textId="77777777" w:rsidR="00B307DB" w:rsidRDefault="00B307DB" w:rsidP="00B307DB">
      <w:pPr>
        <w:spacing w:after="0" w:line="240" w:lineRule="auto"/>
        <w:rPr>
          <w:rStyle w:val="Hyperlink"/>
        </w:rPr>
      </w:pPr>
    </w:p>
    <w:p w14:paraId="2FF68C63" w14:textId="77777777" w:rsidR="00B307DB" w:rsidRPr="00680B5B" w:rsidRDefault="00B307DB" w:rsidP="00B307DB">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680B5B">
        <w:rPr>
          <w:rFonts w:ascii="Times New Roman" w:hAnsi="Times New Roman" w:cs="Times New Roman"/>
          <w:b/>
        </w:rPr>
        <w:t xml:space="preserve">PROCESSO LICITATÓRIO Nº </w:t>
      </w:r>
      <w:r>
        <w:rPr>
          <w:rFonts w:ascii="Times New Roman" w:hAnsi="Times New Roman" w:cs="Times New Roman"/>
          <w:b/>
        </w:rPr>
        <w:t>965/2024</w:t>
      </w:r>
      <w:r w:rsidRPr="00680B5B">
        <w:rPr>
          <w:rFonts w:ascii="Times New Roman" w:hAnsi="Times New Roman" w:cs="Times New Roman"/>
          <w:b/>
        </w:rPr>
        <w:t xml:space="preserve"> </w:t>
      </w:r>
    </w:p>
    <w:p w14:paraId="20747F25" w14:textId="77777777" w:rsidR="00B307DB" w:rsidRPr="00680B5B" w:rsidRDefault="00B307DB" w:rsidP="00B307DB">
      <w:pPr>
        <w:widowControl w:val="0"/>
        <w:shd w:val="clear" w:color="auto" w:fill="BFBFBF" w:themeFill="background1" w:themeFillShade="BF"/>
        <w:tabs>
          <w:tab w:val="center" w:pos="4252"/>
          <w:tab w:val="right" w:pos="8080"/>
        </w:tabs>
        <w:adjustRightInd w:val="0"/>
        <w:spacing w:after="0" w:line="240" w:lineRule="auto"/>
        <w:ind w:right="-568"/>
        <w:jc w:val="center"/>
        <w:rPr>
          <w:rFonts w:ascii="Times New Roman" w:hAnsi="Times New Roman" w:cs="Times New Roman"/>
          <w:b/>
        </w:rPr>
      </w:pPr>
      <w:r w:rsidRPr="00680B5B">
        <w:rPr>
          <w:rFonts w:ascii="Times New Roman" w:hAnsi="Times New Roman" w:cs="Times New Roman"/>
          <w:b/>
        </w:rPr>
        <w:t xml:space="preserve">PREGÃO ELETRÔNICO Nº </w:t>
      </w:r>
      <w:r>
        <w:rPr>
          <w:rFonts w:ascii="Times New Roman" w:hAnsi="Times New Roman" w:cs="Times New Roman"/>
          <w:b/>
        </w:rPr>
        <w:t>36/2024</w:t>
      </w:r>
    </w:p>
    <w:p w14:paraId="303E655D" w14:textId="77777777" w:rsidR="00B307DB" w:rsidRPr="00680B5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C38018" w14:textId="77777777" w:rsidR="00B307DB" w:rsidRPr="00680B5B" w:rsidRDefault="00B307DB" w:rsidP="00B307DB">
      <w:pPr>
        <w:pStyle w:val="Ttulo1"/>
        <w:shd w:val="clear" w:color="auto" w:fill="BFBFBF" w:themeFill="background1" w:themeFillShade="BF"/>
        <w:spacing w:before="0" w:line="240" w:lineRule="auto"/>
        <w:ind w:right="-568"/>
        <w:jc w:val="center"/>
        <w:rPr>
          <w:rFonts w:ascii="Times New Roman" w:hAnsi="Times New Roman" w:cs="Times New Roman"/>
          <w:sz w:val="22"/>
          <w:szCs w:val="22"/>
        </w:rPr>
      </w:pPr>
      <w:r w:rsidRPr="00680B5B">
        <w:rPr>
          <w:rFonts w:ascii="Times New Roman" w:hAnsi="Times New Roman" w:cs="Times New Roman"/>
          <w:sz w:val="22"/>
          <w:szCs w:val="22"/>
        </w:rPr>
        <w:t>ANEXO III – ESPECIFICAÇÕES TÉCNICAS DA SOLUÇÃO</w:t>
      </w:r>
    </w:p>
    <w:p w14:paraId="3B15F45B" w14:textId="77777777" w:rsidR="00B307DB" w:rsidRPr="00680B5B" w:rsidRDefault="00B307DB" w:rsidP="00B307DB">
      <w:pPr>
        <w:spacing w:after="0" w:line="240" w:lineRule="auto"/>
        <w:ind w:right="-568"/>
        <w:jc w:val="center"/>
        <w:rPr>
          <w:rFonts w:ascii="Times New Roman" w:hAnsi="Times New Roman" w:cs="Times New Roman"/>
          <w:b/>
        </w:rPr>
      </w:pPr>
    </w:p>
    <w:p w14:paraId="544C2684"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NOTA: Este Anexo é parte integrante do Termo de Referência, como se transcrito fosse compreendendo as especificações técnicas (características do objeto) da solução a ser selecionada.</w:t>
      </w:r>
    </w:p>
    <w:p w14:paraId="086E7F88" w14:textId="77777777" w:rsidR="00B307DB" w:rsidRPr="00680B5B" w:rsidRDefault="00B307DB" w:rsidP="00B307DB">
      <w:pPr>
        <w:spacing w:after="0" w:line="240" w:lineRule="auto"/>
        <w:ind w:left="-5" w:right="-568" w:firstLine="5"/>
        <w:jc w:val="both"/>
        <w:rPr>
          <w:rFonts w:ascii="Times New Roman" w:hAnsi="Times New Roman" w:cs="Times New Roman"/>
          <w:b/>
          <w:i/>
        </w:rPr>
      </w:pPr>
    </w:p>
    <w:p w14:paraId="121F3543" w14:textId="77777777" w:rsidR="00B307DB" w:rsidRPr="00680B5B" w:rsidRDefault="00B307DB" w:rsidP="00B307DB">
      <w:pPr>
        <w:spacing w:after="0" w:line="240" w:lineRule="auto"/>
        <w:ind w:left="-5" w:right="-568" w:firstLine="5"/>
        <w:jc w:val="both"/>
        <w:rPr>
          <w:rFonts w:ascii="Times New Roman" w:hAnsi="Times New Roman" w:cs="Times New Roman"/>
          <w:b/>
          <w:bCs/>
        </w:rPr>
      </w:pPr>
      <w:r w:rsidRPr="00680B5B">
        <w:rPr>
          <w:rFonts w:ascii="Times New Roman" w:hAnsi="Times New Roman" w:cs="Times New Roman"/>
          <w:b/>
          <w:bCs/>
        </w:rPr>
        <w:t>1. CARACTERÍSTICAS GERAIS OBRIGATÓRIAS DO ERP WEB</w:t>
      </w:r>
    </w:p>
    <w:p w14:paraId="524B0F4D" w14:textId="77777777" w:rsidR="00B307DB" w:rsidRPr="00680B5B" w:rsidRDefault="00B307DB" w:rsidP="00B307DB">
      <w:pPr>
        <w:spacing w:after="0" w:line="240" w:lineRule="auto"/>
        <w:ind w:left="-5" w:right="-568" w:firstLine="5"/>
        <w:jc w:val="both"/>
        <w:rPr>
          <w:rFonts w:ascii="Times New Roman" w:hAnsi="Times New Roman" w:cs="Times New Roman"/>
        </w:rPr>
      </w:pPr>
      <w:r w:rsidRPr="00680B5B">
        <w:rPr>
          <w:rFonts w:ascii="Times New Roman" w:hAnsi="Times New Roman" w:cs="Times New Roman"/>
          <w:bCs/>
        </w:rPr>
        <w:t>Conforme Estudo Técnico Preliminar (ETP), a Administração possui uma série de necessidades com relação aos princípios da prestação do serviço público e de sua gestão, como princípio da eficiência, da continuidade, disponibilidade, segurança, regularidade, universalidade, qualidade, e a produtividade e bem estar das pessoas e de responsabilidade com o meio ambiente.</w:t>
      </w:r>
    </w:p>
    <w:p w14:paraId="2496CD26" w14:textId="77777777" w:rsidR="00B307DB" w:rsidRPr="00680B5B" w:rsidRDefault="00B307DB" w:rsidP="00B307DB">
      <w:pPr>
        <w:spacing w:after="0" w:line="240" w:lineRule="auto"/>
        <w:ind w:left="-5" w:right="-568" w:firstLine="5"/>
        <w:jc w:val="both"/>
        <w:rPr>
          <w:rFonts w:ascii="Times New Roman" w:hAnsi="Times New Roman" w:cs="Times New Roman"/>
        </w:rPr>
      </w:pPr>
      <w:r w:rsidRPr="00680B5B">
        <w:rPr>
          <w:rFonts w:ascii="Times New Roman" w:hAnsi="Times New Roman" w:cs="Times New Roman"/>
          <w:bCs/>
        </w:rPr>
        <w:t>Nesse sentido, de acordo com o estudo de viabilidade realizado e justificativas constantes no ETP, são características gerais obrigatórias do sistema de ERP a ser fornecido a Administração:</w:t>
      </w:r>
    </w:p>
    <w:p w14:paraId="4848EBEB" w14:textId="77777777" w:rsidR="00B307DB" w:rsidRPr="00680B5B" w:rsidRDefault="00B307DB" w:rsidP="00B307DB">
      <w:pPr>
        <w:pStyle w:val="PargrafodaLista"/>
        <w:tabs>
          <w:tab w:val="left" w:pos="426"/>
        </w:tabs>
        <w:spacing w:after="0" w:line="240" w:lineRule="auto"/>
        <w:ind w:left="-5" w:right="-568" w:firstLine="5"/>
        <w:jc w:val="both"/>
        <w:rPr>
          <w:rFonts w:ascii="Times New Roman" w:hAnsi="Times New Roman" w:cs="Times New Roman"/>
        </w:rPr>
      </w:pPr>
    </w:p>
    <w:p w14:paraId="308F6A4B" w14:textId="77777777" w:rsidR="00B307DB" w:rsidRPr="00680B5B" w:rsidRDefault="00B307DB" w:rsidP="00F60DF5">
      <w:pPr>
        <w:pStyle w:val="PargrafodaLista"/>
        <w:numPr>
          <w:ilvl w:val="0"/>
          <w:numId w:val="271"/>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Os módulos que compõe o sistema devem aplicar a LEGISLAÇÃO vigente (Leis, decretos, etc.), federais e estaduais, adequando-as sempre que for necessário;</w:t>
      </w:r>
    </w:p>
    <w:p w14:paraId="08ED8382"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A solução deve ser projetada e desenvolvida para rodar em ambiente web, isto é que contenha as seguintes características básicas</w:t>
      </w:r>
    </w:p>
    <w:p w14:paraId="1ADAD7EA" w14:textId="77777777" w:rsidR="00B307DB" w:rsidRPr="00680B5B" w:rsidRDefault="00B307DB" w:rsidP="00F60DF5">
      <w:pPr>
        <w:pStyle w:val="TableParagraph"/>
        <w:numPr>
          <w:ilvl w:val="0"/>
          <w:numId w:val="272"/>
        </w:numPr>
        <w:tabs>
          <w:tab w:val="clear" w:pos="1211"/>
          <w:tab w:val="num" w:pos="709"/>
          <w:tab w:val="left" w:pos="851"/>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A aplicação deverá ser estruturada no conceito de “n” camadas, sendo ao menos elas: Front-End (operável através do navegador local), Servidor de Aplicação (podendo ser distribuído em “n” serviços distintos) e Servidor de Banco de Dados, por motivos de segurança da informação e usabilidade;</w:t>
      </w:r>
    </w:p>
    <w:p w14:paraId="5899DCA3" w14:textId="77777777" w:rsidR="00B307DB" w:rsidRPr="00680B5B" w:rsidRDefault="00B307DB" w:rsidP="00F60DF5">
      <w:pPr>
        <w:pStyle w:val="TableParagraph"/>
        <w:numPr>
          <w:ilvl w:val="0"/>
          <w:numId w:val="272"/>
        </w:numPr>
        <w:tabs>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 Tráfego de dados entre o cliente e o servidor, deverá ser o mínimo necessário para execução das atividades do usuário, de maneira para que consuma menos link de internet, procurando transferir na maior parte dos casos apenas conteúdo no formato JSON, para interpretação e apresentação da camada Front-End;</w:t>
      </w:r>
    </w:p>
    <w:p w14:paraId="21B22EA3" w14:textId="77777777" w:rsidR="00B307DB" w:rsidRPr="00680B5B" w:rsidRDefault="00B307DB" w:rsidP="00F60DF5">
      <w:pPr>
        <w:pStyle w:val="TableParagraph"/>
        <w:numPr>
          <w:ilvl w:val="0"/>
          <w:numId w:val="272"/>
        </w:numPr>
        <w:tabs>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Fica vedado o uso de aplicações tradicionais, desktop cliente-servidor (2 camadas) emuladas para serem executadas através de navegador ou por outros meios como área de trabalho remota, cujo protocolo RDP é inseguro, por motivos de segurança da informação e performance da aplicação;</w:t>
      </w:r>
    </w:p>
    <w:p w14:paraId="4BB3D963" w14:textId="77777777" w:rsidR="00B307DB" w:rsidRPr="00680B5B" w:rsidRDefault="00B307DB" w:rsidP="00F60DF5">
      <w:pPr>
        <w:pStyle w:val="TableParagraph"/>
        <w:numPr>
          <w:ilvl w:val="0"/>
          <w:numId w:val="272"/>
        </w:numPr>
        <w:tabs>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Desenvolvido em linguagem para funcionamento pela internet (por exemplo: Java, PHP, C# ou outra que permita operação via Internet), de forma a garantir a segurança da informação e performance adequada no ambiente web e padrão de arquitetura em nuvem;</w:t>
      </w:r>
    </w:p>
    <w:p w14:paraId="4DA79151" w14:textId="77777777" w:rsidR="00B307DB" w:rsidRPr="00680B5B" w:rsidRDefault="00B307DB" w:rsidP="00F60DF5">
      <w:pPr>
        <w:pStyle w:val="TableParagraph"/>
        <w:numPr>
          <w:ilvl w:val="0"/>
          <w:numId w:val="272"/>
        </w:numPr>
        <w:tabs>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Ser operável através dos principais navegadores (padrão de mercado), nas seguintes versões: Internet Explorer (versão 11 ou superior), Firefox (versão 70 ou superior), Chrome (versão 70 ou superior), Microsoft Edge (versão 80 ou superior) e Safari (versão 10 ou superior);</w:t>
      </w:r>
    </w:p>
    <w:p w14:paraId="307EAEE9"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O sistema deverá operar sob o paradigma de “Multiusuários”  (mais de um usuário acessando ao mesmo tempo a aplicação e um usuário acessando múltiplas sessões ao mesmo tempo, permitindo mobilidade, acessibilidade, evitando retrabalho ou perda de informações e promovendo redução de custos operacionais), com integração total entre os módulos, garantindo que os usuários alimentem as informações em cadastro ÚNICO para todas as áreas (evitando-se inconsistências e erros sistemáticos), e que sejam integráveis automaticamente os existentes e os que vierem a ser implantados de outras áreas e ser </w:t>
      </w:r>
      <w:r w:rsidRPr="00680B5B">
        <w:rPr>
          <w:rFonts w:ascii="Times New Roman" w:hAnsi="Times New Roman" w:cs="Times New Roman"/>
          <w:i/>
          <w:iCs/>
        </w:rPr>
        <w:t>multientidades</w:t>
      </w:r>
      <w:r w:rsidRPr="00680B5B">
        <w:rPr>
          <w:rFonts w:ascii="Times New Roman" w:hAnsi="Times New Roman" w:cs="Times New Roman"/>
        </w:rPr>
        <w:t xml:space="preserve"> (Órgão da Administração), buscando exercícios anteriores constantes do banco de dados, sem que seja necessário sair de um sistema para entrar em outro;</w:t>
      </w:r>
    </w:p>
    <w:p w14:paraId="0708FC5C"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Deverá possuir recursos próprios internos que permitam a operação através de </w:t>
      </w:r>
      <w:r w:rsidRPr="00680B5B">
        <w:rPr>
          <w:rFonts w:ascii="Times New Roman" w:hAnsi="Times New Roman" w:cs="Times New Roman"/>
          <w:i/>
          <w:iCs/>
        </w:rPr>
        <w:t>multi-janelas</w:t>
      </w:r>
      <w:r w:rsidRPr="00680B5B">
        <w:rPr>
          <w:rFonts w:ascii="Times New Roman" w:hAnsi="Times New Roman" w:cs="Times New Roman"/>
        </w:rPr>
        <w:t>, abrindo quantas telas forem necessárias simultaneamente para consulta e desempenho dos serviços, permitindo alternar entre exercícios e entidades, sem que seja necessário fechar a aplicação e abrir outra, ou sair de um módulo para entrar em outro;</w:t>
      </w:r>
    </w:p>
    <w:p w14:paraId="7EC6157B"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Permitir na estrutura </w:t>
      </w:r>
      <w:r w:rsidRPr="00680B5B">
        <w:rPr>
          <w:rFonts w:ascii="Times New Roman" w:hAnsi="Times New Roman" w:cs="Times New Roman"/>
          <w:i/>
          <w:iCs/>
        </w:rPr>
        <w:t>multi-janelas</w:t>
      </w:r>
      <w:r w:rsidRPr="00680B5B">
        <w:rPr>
          <w:rFonts w:ascii="Times New Roman" w:hAnsi="Times New Roman" w:cs="Times New Roman"/>
        </w:rPr>
        <w:t xml:space="preserve"> que o usuário alterne entre as janelas abertas na mesma sessão, na mesma aba do navegador e também faça ocultação (minimização) ou fechamento de janelas de forma geral;</w:t>
      </w:r>
    </w:p>
    <w:p w14:paraId="10331B81"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lastRenderedPageBreak/>
        <w:t>Por questão de usabilidade, performance, segurança da informação e integridade, para operação do sistema não deverá ser exigido baixar em estações-cliente ou instalar recursos como runtimes e plugins exceto em casos onde houver necessidade de sistema intermediário para acesso a outros dispositivos (como leitor biométrico, impressoras, leitor de e-CPF/e- CNPJ) ou integração com aplicativos da estação cliente (como Microsoft Office, exibição de documentos PDF). Nesses casos, porém, não é permitida a integração através de aplicações que utilizem o recurso NPAPI dos navegadores (cujo suporte nativo foi abolido pelos navegadores padrão do mercado) como Applets Java, por questão de segurança da informação e integridade dos sistemas;</w:t>
      </w:r>
    </w:p>
    <w:p w14:paraId="13B2D53E"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Utilizar na camada cliente apenas recursos padrões já amplamente difundidos, como HTML + CSS + JavaScript, não necessitando de instalação de nenhum plugin ou runtime adicional na estação cliente para operação do sistema, exceto nos casos de restrição de acesso a máquina local pelo navegador, e próprios da arquitetura de aplicações Web;</w:t>
      </w:r>
    </w:p>
    <w:p w14:paraId="4EAB79E6"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ao administrador local que, através de interface dentro do próprio Sistema, consulte sessões ativas no servidor de aplicação, disponibilizando informações como:</w:t>
      </w:r>
    </w:p>
    <w:p w14:paraId="2370463F" w14:textId="77777777" w:rsidR="00B307DB" w:rsidRPr="00680B5B" w:rsidRDefault="00B307DB" w:rsidP="00F60DF5">
      <w:pPr>
        <w:pStyle w:val="PargrafodaLista"/>
        <w:numPr>
          <w:ilvl w:val="0"/>
          <w:numId w:val="273"/>
        </w:numPr>
        <w:tabs>
          <w:tab w:val="left" w:pos="426"/>
          <w:tab w:val="left" w:pos="851"/>
        </w:tabs>
        <w:suppressAutoHyphens/>
        <w:spacing w:after="0" w:line="240" w:lineRule="auto"/>
        <w:ind w:right="-568" w:hanging="153"/>
        <w:contextualSpacing w:val="0"/>
        <w:jc w:val="both"/>
        <w:rPr>
          <w:rFonts w:ascii="Times New Roman" w:hAnsi="Times New Roman" w:cs="Times New Roman"/>
        </w:rPr>
      </w:pPr>
      <w:r w:rsidRPr="00680B5B">
        <w:rPr>
          <w:rFonts w:ascii="Times New Roman" w:hAnsi="Times New Roman" w:cs="Times New Roman"/>
        </w:rPr>
        <w:t>Data de Início da Sessão;</w:t>
      </w:r>
    </w:p>
    <w:p w14:paraId="2543A2A0" w14:textId="77777777" w:rsidR="00B307DB" w:rsidRPr="00680B5B" w:rsidRDefault="00B307DB" w:rsidP="00F60DF5">
      <w:pPr>
        <w:pStyle w:val="PargrafodaLista"/>
        <w:numPr>
          <w:ilvl w:val="0"/>
          <w:numId w:val="273"/>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Data da Última requisição; </w:t>
      </w:r>
    </w:p>
    <w:p w14:paraId="2EC28F65" w14:textId="77777777" w:rsidR="00B307DB" w:rsidRPr="00680B5B" w:rsidRDefault="00B307DB" w:rsidP="00F60DF5">
      <w:pPr>
        <w:pStyle w:val="PargrafodaLista"/>
        <w:numPr>
          <w:ilvl w:val="0"/>
          <w:numId w:val="273"/>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Código e nome do usuário (quando sessão logada); </w:t>
      </w:r>
    </w:p>
    <w:p w14:paraId="7903E32A" w14:textId="77777777" w:rsidR="00B307DB" w:rsidRPr="00680B5B" w:rsidRDefault="00B307DB" w:rsidP="00F60DF5">
      <w:pPr>
        <w:pStyle w:val="PargrafodaLista"/>
        <w:numPr>
          <w:ilvl w:val="0"/>
          <w:numId w:val="273"/>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Tempo total da sessão; </w:t>
      </w:r>
    </w:p>
    <w:p w14:paraId="252EBB6B" w14:textId="77777777" w:rsidR="00B307DB" w:rsidRPr="00680B5B" w:rsidRDefault="00B307DB" w:rsidP="00F60DF5">
      <w:pPr>
        <w:pStyle w:val="PargrafodaLista"/>
        <w:numPr>
          <w:ilvl w:val="0"/>
          <w:numId w:val="273"/>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Endereço IP da estação de trabalho.</w:t>
      </w:r>
    </w:p>
    <w:p w14:paraId="0CD8C6C6"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ainda que:</w:t>
      </w:r>
    </w:p>
    <w:p w14:paraId="734E57AB" w14:textId="77777777" w:rsidR="00B307DB" w:rsidRPr="00680B5B" w:rsidRDefault="00B307DB" w:rsidP="00F60DF5">
      <w:pPr>
        <w:pStyle w:val="PargrafodaLista"/>
        <w:numPr>
          <w:ilvl w:val="0"/>
          <w:numId w:val="274"/>
        </w:numPr>
        <w:tabs>
          <w:tab w:val="clear" w:pos="720"/>
          <w:tab w:val="left" w:pos="426"/>
          <w:tab w:val="left" w:pos="851"/>
          <w:tab w:val="left"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A sessão seja finalizada pelo administrador;</w:t>
      </w:r>
    </w:p>
    <w:p w14:paraId="1F862EBD" w14:textId="77777777" w:rsidR="00B307DB" w:rsidRPr="00680B5B" w:rsidRDefault="00B307DB" w:rsidP="00F60DF5">
      <w:pPr>
        <w:pStyle w:val="PargrafodaLista"/>
        <w:numPr>
          <w:ilvl w:val="0"/>
          <w:numId w:val="274"/>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O administrador consiga enviar mensagens internas no Sistema para um ou mais usuário(s) logado(s);</w:t>
      </w:r>
    </w:p>
    <w:p w14:paraId="79BBC69F"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Possibilitar ao administrador local que este gerencie os acessos (permitir/restringir) aos logs de auditoria do Sistema;</w:t>
      </w:r>
    </w:p>
    <w:p w14:paraId="33BFCA48"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fornecer múltiplos meios de auditoria (logs), sendo no mínimo:</w:t>
      </w:r>
    </w:p>
    <w:p w14:paraId="5FC00432" w14:textId="77777777" w:rsidR="00B307DB" w:rsidRPr="00680B5B" w:rsidRDefault="00B307DB" w:rsidP="00F60DF5">
      <w:pPr>
        <w:pStyle w:val="PargrafodaLista"/>
        <w:numPr>
          <w:ilvl w:val="0"/>
          <w:numId w:val="275"/>
        </w:numPr>
        <w:tabs>
          <w:tab w:val="clear" w:pos="720"/>
          <w:tab w:val="left" w:pos="426"/>
          <w:tab w:val="num" w:pos="851"/>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Logs de Ações realizadas no Sistema (operações como consultar, imprimir, por exemplo);</w:t>
      </w:r>
    </w:p>
    <w:p w14:paraId="646DDC69" w14:textId="77777777" w:rsidR="00B307DB" w:rsidRPr="00680B5B" w:rsidRDefault="00B307DB" w:rsidP="00F60DF5">
      <w:pPr>
        <w:pStyle w:val="PargrafodaLista"/>
        <w:numPr>
          <w:ilvl w:val="0"/>
          <w:numId w:val="275"/>
        </w:numPr>
        <w:tabs>
          <w:tab w:val="left" w:pos="426"/>
          <w:tab w:val="left" w:pos="993"/>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Logs de Operações realizadas que afetem dados do banco de dados (incluir, excluir, alterar, etc.);</w:t>
      </w:r>
    </w:p>
    <w:p w14:paraId="65AD97B6" w14:textId="77777777" w:rsidR="00B307DB" w:rsidRPr="00680B5B" w:rsidRDefault="00B307DB" w:rsidP="00F60DF5">
      <w:pPr>
        <w:pStyle w:val="PargrafodaLista"/>
        <w:numPr>
          <w:ilvl w:val="0"/>
          <w:numId w:val="275"/>
        </w:numPr>
        <w:tabs>
          <w:tab w:val="left" w:pos="426"/>
          <w:tab w:val="left" w:pos="993"/>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Logs de Autenticação de usuários (toda ação de login/logout, incluindo dados adicionais);</w:t>
      </w:r>
    </w:p>
    <w:p w14:paraId="4FA20CB7"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que TODAS as telas de consulta do sistema, incluindo as consultas personalizadas criadas através do gerador de consultas para a entidade, disponibilizem os seguintes recursos aos usuários:</w:t>
      </w:r>
    </w:p>
    <w:p w14:paraId="16CE9C07" w14:textId="77777777" w:rsidR="00B307DB" w:rsidRPr="00680B5B" w:rsidRDefault="00B307DB" w:rsidP="00F60DF5">
      <w:pPr>
        <w:pStyle w:val="TableParagraph"/>
        <w:numPr>
          <w:ilvl w:val="0"/>
          <w:numId w:val="276"/>
        </w:numPr>
        <w:tabs>
          <w:tab w:val="clear" w:pos="720"/>
          <w:tab w:val="left" w:pos="426"/>
          <w:tab w:val="left" w:pos="993"/>
          <w:tab w:val="num" w:pos="1134"/>
          <w:tab w:val="left" w:pos="1418"/>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Informar e adicionar filtros personalizáveis pelas chaves de acesso disponíveis ao cadastro, de maneira isolada ou combinada;</w:t>
      </w:r>
    </w:p>
    <w:p w14:paraId="0F448054" w14:textId="77777777" w:rsidR="00B307DB" w:rsidRPr="00680B5B" w:rsidRDefault="00B307DB" w:rsidP="00F60DF5">
      <w:pPr>
        <w:pStyle w:val="TableParagraph"/>
        <w:numPr>
          <w:ilvl w:val="0"/>
          <w:numId w:val="276"/>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Disponibilizar diversos operadores de consulta: Menor ou igual, Maior ou igual, Igual, Contém, Não Contém, Contido em, Não contido em, Inicia com, Termina com e Entre. Observar logicamente a aplicação de cada operador conforme tipo do dado relacionado a ser pesquisado;</w:t>
      </w:r>
    </w:p>
    <w:p w14:paraId="51FBCA71" w14:textId="77777777" w:rsidR="00B307DB" w:rsidRPr="00680B5B" w:rsidRDefault="00B307DB" w:rsidP="00F60DF5">
      <w:pPr>
        <w:pStyle w:val="TableParagraph"/>
        <w:numPr>
          <w:ilvl w:val="0"/>
          <w:numId w:val="276"/>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Especialmente os operadores de conjunto “Contido em” e “Não Contido em”, devem disponibilizar opção para informar os dados por intervalo e intercalado, ex: 1,2,10-15, ou seja, o valor 1 e o valor 2, incluindo ainda os valores de 10 a 15;</w:t>
      </w:r>
    </w:p>
    <w:p w14:paraId="4392262B" w14:textId="77777777" w:rsidR="00B307DB" w:rsidRPr="00680B5B" w:rsidRDefault="00B307DB" w:rsidP="00F60DF5">
      <w:pPr>
        <w:pStyle w:val="TableParagraph"/>
        <w:numPr>
          <w:ilvl w:val="0"/>
          <w:numId w:val="276"/>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Realizar o reposicionamento, bem como o ajuste do tamanho e disposição das colunas disponíveis na consulta. Também deverá permitir ocultar ou exibir colunas;</w:t>
      </w:r>
    </w:p>
    <w:p w14:paraId="58CF26A5" w14:textId="77777777" w:rsidR="00B307DB" w:rsidRPr="00680B5B" w:rsidRDefault="00B307DB" w:rsidP="00F60DF5">
      <w:pPr>
        <w:pStyle w:val="TableParagraph"/>
        <w:numPr>
          <w:ilvl w:val="0"/>
          <w:numId w:val="276"/>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Realizar a ordenação da consulta de forma ascendente (do menor para o maior) ou descendente (do maior para o menor), utilizando uma ou várias colunas ao mesmo tempo;</w:t>
      </w:r>
    </w:p>
    <w:p w14:paraId="1E0A7EC8" w14:textId="77777777" w:rsidR="00B307DB" w:rsidRPr="00680B5B" w:rsidRDefault="00B307DB" w:rsidP="00F60DF5">
      <w:pPr>
        <w:pStyle w:val="TableParagraph"/>
        <w:numPr>
          <w:ilvl w:val="0"/>
          <w:numId w:val="276"/>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Recurso para seleção múltipla de registros, para que operações consideradas comuns para todas as linhas selecionadas possam ser executadas em lote, como por exemplo: excluir, imprimir e selecionar (quando for o</w:t>
      </w:r>
      <w:r w:rsidRPr="00680B5B">
        <w:rPr>
          <w:rFonts w:ascii="Times New Roman" w:hAnsi="Times New Roman" w:cs="Times New Roman"/>
          <w:spacing w:val="-3"/>
          <w:lang w:val="pt-BR"/>
        </w:rPr>
        <w:t xml:space="preserve"> </w:t>
      </w:r>
      <w:r w:rsidRPr="00680B5B">
        <w:rPr>
          <w:rFonts w:ascii="Times New Roman" w:hAnsi="Times New Roman" w:cs="Times New Roman"/>
          <w:lang w:val="pt-BR"/>
        </w:rPr>
        <w:t>caso);</w:t>
      </w:r>
    </w:p>
    <w:p w14:paraId="13AE7548" w14:textId="77777777" w:rsidR="00B307DB" w:rsidRPr="00680B5B" w:rsidRDefault="00B307DB" w:rsidP="00F60DF5">
      <w:pPr>
        <w:pStyle w:val="TableParagraph"/>
        <w:numPr>
          <w:ilvl w:val="0"/>
          <w:numId w:val="276"/>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o usuário selecione o número de registros por página e faça a navegação entre as páginas;</w:t>
      </w:r>
    </w:p>
    <w:p w14:paraId="26D60E98" w14:textId="77777777" w:rsidR="00B307DB" w:rsidRPr="00680B5B" w:rsidRDefault="00B307DB" w:rsidP="00F60DF5">
      <w:pPr>
        <w:pStyle w:val="TableParagraph"/>
        <w:numPr>
          <w:ilvl w:val="0"/>
          <w:numId w:val="276"/>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Impressão da visualização atual da consulta, com opção de informar: título, formato de saída e totalizadores de colunas. Além disso deve permitir ainda a definição do formato de saída podendo ser no mínimo:  PDF, DOC, DOCX, XLS, XLSX, HTML, XML, CSV. Deve-se permitir emitir todos os registros da consulta ou apenas aqueles selecionados;</w:t>
      </w:r>
    </w:p>
    <w:p w14:paraId="7CFAA2F9" w14:textId="77777777" w:rsidR="00B307DB" w:rsidRPr="00680B5B" w:rsidRDefault="00B307DB" w:rsidP="00F60DF5">
      <w:pPr>
        <w:pStyle w:val="TableParagraph"/>
        <w:numPr>
          <w:ilvl w:val="0"/>
          <w:numId w:val="276"/>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o usuário retorne à consulta em seu estado original (default);</w:t>
      </w:r>
    </w:p>
    <w:p w14:paraId="364B2EC8" w14:textId="77777777" w:rsidR="00B307DB" w:rsidRPr="00680B5B" w:rsidRDefault="00B307DB" w:rsidP="00F60DF5">
      <w:pPr>
        <w:pStyle w:val="TableParagraph"/>
        <w:numPr>
          <w:ilvl w:val="0"/>
          <w:numId w:val="276"/>
        </w:numPr>
        <w:tabs>
          <w:tab w:val="left" w:pos="426"/>
          <w:tab w:val="left" w:pos="993"/>
          <w:tab w:val="left" w:pos="1418"/>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Permitir que o usuário salve múltiplas preferências da consulta (campos em exibição incluindo posição e ordenação, informações de filtros em tela, etc.), permitindo definir um nome para cada </w:t>
      </w:r>
      <w:r w:rsidRPr="00680B5B">
        <w:rPr>
          <w:rFonts w:ascii="Times New Roman" w:hAnsi="Times New Roman" w:cs="Times New Roman"/>
          <w:lang w:val="pt-BR"/>
        </w:rPr>
        <w:lastRenderedPageBreak/>
        <w:t>uma delas e dispor da capacidade de compartilhar a preferência com todos os demais usuários, que possuam privilégio para a mesma consulta.</w:t>
      </w:r>
    </w:p>
    <w:p w14:paraId="7D4E801A"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Possibilitar que o sistema disponibilize recurso para consistência de dados, de múltiplas áreas/módulos, constantes da base de dados, com o objetivo de coibir eventuais falhas geradas por dados inconsistentes, sejam esses gerados pela própria aplicação ao longo do tempo ou então migrados de aplicações legadas, permitindo também:</w:t>
      </w:r>
    </w:p>
    <w:p w14:paraId="4795504B" w14:textId="77777777" w:rsidR="00B307DB" w:rsidRPr="00680B5B" w:rsidRDefault="00B307DB" w:rsidP="00F60DF5">
      <w:pPr>
        <w:pStyle w:val="TableParagraph"/>
        <w:numPr>
          <w:ilvl w:val="0"/>
          <w:numId w:val="277"/>
        </w:numPr>
        <w:tabs>
          <w:tab w:val="clear" w:pos="720"/>
          <w:tab w:val="left" w:pos="851"/>
          <w:tab w:val="num" w:pos="1134"/>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A cada execução logs devem ser armazenados, para verificar se determinada consistência apresentou alguma falha na última execução;</w:t>
      </w:r>
    </w:p>
    <w:p w14:paraId="463627FC" w14:textId="77777777" w:rsidR="00B307DB" w:rsidRPr="00680B5B" w:rsidRDefault="00B307DB" w:rsidP="00F60DF5">
      <w:pPr>
        <w:pStyle w:val="TableParagraph"/>
        <w:numPr>
          <w:ilvl w:val="0"/>
          <w:numId w:val="27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Emitir relatório com os apontamentos de inconsistências encontradas nas verificações, indicando a gravidade de cada uma;</w:t>
      </w:r>
    </w:p>
    <w:p w14:paraId="26A8C71D" w14:textId="77777777" w:rsidR="00B307DB" w:rsidRPr="00680B5B" w:rsidRDefault="00B307DB" w:rsidP="00F60DF5">
      <w:pPr>
        <w:pStyle w:val="TableParagraph"/>
        <w:numPr>
          <w:ilvl w:val="0"/>
          <w:numId w:val="27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Executar as consistências em primeiro ou segundo plano (tarefa em background, no servidor). Caso em segundo plano, o usuário deverá ser alertado quando a mesma encerrar;</w:t>
      </w:r>
    </w:p>
    <w:p w14:paraId="33EB71D6"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Realizar entrada de dados apenas via sistema, não sendo permitido o acesso direto ao Banco de</w:t>
      </w:r>
      <w:r w:rsidRPr="00680B5B">
        <w:rPr>
          <w:rFonts w:ascii="Times New Roman" w:hAnsi="Times New Roman" w:cs="Times New Roman"/>
          <w:spacing w:val="-5"/>
        </w:rPr>
        <w:t xml:space="preserve"> </w:t>
      </w:r>
      <w:r w:rsidRPr="00680B5B">
        <w:rPr>
          <w:rFonts w:ascii="Times New Roman" w:hAnsi="Times New Roman" w:cs="Times New Roman"/>
        </w:rPr>
        <w:t>Dados;</w:t>
      </w:r>
    </w:p>
    <w:p w14:paraId="6A7AF176"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Oferecer total segurança contra a violação dos dados ou acessos indevidos às informações. Essa segurança total deve ser aplicada em camadas que vão desde validações no lado cliente (front-end), passado pelo canal de comunicação (HTTPS), aplicando restrições de acesso aos endereços e portas dos</w:t>
      </w:r>
      <w:r w:rsidRPr="00680B5B">
        <w:rPr>
          <w:rFonts w:ascii="Times New Roman" w:hAnsi="Times New Roman" w:cs="Times New Roman"/>
          <w:spacing w:val="-10"/>
        </w:rPr>
        <w:t xml:space="preserve"> </w:t>
      </w:r>
      <w:r w:rsidRPr="00680B5B">
        <w:rPr>
          <w:rFonts w:ascii="Times New Roman" w:hAnsi="Times New Roman" w:cs="Times New Roman"/>
        </w:rPr>
        <w:t>serviços;</w:t>
      </w:r>
    </w:p>
    <w:p w14:paraId="098E2A17"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Acesso ilimitado de usuários simultâneos, sem necessidade de aquisição de novas licenças de qualquer dos softwares locados;</w:t>
      </w:r>
    </w:p>
    <w:p w14:paraId="2DF16F40"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conter Cadastro</w:t>
      </w:r>
      <w:r w:rsidRPr="00680B5B">
        <w:rPr>
          <w:rFonts w:ascii="Times New Roman" w:hAnsi="Times New Roman" w:cs="Times New Roman"/>
          <w:spacing w:val="-11"/>
        </w:rPr>
        <w:t xml:space="preserve"> </w:t>
      </w:r>
      <w:r w:rsidRPr="00680B5B">
        <w:rPr>
          <w:rFonts w:ascii="Times New Roman" w:hAnsi="Times New Roman" w:cs="Times New Roman"/>
        </w:rPr>
        <w:t>Único, sob o conceito de compartilhamento de dados e não integração por intermédio de outros artifícios, que podem danificar a integridade dos cadastros ao longo do tempo. Este deverá ser formado no mínimo com o seguinte conjunto de dados:</w:t>
      </w:r>
    </w:p>
    <w:p w14:paraId="2245BB40" w14:textId="77777777" w:rsidR="00B307DB" w:rsidRPr="00680B5B" w:rsidRDefault="00B307DB" w:rsidP="00F60DF5">
      <w:pPr>
        <w:pStyle w:val="TableParagraph"/>
        <w:numPr>
          <w:ilvl w:val="0"/>
          <w:numId w:val="278"/>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Cadastro de Pessoas;</w:t>
      </w:r>
    </w:p>
    <w:p w14:paraId="682D4749"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Textos Jurídicos - Leis, Portarias, Decretos entre outros;</w:t>
      </w:r>
    </w:p>
    <w:p w14:paraId="2C14AED6"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Centros de custo/Organograma;</w:t>
      </w:r>
    </w:p>
    <w:p w14:paraId="30841020"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Entidades;</w:t>
      </w:r>
    </w:p>
    <w:p w14:paraId="556B60EF"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Bancos;</w:t>
      </w:r>
    </w:p>
    <w:p w14:paraId="13728B57"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Agências;</w:t>
      </w:r>
    </w:p>
    <w:p w14:paraId="2C584C44"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Tributos;</w:t>
      </w:r>
    </w:p>
    <w:p w14:paraId="5272A75E"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Moedas;</w:t>
      </w:r>
    </w:p>
    <w:p w14:paraId="138B92C0"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Cidades;</w:t>
      </w:r>
    </w:p>
    <w:p w14:paraId="6C897BCE"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Bairros;</w:t>
      </w:r>
    </w:p>
    <w:p w14:paraId="715F868B"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Logradouros;</w:t>
      </w:r>
    </w:p>
    <w:p w14:paraId="78B9744F"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Produtos;</w:t>
      </w:r>
    </w:p>
    <w:p w14:paraId="7DAFF79A"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Assinantes de Relatórios Legais;</w:t>
      </w:r>
    </w:p>
    <w:p w14:paraId="62BAC75A" w14:textId="77777777" w:rsidR="00B307DB" w:rsidRPr="00680B5B" w:rsidRDefault="00B307DB" w:rsidP="00F60DF5">
      <w:pPr>
        <w:pStyle w:val="TableParagraph"/>
        <w:numPr>
          <w:ilvl w:val="0"/>
          <w:numId w:val="27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CBO - Cadastro Brasileiro de Ocupações.</w:t>
      </w:r>
    </w:p>
    <w:p w14:paraId="327EC401"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Cadastro Único deve permitir o compartilhamento de dados com todos os</w:t>
      </w:r>
      <w:r w:rsidRPr="00680B5B">
        <w:rPr>
          <w:rFonts w:ascii="Times New Roman" w:hAnsi="Times New Roman" w:cs="Times New Roman"/>
          <w:spacing w:val="-7"/>
        </w:rPr>
        <w:t xml:space="preserve"> demais </w:t>
      </w:r>
      <w:r w:rsidRPr="00680B5B">
        <w:rPr>
          <w:rFonts w:ascii="Times New Roman" w:hAnsi="Times New Roman" w:cs="Times New Roman"/>
        </w:rPr>
        <w:t>módulos do sistema;</w:t>
      </w:r>
    </w:p>
    <w:p w14:paraId="44321AF4"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Garantir integridade referencial entre as tabelas do Banco de Dados, não permitindo a exclusão de informações que tenham vínculo com outros registros ativos via sistema e pelo banco de</w:t>
      </w:r>
      <w:r w:rsidRPr="00680B5B">
        <w:rPr>
          <w:rFonts w:ascii="Times New Roman" w:hAnsi="Times New Roman" w:cs="Times New Roman"/>
          <w:spacing w:val="-7"/>
        </w:rPr>
        <w:t xml:space="preserve"> </w:t>
      </w:r>
      <w:r w:rsidRPr="00680B5B">
        <w:rPr>
          <w:rFonts w:ascii="Times New Roman" w:hAnsi="Times New Roman" w:cs="Times New Roman"/>
        </w:rPr>
        <w:t>dados;</w:t>
      </w:r>
    </w:p>
    <w:p w14:paraId="5140CC25"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Ser construído com o conceito de controle de transações (ou tudo é gravado ou nada é gravado e nada </w:t>
      </w:r>
      <w:r w:rsidRPr="00680B5B">
        <w:rPr>
          <w:rFonts w:ascii="Times New Roman" w:hAnsi="Times New Roman" w:cs="Times New Roman"/>
          <w:spacing w:val="-17"/>
        </w:rPr>
        <w:t xml:space="preserve">é </w:t>
      </w:r>
      <w:r w:rsidRPr="00680B5B">
        <w:rPr>
          <w:rFonts w:ascii="Times New Roman" w:hAnsi="Times New Roman" w:cs="Times New Roman"/>
        </w:rPr>
        <w:t>corrompido/comprometido), garantindo a integridade das informações do banco de dados em casos de queda energia, falhas de hardware ou</w:t>
      </w:r>
      <w:r w:rsidRPr="00680B5B">
        <w:rPr>
          <w:rFonts w:ascii="Times New Roman" w:hAnsi="Times New Roman" w:cs="Times New Roman"/>
          <w:spacing w:val="-3"/>
        </w:rPr>
        <w:t xml:space="preserve"> </w:t>
      </w:r>
      <w:r w:rsidRPr="00680B5B">
        <w:rPr>
          <w:rFonts w:ascii="Times New Roman" w:hAnsi="Times New Roman" w:cs="Times New Roman"/>
        </w:rPr>
        <w:t>software. O usuário sempre deverá ser informado, sobre a finalização com sucesso ou não das transações operacionais (inclusão, alteração e/ou exclusão de registros), antes de liberar o controle da aplicação para a realização de outras atividades;</w:t>
      </w:r>
    </w:p>
    <w:p w14:paraId="3DE4888D"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Possuir recursos de segurança no </w:t>
      </w:r>
      <w:r w:rsidRPr="00680B5B">
        <w:rPr>
          <w:rFonts w:ascii="Times New Roman" w:hAnsi="Times New Roman" w:cs="Times New Roman"/>
          <w:spacing w:val="-4"/>
        </w:rPr>
        <w:t xml:space="preserve">SGBD </w:t>
      </w:r>
      <w:r w:rsidRPr="00680B5B">
        <w:rPr>
          <w:rFonts w:ascii="Times New Roman" w:hAnsi="Times New Roman" w:cs="Times New Roman"/>
        </w:rPr>
        <w:t>para impedir que usuários não autorizados obtenham êxito em acessar a base de dados para efetuar consulta, alteração, impressão ou cópia. Não será permitido o acesso do sistema ao SGBD através de usuário DBA (Superusuário) do Banco de Dados, devendo existir usuário específico para acesso da aplicação e usuários adicionais para</w:t>
      </w:r>
      <w:r w:rsidRPr="00680B5B">
        <w:rPr>
          <w:rFonts w:ascii="Times New Roman" w:hAnsi="Times New Roman" w:cs="Times New Roman"/>
          <w:spacing w:val="-2"/>
        </w:rPr>
        <w:t xml:space="preserve"> </w:t>
      </w:r>
      <w:r w:rsidRPr="00680B5B">
        <w:rPr>
          <w:rFonts w:ascii="Times New Roman" w:hAnsi="Times New Roman" w:cs="Times New Roman"/>
        </w:rPr>
        <w:t>consulta;</w:t>
      </w:r>
    </w:p>
    <w:p w14:paraId="03574C4A"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Não será permitido a contratante ou terceiros acessos ao SGDB e Banco de Dados durante a vigência do contrato ou sua integração com outras aplicações, ainda que por cópias, ou bkp, sem anuência expressa da Contratada desenvolvedora, sob pena de violação da Lei de Direitos Autorais e Lei de Proteção aos Direitos de Software, ao qual a Contratante será objetivamente responsabilizada civil e penalmente em caso de violação;</w:t>
      </w:r>
    </w:p>
    <w:p w14:paraId="471655CD"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lastRenderedPageBreak/>
        <w:t>Fornecer em todo o sistema relatórios e consultas com opção de visualização em tela, possibilitando imprimir, exportar, assinar digitalmente assim que emitido e salvar minimamente para os formatos:  PDF, DOC, DOCX, XLS, XLSX, HTML, XML, CSV;</w:t>
      </w:r>
    </w:p>
    <w:p w14:paraId="3EE665AD"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O sistema deverá dispor de Gerenciador de usuários centralizando em um único local a administração de todos os usuários, sejam funcionários e cidadãos, permitindo ainda controlar </w:t>
      </w:r>
      <w:r w:rsidRPr="00680B5B">
        <w:rPr>
          <w:rFonts w:ascii="Times New Roman" w:hAnsi="Times New Roman" w:cs="Times New Roman"/>
          <w:spacing w:val="-3"/>
        </w:rPr>
        <w:t xml:space="preserve">permissões </w:t>
      </w:r>
      <w:r w:rsidRPr="00680B5B">
        <w:rPr>
          <w:rFonts w:ascii="Times New Roman" w:hAnsi="Times New Roman" w:cs="Times New Roman"/>
        </w:rPr>
        <w:t>de acesso, dispondo das seguintes funcionalidades mínimas:</w:t>
      </w:r>
    </w:p>
    <w:p w14:paraId="27D76D46" w14:textId="77777777" w:rsidR="00B307DB" w:rsidRPr="00680B5B" w:rsidRDefault="00B307DB" w:rsidP="00F60DF5">
      <w:pPr>
        <w:pStyle w:val="TableParagraph"/>
        <w:numPr>
          <w:ilvl w:val="0"/>
          <w:numId w:val="279"/>
        </w:numPr>
        <w:tabs>
          <w:tab w:val="clear" w:pos="720"/>
          <w:tab w:val="left" w:pos="426"/>
          <w:tab w:val="left" w:pos="851"/>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Relacionar o usuário a um ou mais perfis, utilizando perfis já pré-definidos (</w:t>
      </w:r>
      <w:r w:rsidRPr="00680B5B">
        <w:rPr>
          <w:rFonts w:ascii="Times New Roman" w:hAnsi="Times New Roman" w:cs="Times New Roman"/>
        </w:rPr>
        <w:t xml:space="preserve">como </w:t>
      </w:r>
      <w:r w:rsidRPr="00680B5B">
        <w:rPr>
          <w:rFonts w:ascii="Times New Roman" w:hAnsi="Times New Roman" w:cs="Times New Roman"/>
          <w:lang w:val="pt-BR"/>
        </w:rPr>
        <w:t>Operacional e Gerencial, Consulta de Pessoas e Endereços, Manutenção de Pessoas, Processo Digital Gerencial, etc.) ou personalizados pela administração local;</w:t>
      </w:r>
    </w:p>
    <w:p w14:paraId="0E87DE97" w14:textId="77777777" w:rsidR="00B307DB" w:rsidRPr="00680B5B" w:rsidRDefault="00B307DB" w:rsidP="00F60DF5">
      <w:pPr>
        <w:pStyle w:val="TableParagraph"/>
        <w:numPr>
          <w:ilvl w:val="0"/>
          <w:numId w:val="279"/>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Utilizar os privilégios dos perfis para acessar as rotinas e funções do sistema, como consulta, inclusão, alteração, exclusão e todas as demais ações disponíveis para o usuário nas telas do sistema;</w:t>
      </w:r>
    </w:p>
    <w:p w14:paraId="0D72F743" w14:textId="77777777" w:rsidR="00B307DB" w:rsidRPr="00680B5B" w:rsidRDefault="00B307DB" w:rsidP="00F60DF5">
      <w:pPr>
        <w:pStyle w:val="TableParagraph"/>
        <w:numPr>
          <w:ilvl w:val="0"/>
          <w:numId w:val="279"/>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Gerenciar restrições de acesso às funções do sistema através do uso de senhas, bloqueando por padrão o acesso após 3 (três) tentativas de acesso mal</w:t>
      </w:r>
      <w:r w:rsidRPr="00680B5B">
        <w:rPr>
          <w:rFonts w:ascii="Times New Roman" w:hAnsi="Times New Roman" w:cs="Times New Roman"/>
          <w:spacing w:val="-2"/>
          <w:lang w:val="pt-BR"/>
        </w:rPr>
        <w:t>sucedidas</w:t>
      </w:r>
      <w:r w:rsidRPr="00680B5B">
        <w:rPr>
          <w:rFonts w:ascii="Times New Roman" w:hAnsi="Times New Roman" w:cs="Times New Roman"/>
          <w:lang w:val="pt-BR"/>
        </w:rPr>
        <w:t>, podendo o administrador local configurar essa condição para mais ou menos tentativas;</w:t>
      </w:r>
    </w:p>
    <w:p w14:paraId="0E8485DB" w14:textId="77777777" w:rsidR="00B307DB" w:rsidRPr="00680B5B" w:rsidRDefault="00B307DB" w:rsidP="00F60DF5">
      <w:pPr>
        <w:pStyle w:val="TableParagraph"/>
        <w:numPr>
          <w:ilvl w:val="0"/>
          <w:numId w:val="279"/>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 administrador do sistema deverá poder definir a forma de login do usuário de acordo com os métodos disponíveis: CPF e Senha, e- CPF/e-CNPJ, Biometria e Login Único Gov.Br;</w:t>
      </w:r>
    </w:p>
    <w:p w14:paraId="0D0FE519" w14:textId="77777777" w:rsidR="00B307DB" w:rsidRPr="00680B5B" w:rsidRDefault="00B307DB" w:rsidP="00F60DF5">
      <w:pPr>
        <w:pStyle w:val="TableParagraph"/>
        <w:numPr>
          <w:ilvl w:val="0"/>
          <w:numId w:val="279"/>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color w:val="000000"/>
          <w:lang w:eastAsia="pt-BR"/>
        </w:rPr>
        <w:t>O sistema deverá ser acessível por meio do login único GovBR, garantindo a identificação de cada cidadão que acessa os serviços digitais e removendo entraves à acessibilidade dos serviços públicos pela população</w:t>
      </w:r>
      <w:r w:rsidRPr="00680B5B">
        <w:rPr>
          <w:rFonts w:ascii="Times New Roman" w:hAnsi="Times New Roman" w:cs="Times New Roman"/>
          <w:lang w:val="pt-BR"/>
        </w:rPr>
        <w:t>;</w:t>
      </w:r>
    </w:p>
    <w:p w14:paraId="35D4AEF3"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que seja realizada inclusão de um usuário externo ao sistema (para o cidadão), diretamente pelo cadastro único de pessoas, quando este ainda não possuir um usuário criado;</w:t>
      </w:r>
    </w:p>
    <w:p w14:paraId="3B4862F7"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dispor de recurso que permita o usuário definir regras individuais de permissão/restrição de mensagens/notificações internas do sistema. As restrições devem ser impostas por categoria de mensagens de acordo com os tipos previstos pela aplicação;</w:t>
      </w:r>
    </w:p>
    <w:p w14:paraId="63096A88"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ser dotado de recursos que garantam a segurança quanto ao acesso e uso do sistema pelos usuários, dispondo das seguintes configurações mínimas:</w:t>
      </w:r>
    </w:p>
    <w:p w14:paraId="7B48C436" w14:textId="77777777" w:rsidR="00B307DB" w:rsidRPr="00680B5B" w:rsidRDefault="00B307DB" w:rsidP="00F60DF5">
      <w:pPr>
        <w:pStyle w:val="TableParagraph"/>
        <w:numPr>
          <w:ilvl w:val="0"/>
          <w:numId w:val="280"/>
        </w:numPr>
        <w:tabs>
          <w:tab w:val="clear" w:pos="720"/>
          <w:tab w:val="left" w:pos="426"/>
          <w:tab w:val="left" w:pos="851"/>
          <w:tab w:val="num" w:pos="1134"/>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 xml:space="preserve">Permitir validar se usuário/funcionário está com contrato ativo durante o seu login, </w:t>
      </w:r>
      <w:r w:rsidRPr="00680B5B">
        <w:rPr>
          <w:rFonts w:ascii="Times New Roman" w:hAnsi="Times New Roman" w:cs="Times New Roman"/>
        </w:rPr>
        <w:t>evitando</w:t>
      </w:r>
      <w:r w:rsidRPr="00680B5B">
        <w:rPr>
          <w:rFonts w:ascii="Times New Roman" w:hAnsi="Times New Roman" w:cs="Times New Roman"/>
          <w:lang w:val="pt-BR"/>
        </w:rPr>
        <w:t xml:space="preserve"> assim que funcionários afastados ou em férias tenham acesso ao software interno;</w:t>
      </w:r>
    </w:p>
    <w:p w14:paraId="319C3F88" w14:textId="77777777" w:rsidR="00B307DB" w:rsidRPr="00680B5B" w:rsidRDefault="00B307DB" w:rsidP="00F60DF5">
      <w:pPr>
        <w:pStyle w:val="TableParagraph"/>
        <w:numPr>
          <w:ilvl w:val="0"/>
          <w:numId w:val="2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se o horário de trabalho do usuário/funcionário deverá ser considerado conforme definições de jornada de trabalho atribuídas;</w:t>
      </w:r>
    </w:p>
    <w:p w14:paraId="523E1E3F" w14:textId="77777777" w:rsidR="00B307DB" w:rsidRPr="00680B5B" w:rsidRDefault="00B307DB" w:rsidP="00F60DF5">
      <w:pPr>
        <w:pStyle w:val="TableParagraph"/>
        <w:numPr>
          <w:ilvl w:val="0"/>
          <w:numId w:val="2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as regras de composição e tratamento de senhas;</w:t>
      </w:r>
    </w:p>
    <w:p w14:paraId="341B288F" w14:textId="77777777" w:rsidR="00B307DB" w:rsidRPr="00680B5B" w:rsidRDefault="00B307DB" w:rsidP="00F60DF5">
      <w:pPr>
        <w:pStyle w:val="TableParagraph"/>
        <w:numPr>
          <w:ilvl w:val="0"/>
          <w:numId w:val="2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o controle de expiração de senhas, definindo individualmente por usuário se expira ou não a senha bem como definir o prazo de expiração em dias ou uma data específica;</w:t>
      </w:r>
    </w:p>
    <w:p w14:paraId="10EFCF58" w14:textId="77777777" w:rsidR="00B307DB" w:rsidRPr="00680B5B" w:rsidRDefault="00B307DB" w:rsidP="00F60DF5">
      <w:pPr>
        <w:pStyle w:val="TableParagraph"/>
        <w:numPr>
          <w:ilvl w:val="0"/>
          <w:numId w:val="280"/>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disponibilizar acesso para concessão de privilégios para diretores de áreas e que eles possam apenas conceder privilégios para seus subordinados diretos, através da hierarquia de organograma;</w:t>
      </w:r>
    </w:p>
    <w:p w14:paraId="5AF20AD4"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que sejam configuradas restrições de acesso para qualquer formulário do sistema, contendo os seguintes recursos:</w:t>
      </w:r>
    </w:p>
    <w:p w14:paraId="12965922" w14:textId="77777777" w:rsidR="00B307DB" w:rsidRPr="00680B5B" w:rsidRDefault="00B307DB" w:rsidP="00F60DF5">
      <w:pPr>
        <w:pStyle w:val="TableParagraph"/>
        <w:numPr>
          <w:ilvl w:val="0"/>
          <w:numId w:val="281"/>
        </w:numPr>
        <w:tabs>
          <w:tab w:val="clear" w:pos="720"/>
          <w:tab w:val="left" w:pos="426"/>
          <w:tab w:val="left" w:pos="851"/>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Definir para que o usuário seja obrigado a informar uma descrição/averbação sempre que uma determinada ação for realizada;</w:t>
      </w:r>
    </w:p>
    <w:p w14:paraId="2CE63955" w14:textId="77777777" w:rsidR="00B307DB" w:rsidRPr="00680B5B" w:rsidRDefault="00B307DB" w:rsidP="00F60DF5">
      <w:pPr>
        <w:pStyle w:val="TableParagraph"/>
        <w:numPr>
          <w:ilvl w:val="0"/>
          <w:numId w:val="281"/>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Exigir que o usuário possa prosseguir apenas ao realizar nova autenticação, no ato da ação;</w:t>
      </w:r>
    </w:p>
    <w:p w14:paraId="17322C67" w14:textId="77777777" w:rsidR="00B307DB" w:rsidRPr="00680B5B" w:rsidRDefault="00B307DB" w:rsidP="00F60DF5">
      <w:pPr>
        <w:pStyle w:val="TableParagraph"/>
        <w:numPr>
          <w:ilvl w:val="0"/>
          <w:numId w:val="281"/>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Solicitar para que um supervisor realize liberação em tela, para poder prosseguir;</w:t>
      </w:r>
    </w:p>
    <w:p w14:paraId="7ADE1992" w14:textId="77777777" w:rsidR="00B307DB" w:rsidRPr="00680B5B" w:rsidRDefault="00B307DB" w:rsidP="00F60DF5">
      <w:pPr>
        <w:pStyle w:val="TableParagraph"/>
        <w:numPr>
          <w:ilvl w:val="0"/>
          <w:numId w:val="281"/>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Limitar e Liberar acesso temporário para determinadas ações do sistema, podendo configurar dia(s) do mês e horários do dia;</w:t>
      </w:r>
    </w:p>
    <w:p w14:paraId="3587F20C" w14:textId="77777777" w:rsidR="00B307DB" w:rsidRPr="00680B5B" w:rsidRDefault="00B307DB" w:rsidP="00F60DF5">
      <w:pPr>
        <w:pStyle w:val="TableParagraph"/>
        <w:numPr>
          <w:ilvl w:val="0"/>
          <w:numId w:val="281"/>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determinados usuários onde as regras não se aplicam (exceção);</w:t>
      </w:r>
    </w:p>
    <w:p w14:paraId="3B5D8183" w14:textId="77777777" w:rsidR="00B307DB" w:rsidRPr="00680B5B" w:rsidRDefault="00B307DB" w:rsidP="00F60DF5">
      <w:pPr>
        <w:pStyle w:val="TableParagraph"/>
        <w:numPr>
          <w:ilvl w:val="0"/>
          <w:numId w:val="281"/>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regras para desativar ou ativar campos das telas cadastrais do sistema, definindo valor inicial (default) para um determinado campo, verificar se um campo (ou mais) foram alterados, a fim de determinar de forma condicional esses comportamentos podendo emitir mensagens de aviso, inibir a execução de uma ação como incluir, alterar ou excluir, enviar uma mensagem de e-mail para outro usuário, de acordo com regras da entidade sem depender de customização do sistema.</w:t>
      </w:r>
    </w:p>
    <w:p w14:paraId="0D3E5F8D"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Manter histórico de acessos por usuário, rotina e ação, registrando a data, hora e o nome do usuário, IP local do usuário no momento da operação;</w:t>
      </w:r>
    </w:p>
    <w:p w14:paraId="2CE45959"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Manter LOG de auditoria de todas as inclusões, alterações e exclusões efetuadas nas tabelas do sistema, registrando:</w:t>
      </w:r>
    </w:p>
    <w:p w14:paraId="4F447CDA" w14:textId="77777777" w:rsidR="00B307DB" w:rsidRPr="00680B5B" w:rsidRDefault="00B307DB" w:rsidP="00B307DB">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lastRenderedPageBreak/>
        <w:t>a partir de qual rotina do sistema ela fora executada;</w:t>
      </w:r>
    </w:p>
    <w:p w14:paraId="1176A904" w14:textId="77777777" w:rsidR="00B307DB" w:rsidRPr="00680B5B" w:rsidRDefault="00B307DB" w:rsidP="00B307DB">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partir de qual estação de trabalho ela fora executada (ip da máquina local);</w:t>
      </w:r>
    </w:p>
    <w:p w14:paraId="103EAE8F" w14:textId="77777777" w:rsidR="00B307DB" w:rsidRPr="00680B5B" w:rsidRDefault="00B307DB" w:rsidP="00B307DB">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identificação do usuário;</w:t>
      </w:r>
    </w:p>
    <w:p w14:paraId="4FBB6EF4" w14:textId="77777777" w:rsidR="00B307DB" w:rsidRPr="00680B5B" w:rsidRDefault="00B307DB" w:rsidP="00B307DB">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tabela alterada;</w:t>
      </w:r>
    </w:p>
    <w:p w14:paraId="649C59A9" w14:textId="77777777" w:rsidR="00B307DB" w:rsidRPr="00680B5B" w:rsidRDefault="00B307DB" w:rsidP="00B307DB">
      <w:pPr>
        <w:pStyle w:val="TableParagraph"/>
        <w:numPr>
          <w:ilvl w:val="0"/>
          <w:numId w:val="80"/>
        </w:numPr>
        <w:tabs>
          <w:tab w:val="clear" w:pos="720"/>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operação realizada (inclusão, alteração ou exclusão);</w:t>
      </w:r>
    </w:p>
    <w:p w14:paraId="5D288C1F" w14:textId="77777777" w:rsidR="00B307DB" w:rsidRPr="00680B5B" w:rsidRDefault="00B307DB" w:rsidP="00B307DB">
      <w:pPr>
        <w:pStyle w:val="PargrafodaLista"/>
        <w:numPr>
          <w:ilvl w:val="0"/>
          <w:numId w:val="80"/>
        </w:numPr>
        <w:tabs>
          <w:tab w:val="clear" w:pos="720"/>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os dados incluídos, alterados ou</w:t>
      </w:r>
      <w:r w:rsidRPr="00680B5B">
        <w:rPr>
          <w:rFonts w:ascii="Times New Roman" w:hAnsi="Times New Roman" w:cs="Times New Roman"/>
          <w:spacing w:val="-13"/>
        </w:rPr>
        <w:t xml:space="preserve"> </w:t>
      </w:r>
      <w:r w:rsidRPr="00680B5B">
        <w:rPr>
          <w:rFonts w:ascii="Times New Roman" w:hAnsi="Times New Roman" w:cs="Times New Roman"/>
        </w:rPr>
        <w:t>excluídos.</w:t>
      </w:r>
    </w:p>
    <w:p w14:paraId="77947865" w14:textId="77777777" w:rsidR="00B307DB" w:rsidRPr="00680B5B" w:rsidRDefault="00B307DB" w:rsidP="00B307DB">
      <w:pPr>
        <w:pStyle w:val="PargrafodaLista"/>
        <w:numPr>
          <w:ilvl w:val="0"/>
          <w:numId w:val="80"/>
        </w:numPr>
        <w:tabs>
          <w:tab w:val="clear" w:pos="720"/>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o tipo da operação realizada;</w:t>
      </w:r>
    </w:p>
    <w:p w14:paraId="15DBB38E"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Na visualização dos registros de auditoria, deve-se exibir os novos dados para inclusões, novos dados e dados anteriores para alterações e dados anteriores para exclusões;</w:t>
      </w:r>
    </w:p>
    <w:p w14:paraId="2884019D"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cruzamento de informações entre os módulos da solução;</w:t>
      </w:r>
    </w:p>
    <w:p w14:paraId="6B3EB242"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Estruturar o sistema para que seja evitado a redundância de tabelas, exceto quanto a replicação de informações em outros ambientes (como integrações com outras aplicações externas);</w:t>
      </w:r>
    </w:p>
    <w:p w14:paraId="5F498017"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 xml:space="preserve">Integrar com o Diretório Nacional </w:t>
      </w:r>
      <w:r w:rsidRPr="00680B5B">
        <w:rPr>
          <w:rFonts w:ascii="Times New Roman" w:hAnsi="Times New Roman" w:cs="Times New Roman"/>
          <w:spacing w:val="-7"/>
        </w:rPr>
        <w:t xml:space="preserve">de </w:t>
      </w:r>
      <w:r w:rsidRPr="00680B5B">
        <w:rPr>
          <w:rFonts w:ascii="Times New Roman" w:hAnsi="Times New Roman" w:cs="Times New Roman"/>
        </w:rPr>
        <w:t>Endereços (DNE) dos Correios. A base de endereçamento deve ser atualizada mensalmente e um serviço de consulta de endereços deve ser disponibilizado integrado a aplicação, desta forma quando configurado para integrar com o DNE, toda vez que um endereço é informado no sistema o mesmo deve ser validado conforme o DNE e inconformidades alertadas ao usuário podendo ajustar o endereço;</w:t>
      </w:r>
    </w:p>
    <w:p w14:paraId="21C3E4C6"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As tabelas de cidade, estado e país, incluindo seus relacionamentos devem ser disponibilizadas pela ferramenta de gestão e atualizadas periodicamente de maneira automática sem que haja necessidade de manutenção desses dados pelos usuários, salvo quando o endereço for estrangeiro;</w:t>
      </w:r>
    </w:p>
    <w:p w14:paraId="732C416A"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Consultar cidades disponibilizando pesquisa através no mínimo das seguintes chaves de acesso: Nome da Cidade, Nome do Estado, Sigla do Estado, CEP, Código DNE, Código Receita Federal e Código IBGE. Essas chaves de acesso são importantes pois permitirão o cruzamento de dados com outras bases de governo em esferas diferentes, cuja codificação de cidades é diversa, normalmente utilizando uma dessas;</w:t>
      </w:r>
    </w:p>
    <w:p w14:paraId="03D67646"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Disponibilizar estrutura que permita configurar campos adicionais para determinadas rotinas, com as seguintes características mínimas:</w:t>
      </w:r>
    </w:p>
    <w:p w14:paraId="55840B28" w14:textId="77777777" w:rsidR="00B307DB" w:rsidRPr="00680B5B" w:rsidRDefault="00B307DB" w:rsidP="00F60DF5">
      <w:pPr>
        <w:pStyle w:val="TableParagraph"/>
        <w:numPr>
          <w:ilvl w:val="0"/>
          <w:numId w:val="282"/>
        </w:numPr>
        <w:tabs>
          <w:tab w:val="left" w:pos="426"/>
          <w:tab w:val="num" w:pos="851"/>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Permitir que através de configurações simples, sem necessidade de customização, personalize a adição de novos campos;</w:t>
      </w:r>
    </w:p>
    <w:p w14:paraId="45ACF26B" w14:textId="77777777" w:rsidR="00B307DB" w:rsidRPr="00680B5B" w:rsidRDefault="00B307DB" w:rsidP="00F60DF5">
      <w:pPr>
        <w:pStyle w:val="TableParagraph"/>
        <w:numPr>
          <w:ilvl w:val="0"/>
          <w:numId w:val="2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criar agrupamentos de campos, para serem exibidos em conjunto em área específica nas janelas de entrada de dados já existentes no sistema, como área complementar;</w:t>
      </w:r>
    </w:p>
    <w:p w14:paraId="16DCDA80" w14:textId="77777777" w:rsidR="00B307DB" w:rsidRPr="00680B5B" w:rsidRDefault="00B307DB" w:rsidP="00F60DF5">
      <w:pPr>
        <w:pStyle w:val="TableParagraph"/>
        <w:numPr>
          <w:ilvl w:val="0"/>
          <w:numId w:val="2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seja definida uma ordem de exibição dos campos adicionais;</w:t>
      </w:r>
    </w:p>
    <w:p w14:paraId="31B71BFF" w14:textId="77777777" w:rsidR="00B307DB" w:rsidRPr="00680B5B" w:rsidRDefault="00B307DB" w:rsidP="00F60DF5">
      <w:pPr>
        <w:pStyle w:val="TableParagraph"/>
        <w:numPr>
          <w:ilvl w:val="0"/>
          <w:numId w:val="2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Permitir definir o tipo do campo, podendo ser no mínimo: Texto, Numérico, Data, Valor, Lista, Hora, Booleano e Campo Texto Formatado. </w:t>
      </w:r>
    </w:p>
    <w:p w14:paraId="58B9C1A7" w14:textId="77777777" w:rsidR="00B307DB" w:rsidRPr="00680B5B" w:rsidRDefault="00B307DB" w:rsidP="00F60DF5">
      <w:pPr>
        <w:pStyle w:val="TableParagraph"/>
        <w:numPr>
          <w:ilvl w:val="0"/>
          <w:numId w:val="2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opção lista deverá permitir a definição de listas estáticas e/ou dinâmicas sendo carregadas, por exemplo via SQL;</w:t>
      </w:r>
    </w:p>
    <w:p w14:paraId="69471076" w14:textId="77777777" w:rsidR="00B307DB" w:rsidRPr="00680B5B" w:rsidRDefault="00B307DB" w:rsidP="00F60DF5">
      <w:pPr>
        <w:pStyle w:val="TableParagraph"/>
        <w:numPr>
          <w:ilvl w:val="0"/>
          <w:numId w:val="2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A opção Texto, deverá permitir selecionar um formato de entrada, podendo ser no mínimo CPF, CNPJ, CEP, Telefone e E-Mail; </w:t>
      </w:r>
    </w:p>
    <w:p w14:paraId="664F752D" w14:textId="77777777" w:rsidR="00B307DB" w:rsidRPr="00680B5B" w:rsidRDefault="00B307DB" w:rsidP="00F60DF5">
      <w:pPr>
        <w:pStyle w:val="TableParagraph"/>
        <w:numPr>
          <w:ilvl w:val="0"/>
          <w:numId w:val="2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um valor padrão para o campo bem como a obrigatoriedade do mesmo;</w:t>
      </w:r>
    </w:p>
    <w:p w14:paraId="114F3849" w14:textId="77777777" w:rsidR="00B307DB" w:rsidRPr="00680B5B" w:rsidRDefault="00B307DB" w:rsidP="00F60DF5">
      <w:pPr>
        <w:pStyle w:val="TableParagraph"/>
        <w:numPr>
          <w:ilvl w:val="0"/>
          <w:numId w:val="282"/>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regras, como exemplo: exibir uma mensagem caso determinado valor seja informado no campo, ou então desabilitar um campo caso determinado valor seja informado em</w:t>
      </w:r>
      <w:r w:rsidRPr="00680B5B">
        <w:rPr>
          <w:rFonts w:ascii="Times New Roman" w:hAnsi="Times New Roman" w:cs="Times New Roman"/>
          <w:spacing w:val="-5"/>
          <w:lang w:val="pt-BR"/>
        </w:rPr>
        <w:t xml:space="preserve"> </w:t>
      </w:r>
      <w:r w:rsidRPr="00680B5B">
        <w:rPr>
          <w:rFonts w:ascii="Times New Roman" w:hAnsi="Times New Roman" w:cs="Times New Roman"/>
          <w:lang w:val="pt-BR"/>
        </w:rPr>
        <w:t>outro;</w:t>
      </w:r>
    </w:p>
    <w:p w14:paraId="272F0271" w14:textId="77777777" w:rsidR="00B307DB" w:rsidRPr="00680B5B" w:rsidRDefault="00B307DB" w:rsidP="00F60DF5">
      <w:pPr>
        <w:pStyle w:val="PargrafodaLista"/>
        <w:numPr>
          <w:ilvl w:val="0"/>
          <w:numId w:val="282"/>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Permitir definir para o campo adicional, se o mesmo aceitará a entrada de arquivo digital relacionado, como uma imagem, arquivo PDF ou outro, podendo selecionar quais as extensões permitidas para entrada.</w:t>
      </w:r>
    </w:p>
    <w:p w14:paraId="517D6C30"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deverá dispor de recurso de Repositório de Certificados digitais, que garanta segurança contendo as seguintes funcionalidades mínimas:</w:t>
      </w:r>
    </w:p>
    <w:p w14:paraId="53AC3DAF" w14:textId="77777777" w:rsidR="00B307DB" w:rsidRPr="00680B5B" w:rsidRDefault="00B307DB" w:rsidP="00F60DF5">
      <w:pPr>
        <w:pStyle w:val="TableParagraph"/>
        <w:numPr>
          <w:ilvl w:val="0"/>
          <w:numId w:val="283"/>
        </w:numPr>
        <w:tabs>
          <w:tab w:val="clear" w:pos="720"/>
          <w:tab w:val="left" w:pos="426"/>
          <w:tab w:val="left" w:pos="851"/>
          <w:tab w:val="num" w:pos="993"/>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vincular certificados digitais do tipo A1, de propriedade do usuário, neste caso permitindo uso exclusivo dele para assinaturas digitais, ou seja, apenas quando ele estiver logado no sistema;</w:t>
      </w:r>
    </w:p>
    <w:p w14:paraId="11C75106" w14:textId="77777777" w:rsidR="00B307DB" w:rsidRPr="00680B5B" w:rsidRDefault="00B307DB" w:rsidP="00F60DF5">
      <w:pPr>
        <w:pStyle w:val="TableParagraph"/>
        <w:numPr>
          <w:ilvl w:val="0"/>
          <w:numId w:val="28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vincular certificados digitais do tipo A1 para a entidade, neste caso permitindo uso compartilhado do certificado, mediante concessão de privilégio de uso;</w:t>
      </w:r>
    </w:p>
    <w:p w14:paraId="267BFC9E" w14:textId="77777777" w:rsidR="00B307DB" w:rsidRPr="00680B5B" w:rsidRDefault="00B307DB" w:rsidP="00F60DF5">
      <w:pPr>
        <w:pStyle w:val="TableParagraph"/>
        <w:numPr>
          <w:ilvl w:val="0"/>
          <w:numId w:val="28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o usuário crie um certificado digital auto assinado, para uso em assinaturas digitais do tipo Avançada, conforme Lei 14.063/2020. Este tipo de certificado deverá ser utilizado apenas pelo usuário;</w:t>
      </w:r>
    </w:p>
    <w:p w14:paraId="7D96FE08" w14:textId="77777777" w:rsidR="00B307DB" w:rsidRPr="00680B5B" w:rsidRDefault="00B307DB" w:rsidP="00F60DF5">
      <w:pPr>
        <w:pStyle w:val="TableParagraph"/>
        <w:numPr>
          <w:ilvl w:val="0"/>
          <w:numId w:val="28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Realizar controle de vencimento de certificados no repositório, cientificando o usuário toda </w:t>
      </w:r>
      <w:r w:rsidRPr="00680B5B">
        <w:rPr>
          <w:rFonts w:ascii="Times New Roman" w:hAnsi="Times New Roman" w:cs="Times New Roman"/>
          <w:lang w:val="pt-BR"/>
        </w:rPr>
        <w:lastRenderedPageBreak/>
        <w:t>vez que ele acessar a aplicação quanto a necessidade de renovação;</w:t>
      </w:r>
    </w:p>
    <w:p w14:paraId="249C616F" w14:textId="77777777" w:rsidR="00B307DB" w:rsidRPr="00680B5B" w:rsidRDefault="00B307DB" w:rsidP="00F60DF5">
      <w:pPr>
        <w:pStyle w:val="TableParagraph"/>
        <w:numPr>
          <w:ilvl w:val="0"/>
          <w:numId w:val="283"/>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Registrar em log exclusivo (auditoria) toda vez que o certificado é utilizado, indicando data/hora de uso, informações sobre o procedimento realizado e qual usuário estava logado no sistema no instante do uso;</w:t>
      </w:r>
    </w:p>
    <w:p w14:paraId="1E52A1CA"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o uso de Assinatura Digital na modalidade Qualificada (conforme Lei 14.063/2020) em procedimentos como login no sistema e atividades relacionadas a usuários externos;</w:t>
      </w:r>
    </w:p>
    <w:p w14:paraId="63157A47"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o uso de Assinatura Digital, nas modalidades Básica, Avançada e Qualificada (conforme Lei 14.063/2020) nos seguintes procedimentos:</w:t>
      </w:r>
    </w:p>
    <w:p w14:paraId="4A00E2F7" w14:textId="77777777" w:rsidR="00B307DB" w:rsidRPr="00680B5B" w:rsidRDefault="00B307DB" w:rsidP="00F60DF5">
      <w:pPr>
        <w:pStyle w:val="TableParagraph"/>
        <w:numPr>
          <w:ilvl w:val="0"/>
          <w:numId w:val="284"/>
        </w:numPr>
        <w:tabs>
          <w:tab w:val="clear" w:pos="720"/>
          <w:tab w:val="left" w:pos="426"/>
          <w:tab w:val="left" w:pos="851"/>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Assinatura de Documentos Digitais Diversos;</w:t>
      </w:r>
    </w:p>
    <w:p w14:paraId="1F0FEA29" w14:textId="77777777" w:rsidR="00B307DB" w:rsidRPr="00680B5B" w:rsidRDefault="00B307DB" w:rsidP="00F60DF5">
      <w:pPr>
        <w:pStyle w:val="TableParagraph"/>
        <w:numPr>
          <w:ilvl w:val="0"/>
          <w:numId w:val="284"/>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Após a emissão de relatórios, permitindo assinar o documento emitido;</w:t>
      </w:r>
    </w:p>
    <w:p w14:paraId="4096E4DC" w14:textId="77777777" w:rsidR="00B307DB" w:rsidRPr="00680B5B" w:rsidRDefault="00B307DB" w:rsidP="00F60DF5">
      <w:pPr>
        <w:pStyle w:val="PargrafodaLista"/>
        <w:numPr>
          <w:ilvl w:val="0"/>
          <w:numId w:val="284"/>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Pareceres.</w:t>
      </w:r>
    </w:p>
    <w:p w14:paraId="77D6AE13"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assinatura digital de documentos diretamente pela aplicação, sem necessidade de utilizar outros sistemas ou recursos, exceto aqueles necessários para acesso ao dispositivo de leitura do certificado digital na máquina local do próprio usuário;</w:t>
      </w:r>
    </w:p>
    <w:p w14:paraId="01E10D29"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o uso de Solicitações de Assinatura, onde um usuário realiza a solicitação de assinatura de um ou mais documentos, para que outro(s) usuário(s) o façam, contendo os seguintes recursos:</w:t>
      </w:r>
    </w:p>
    <w:p w14:paraId="31C293EB" w14:textId="77777777" w:rsidR="00B307DB" w:rsidRPr="00680B5B" w:rsidRDefault="00B307DB" w:rsidP="00F60DF5">
      <w:pPr>
        <w:pStyle w:val="TableParagraph"/>
        <w:numPr>
          <w:ilvl w:val="1"/>
          <w:numId w:val="271"/>
        </w:numPr>
        <w:tabs>
          <w:tab w:val="left" w:pos="426"/>
          <w:tab w:val="left" w:pos="993"/>
        </w:tabs>
        <w:suppressAutoHyphens/>
        <w:autoSpaceDE/>
        <w:autoSpaceDN/>
        <w:ind w:left="-5" w:right="-568" w:firstLine="5"/>
        <w:jc w:val="both"/>
        <w:rPr>
          <w:rFonts w:ascii="Times New Roman" w:hAnsi="Times New Roman" w:cs="Times New Roman"/>
        </w:rPr>
      </w:pPr>
      <w:r w:rsidRPr="00680B5B">
        <w:rPr>
          <w:rFonts w:ascii="Times New Roman" w:hAnsi="Times New Roman" w:cs="Times New Roman"/>
          <w:lang w:val="pt-BR"/>
        </w:rPr>
        <w:t>Permitir definir se a execução das assinaturas será de forma sequencial (um após o outro) ou não (todos ao mesmo tempo);</w:t>
      </w:r>
    </w:p>
    <w:p w14:paraId="10B176CB" w14:textId="77777777" w:rsidR="00B307DB" w:rsidRPr="00680B5B" w:rsidRDefault="00B307DB" w:rsidP="00F60DF5">
      <w:pPr>
        <w:pStyle w:val="PargrafodaLista"/>
        <w:numPr>
          <w:ilvl w:val="1"/>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que durante a assinatura de uma solicitação o usuário possa rejeitar um documento enviado para sua assinatura.</w:t>
      </w:r>
    </w:p>
    <w:p w14:paraId="0326FAC1"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procedimento de assinatura digital deverá ser simples e prático para o usuário, contendo os seguintes recursos/facilitadores:</w:t>
      </w:r>
    </w:p>
    <w:p w14:paraId="096E69A6" w14:textId="77777777" w:rsidR="00B307DB" w:rsidRPr="00680B5B" w:rsidRDefault="00B307DB" w:rsidP="00F60DF5">
      <w:pPr>
        <w:pStyle w:val="TableParagraph"/>
        <w:numPr>
          <w:ilvl w:val="0"/>
          <w:numId w:val="285"/>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Permitir que sejam configurados carimbos/estampas de assinatura, por usuário ou para a entidade toda, com possibilidade de configurar o conteúdo a ser colocado como “estampa” sobre o documento PDF assinado;</w:t>
      </w:r>
    </w:p>
    <w:p w14:paraId="6BD7CD3C" w14:textId="77777777" w:rsidR="00B307DB" w:rsidRPr="00680B5B" w:rsidRDefault="00B307DB" w:rsidP="00F60DF5">
      <w:pPr>
        <w:pStyle w:val="TableParagraph"/>
        <w:numPr>
          <w:ilvl w:val="0"/>
          <w:numId w:val="28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Exibir alerta para o usuário quando o mesmo já fez assinatura digital de um documento, podendo ele optar por cancelar a nova assinatura;</w:t>
      </w:r>
    </w:p>
    <w:p w14:paraId="50E97604" w14:textId="77777777" w:rsidR="00B307DB" w:rsidRPr="00680B5B" w:rsidRDefault="00B307DB" w:rsidP="00F60DF5">
      <w:pPr>
        <w:pStyle w:val="TableParagraph"/>
        <w:numPr>
          <w:ilvl w:val="0"/>
          <w:numId w:val="28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realizar assinatura digital com certificados do repositório e/ou instalados localmente na máquina do usuário sejam nos modelos A1 ou A3;</w:t>
      </w:r>
    </w:p>
    <w:p w14:paraId="2761527E" w14:textId="77777777" w:rsidR="00B307DB" w:rsidRPr="00680B5B" w:rsidRDefault="00B307DB" w:rsidP="00F60DF5">
      <w:pPr>
        <w:pStyle w:val="TableParagraph"/>
        <w:numPr>
          <w:ilvl w:val="0"/>
          <w:numId w:val="28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Os certificados devem ser listados para o usuário antes da assinatura para que ele possa escolher. Deverá listar apenas certificados do próprio usuário;</w:t>
      </w:r>
    </w:p>
    <w:p w14:paraId="5BA679D9" w14:textId="77777777" w:rsidR="00B307DB" w:rsidRPr="00680B5B" w:rsidRDefault="00B307DB" w:rsidP="00F60DF5">
      <w:pPr>
        <w:pStyle w:val="TableParagraph"/>
        <w:numPr>
          <w:ilvl w:val="0"/>
          <w:numId w:val="28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 usuário deverá ver claramente quando um certificado está vencido;</w:t>
      </w:r>
    </w:p>
    <w:p w14:paraId="1C9D5E03" w14:textId="77777777" w:rsidR="00B307DB" w:rsidRPr="00680B5B" w:rsidRDefault="00B307DB" w:rsidP="00F60DF5">
      <w:pPr>
        <w:pStyle w:val="TableParagraph"/>
        <w:numPr>
          <w:ilvl w:val="0"/>
          <w:numId w:val="28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ação de assinatura digital deverá ser transparente para o usuário, sendo operada diretamente do próprio sistema, através de interface padronizada (comum a todo o sistema), dentro da própria aplicação web, sem que haja necessidade de trocar de aplicação para executar o procedimento;</w:t>
      </w:r>
    </w:p>
    <w:p w14:paraId="5C2C6D4F" w14:textId="77777777" w:rsidR="00B307DB" w:rsidRPr="00680B5B" w:rsidRDefault="00B307DB" w:rsidP="00F60DF5">
      <w:pPr>
        <w:pStyle w:val="TableParagraph"/>
        <w:numPr>
          <w:ilvl w:val="0"/>
          <w:numId w:val="285"/>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ação de assinatura digital, deverá exibir o documento que o usuário está realizando assinatura no ato da mesma (quando individual) ou permitir a visualização dos documentos relacionados (quando assinatura em lote). Desta forma o usuário/assinante saberá exatamente do que se trata e o que ele está assinando;</w:t>
      </w:r>
    </w:p>
    <w:p w14:paraId="2F6A4FD5" w14:textId="77777777" w:rsidR="00B307DB" w:rsidRPr="00680B5B" w:rsidRDefault="00B307DB" w:rsidP="00F60DF5">
      <w:pPr>
        <w:pStyle w:val="PargrafodaLista"/>
        <w:numPr>
          <w:ilvl w:val="0"/>
          <w:numId w:val="285"/>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Todo documento PDF assinado digitalmente, deverá conter estampa automática com informações sobre a consulta de autenticidade do mesmo incluindo endereço de consulta em QRCODE para poder fazê-lo através de leitura pelo Smartphone.</w:t>
      </w:r>
    </w:p>
    <w:p w14:paraId="1C8579F2"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Controlar a emissão de relatórios, dispondo dos seguintes recursos:</w:t>
      </w:r>
    </w:p>
    <w:p w14:paraId="47A3EB0A" w14:textId="77777777" w:rsidR="00B307DB" w:rsidRPr="00680B5B" w:rsidRDefault="00B307DB" w:rsidP="00F60DF5">
      <w:pPr>
        <w:pStyle w:val="TableParagraph"/>
        <w:numPr>
          <w:ilvl w:val="0"/>
          <w:numId w:val="286"/>
        </w:numPr>
        <w:tabs>
          <w:tab w:val="clear" w:pos="720"/>
          <w:tab w:val="left" w:pos="426"/>
          <w:tab w:val="left" w:pos="851"/>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Emitir vários relatórios ao mesmo tempo, pelo mesmo usuário;</w:t>
      </w:r>
    </w:p>
    <w:p w14:paraId="767CCC53" w14:textId="77777777" w:rsidR="00B307DB" w:rsidRPr="00680B5B" w:rsidRDefault="00B307DB" w:rsidP="00F60DF5">
      <w:pPr>
        <w:pStyle w:val="TableParagraph"/>
        <w:numPr>
          <w:ilvl w:val="0"/>
          <w:numId w:val="286"/>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relatórios sejam colocados em execução através de fila de impressão e caso o usuário finalize a aplicação, mesmo assim o relatório continue em execução;</w:t>
      </w:r>
    </w:p>
    <w:p w14:paraId="2CB7895C" w14:textId="77777777" w:rsidR="00B307DB" w:rsidRPr="00680B5B" w:rsidRDefault="00B307DB" w:rsidP="00F60DF5">
      <w:pPr>
        <w:pStyle w:val="TableParagraph"/>
        <w:numPr>
          <w:ilvl w:val="0"/>
          <w:numId w:val="286"/>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Controlar para que um relatório em emissão para o usuário não possa ser colocado em execução novamente até que o primeiro finalize, quando os parâmetros de emissão forem iguais;</w:t>
      </w:r>
    </w:p>
    <w:p w14:paraId="181D55FB" w14:textId="77777777" w:rsidR="00B307DB" w:rsidRPr="00680B5B" w:rsidRDefault="00B307DB" w:rsidP="00F60DF5">
      <w:pPr>
        <w:pStyle w:val="TableParagraph"/>
        <w:numPr>
          <w:ilvl w:val="0"/>
          <w:numId w:val="286"/>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Possuir opção para emitir e assinar digitalmente qualquer relatório impresso;</w:t>
      </w:r>
    </w:p>
    <w:p w14:paraId="38784391" w14:textId="77777777" w:rsidR="00B307DB" w:rsidRPr="00680B5B" w:rsidRDefault="00B307DB" w:rsidP="00F60DF5">
      <w:pPr>
        <w:pStyle w:val="TableParagraph"/>
        <w:numPr>
          <w:ilvl w:val="0"/>
          <w:numId w:val="286"/>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Manter uma cópia do relatório emitido, armazenada no banco de dados, identificando cada emissão por um código único que deverá ser impresso junto com o relatório em todas as páginas, com informações de: filtros utilizados, usuário que emitiu, data e hora de</w:t>
      </w:r>
      <w:r w:rsidRPr="00680B5B">
        <w:rPr>
          <w:rFonts w:ascii="Times New Roman" w:hAnsi="Times New Roman" w:cs="Times New Roman"/>
          <w:spacing w:val="-12"/>
          <w:lang w:val="pt-BR"/>
        </w:rPr>
        <w:t xml:space="preserve"> </w:t>
      </w:r>
      <w:r w:rsidRPr="00680B5B">
        <w:rPr>
          <w:rFonts w:ascii="Times New Roman" w:hAnsi="Times New Roman" w:cs="Times New Roman"/>
          <w:lang w:val="pt-BR"/>
        </w:rPr>
        <w:t>emissão e id do relatório emitido;</w:t>
      </w:r>
    </w:p>
    <w:p w14:paraId="78C4F328" w14:textId="77777777" w:rsidR="00B307DB" w:rsidRPr="00680B5B" w:rsidRDefault="00B307DB" w:rsidP="00F60DF5">
      <w:pPr>
        <w:pStyle w:val="PargrafodaLista"/>
        <w:numPr>
          <w:ilvl w:val="0"/>
          <w:numId w:val="286"/>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Consultar relatórios emitidos, filtrando pelo ID da emissão do relatório ou por outros dados como modelo/layout, usuário que fez a emissão, data/hora da emissão, visualizando os detalhes da emissão como os parâmetros informados, bem como a opção de</w:t>
      </w:r>
      <w:r w:rsidRPr="00680B5B">
        <w:rPr>
          <w:rFonts w:ascii="Times New Roman" w:hAnsi="Times New Roman" w:cs="Times New Roman"/>
          <w:spacing w:val="-2"/>
        </w:rPr>
        <w:t xml:space="preserve"> </w:t>
      </w:r>
      <w:r w:rsidRPr="00680B5B">
        <w:rPr>
          <w:rFonts w:ascii="Times New Roman" w:hAnsi="Times New Roman" w:cs="Times New Roman"/>
        </w:rPr>
        <w:t>imprimir.</w:t>
      </w:r>
    </w:p>
    <w:p w14:paraId="36B12B6F"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lastRenderedPageBreak/>
        <w:t>Possuir gerador de relatórios, com as seguintes características mínimas:</w:t>
      </w:r>
    </w:p>
    <w:p w14:paraId="45DC1C5D" w14:textId="77777777" w:rsidR="00B307DB" w:rsidRPr="00680B5B" w:rsidRDefault="00B307DB" w:rsidP="00F60DF5">
      <w:pPr>
        <w:pStyle w:val="TableParagraph"/>
        <w:numPr>
          <w:ilvl w:val="0"/>
          <w:numId w:val="287"/>
        </w:numPr>
        <w:tabs>
          <w:tab w:val="clear" w:pos="720"/>
          <w:tab w:val="left" w:pos="426"/>
          <w:tab w:val="left" w:pos="851"/>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 xml:space="preserve">Possuir um cadastro de “Formatos </w:t>
      </w:r>
      <w:r w:rsidRPr="00680B5B">
        <w:rPr>
          <w:rFonts w:ascii="Times New Roman" w:hAnsi="Times New Roman" w:cs="Times New Roman"/>
          <w:spacing w:val="-8"/>
          <w:lang w:val="pt-BR"/>
        </w:rPr>
        <w:t xml:space="preserve">de </w:t>
      </w:r>
      <w:r w:rsidRPr="00680B5B">
        <w:rPr>
          <w:rFonts w:ascii="Times New Roman" w:hAnsi="Times New Roman" w:cs="Times New Roman"/>
          <w:lang w:val="pt-BR"/>
        </w:rPr>
        <w:t xml:space="preserve">Relatórios” sendo reutilizáveis por diversos relatórios e configuráveis: Tamanho de página, Margens do </w:t>
      </w:r>
      <w:r w:rsidRPr="00680B5B">
        <w:rPr>
          <w:rFonts w:ascii="Times New Roman" w:hAnsi="Times New Roman" w:cs="Times New Roman"/>
          <w:spacing w:val="-3"/>
          <w:lang w:val="pt-BR"/>
        </w:rPr>
        <w:t xml:space="preserve">Documento, </w:t>
      </w:r>
      <w:r w:rsidRPr="00680B5B">
        <w:rPr>
          <w:rFonts w:ascii="Times New Roman" w:hAnsi="Times New Roman" w:cs="Times New Roman"/>
          <w:lang w:val="pt-BR"/>
        </w:rPr>
        <w:t>Cabeçalhos e Rodapé, contendo: Brasão, número da página, filtros utilizados, nome da entidade e Configurar marca d´água através do upload de</w:t>
      </w:r>
      <w:r w:rsidRPr="00680B5B">
        <w:rPr>
          <w:rFonts w:ascii="Times New Roman" w:hAnsi="Times New Roman" w:cs="Times New Roman"/>
          <w:spacing w:val="-4"/>
          <w:lang w:val="pt-BR"/>
        </w:rPr>
        <w:t xml:space="preserve"> </w:t>
      </w:r>
      <w:r w:rsidRPr="00680B5B">
        <w:rPr>
          <w:rFonts w:ascii="Times New Roman" w:hAnsi="Times New Roman" w:cs="Times New Roman"/>
          <w:lang w:val="pt-BR"/>
        </w:rPr>
        <w:t>imagem;</w:t>
      </w:r>
    </w:p>
    <w:p w14:paraId="2838E9DD" w14:textId="77777777" w:rsidR="00B307DB" w:rsidRPr="00680B5B" w:rsidRDefault="00B307DB" w:rsidP="00F60DF5">
      <w:pPr>
        <w:pStyle w:val="TableParagraph"/>
        <w:numPr>
          <w:ilvl w:val="0"/>
          <w:numId w:val="28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Editar relatórios atuais ou adição de novos relatórios de forma avançada, contendo recursos como formatação </w:t>
      </w:r>
      <w:r w:rsidRPr="00680B5B">
        <w:rPr>
          <w:rFonts w:ascii="Times New Roman" w:hAnsi="Times New Roman" w:cs="Times New Roman"/>
          <w:spacing w:val="-7"/>
          <w:lang w:val="pt-BR"/>
        </w:rPr>
        <w:t xml:space="preserve">de </w:t>
      </w:r>
      <w:r w:rsidRPr="00680B5B">
        <w:rPr>
          <w:rFonts w:ascii="Times New Roman" w:hAnsi="Times New Roman" w:cs="Times New Roman"/>
          <w:lang w:val="pt-BR"/>
        </w:rPr>
        <w:t>campos, adição de imagens ao corpo do relatório, configuração de agrupamentos, uso de códigos de barras/QR codes, etc. A edição avançada de relatórios poderá ser realizada por ferramenta externa a aplicação, desde que não haja custo adicional a</w:t>
      </w:r>
      <w:r w:rsidRPr="00680B5B">
        <w:rPr>
          <w:rFonts w:ascii="Times New Roman" w:hAnsi="Times New Roman" w:cs="Times New Roman"/>
          <w:spacing w:val="-3"/>
          <w:lang w:val="pt-BR"/>
        </w:rPr>
        <w:t xml:space="preserve"> </w:t>
      </w:r>
      <w:r w:rsidRPr="00680B5B">
        <w:rPr>
          <w:rFonts w:ascii="Times New Roman" w:hAnsi="Times New Roman" w:cs="Times New Roman"/>
          <w:lang w:val="pt-BR"/>
        </w:rPr>
        <w:t>contratante;</w:t>
      </w:r>
    </w:p>
    <w:p w14:paraId="2A70811A" w14:textId="77777777" w:rsidR="00B307DB" w:rsidRPr="00680B5B" w:rsidRDefault="00B307DB" w:rsidP="00F60DF5">
      <w:pPr>
        <w:pStyle w:val="TableParagraph"/>
        <w:numPr>
          <w:ilvl w:val="0"/>
          <w:numId w:val="28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novos layouts sejam criados/alterados para os relatórios disponíveis no sistema, podendo esses layouts novos serem criados com base em cópia de layouts já existentes, sejam eles padrões ou não;</w:t>
      </w:r>
    </w:p>
    <w:p w14:paraId="391596AA" w14:textId="77777777" w:rsidR="00B307DB" w:rsidRPr="00680B5B" w:rsidRDefault="00B307DB" w:rsidP="00F60DF5">
      <w:pPr>
        <w:pStyle w:val="TableParagraph"/>
        <w:numPr>
          <w:ilvl w:val="0"/>
          <w:numId w:val="287"/>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Definir privilégios para os relatórios e consultas gerados a partir do gerador de relatórios e consultas;</w:t>
      </w:r>
    </w:p>
    <w:p w14:paraId="0C41D7E5" w14:textId="77777777" w:rsidR="00B307DB" w:rsidRPr="00680B5B" w:rsidRDefault="00B307DB" w:rsidP="00F60DF5">
      <w:pPr>
        <w:pStyle w:val="PargrafodaLista"/>
        <w:numPr>
          <w:ilvl w:val="0"/>
          <w:numId w:val="287"/>
        </w:numPr>
        <w:tabs>
          <w:tab w:val="left" w:pos="426"/>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Permitir gerenciar os relatórios por versões, permitindo que uma nova versão do relatório seja criada e esta não afete o uso da aplicação pelos usuários enquanto não estiver totalmente finalizada. Permitir restaurar uma versão anterior se necessário.</w:t>
      </w:r>
    </w:p>
    <w:p w14:paraId="55042164"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 sistema deve possuir recurso de desenho, configuração e execução de workflow, com as seguintes características mínimas:</w:t>
      </w:r>
    </w:p>
    <w:p w14:paraId="1A81D1D2" w14:textId="77777777" w:rsidR="00B307DB" w:rsidRPr="00680B5B" w:rsidRDefault="00B307DB" w:rsidP="00F60DF5">
      <w:pPr>
        <w:pStyle w:val="TableParagraph"/>
        <w:numPr>
          <w:ilvl w:val="0"/>
          <w:numId w:val="288"/>
        </w:numPr>
        <w:tabs>
          <w:tab w:val="clear" w:pos="720"/>
          <w:tab w:val="left" w:pos="426"/>
          <w:tab w:val="left" w:pos="851"/>
          <w:tab w:val="num" w:pos="1134"/>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Deverá fazer parte do sistema de gestão, no mesmo SGBD, sem necessidade de acesso ou integração com outro sistema;</w:t>
      </w:r>
    </w:p>
    <w:p w14:paraId="015B2CA0" w14:textId="77777777" w:rsidR="00B307DB" w:rsidRPr="00680B5B" w:rsidRDefault="00B307DB" w:rsidP="00F60DF5">
      <w:pPr>
        <w:pStyle w:val="TableParagraph"/>
        <w:numPr>
          <w:ilvl w:val="0"/>
          <w:numId w:val="28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a realização de documentação, manual e/ou através do relacionamento de documentos digitais e textos jurídicos constantes no cadastro único;</w:t>
      </w:r>
    </w:p>
    <w:p w14:paraId="21CBA69B" w14:textId="77777777" w:rsidR="00B307DB" w:rsidRPr="00680B5B" w:rsidRDefault="00B307DB" w:rsidP="00F60DF5">
      <w:pPr>
        <w:pStyle w:val="TableParagraph"/>
        <w:numPr>
          <w:ilvl w:val="0"/>
          <w:numId w:val="28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 xml:space="preserve">Permitir execução automática de funções e carregamento de formulário/telas integrantes da solução através de um gerenciador único. </w:t>
      </w:r>
    </w:p>
    <w:p w14:paraId="1CC34FCB" w14:textId="77777777" w:rsidR="00B307DB" w:rsidRPr="00680B5B" w:rsidRDefault="00B307DB" w:rsidP="00F60DF5">
      <w:pPr>
        <w:pStyle w:val="TableParagraph"/>
        <w:numPr>
          <w:ilvl w:val="0"/>
          <w:numId w:val="28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A ferramenta de Workflow, deverá permitir desenho de processos utilizando-se da metodologia BPMN (</w:t>
      </w:r>
      <w:r w:rsidRPr="00680B5B">
        <w:rPr>
          <w:rFonts w:ascii="Times New Roman" w:hAnsi="Times New Roman" w:cs="Times New Roman"/>
          <w:i/>
          <w:iCs/>
          <w:lang w:val="pt-BR"/>
        </w:rPr>
        <w:t>Business Process Model and Notation</w:t>
      </w:r>
      <w:r w:rsidRPr="00680B5B">
        <w:rPr>
          <w:rFonts w:ascii="Times New Roman" w:hAnsi="Times New Roman" w:cs="Times New Roman"/>
          <w:lang w:val="pt-BR"/>
        </w:rPr>
        <w:t>), incluindo Raias (horizontal e vertical), Eventos, Atividades, etc.</w:t>
      </w:r>
    </w:p>
    <w:p w14:paraId="0BD8E8AB" w14:textId="77777777" w:rsidR="00B307DB" w:rsidRPr="00680B5B" w:rsidRDefault="00B307DB" w:rsidP="00F60DF5">
      <w:pPr>
        <w:pStyle w:val="TableParagraph"/>
        <w:numPr>
          <w:ilvl w:val="0"/>
          <w:numId w:val="28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o controle de ativação/desativação/homologação e versionamento de processos, possibilitando a evolução natural dos processos;</w:t>
      </w:r>
    </w:p>
    <w:p w14:paraId="1B628FA6" w14:textId="77777777" w:rsidR="00B307DB" w:rsidRPr="00680B5B" w:rsidRDefault="00B307DB" w:rsidP="00F60DF5">
      <w:pPr>
        <w:pStyle w:val="TableParagraph"/>
        <w:numPr>
          <w:ilvl w:val="0"/>
          <w:numId w:val="288"/>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Registrar a cada alteração histórico de alterações realizadas no Work-Flow, permitindo também visualizar em histórico cada manutenção realizada, contendo recursos para de comparar e restaurar entre uma alteração e outra.</w:t>
      </w:r>
    </w:p>
    <w:p w14:paraId="2F2D92E2"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Objetivando atender a regras impostas pela LGPD (Lei Geral de Proteção de Dados), os seguintes recursos mínimos são necessários na aplicação:</w:t>
      </w:r>
    </w:p>
    <w:p w14:paraId="0268B372" w14:textId="77777777" w:rsidR="00B307DB" w:rsidRPr="00680B5B" w:rsidRDefault="00B307DB" w:rsidP="00F60DF5">
      <w:pPr>
        <w:pStyle w:val="TableParagraph"/>
        <w:numPr>
          <w:ilvl w:val="0"/>
          <w:numId w:val="289"/>
        </w:numPr>
        <w:tabs>
          <w:tab w:val="clear" w:pos="720"/>
          <w:tab w:val="left" w:pos="426"/>
          <w:tab w:val="left" w:pos="851"/>
          <w:tab w:val="num" w:pos="993"/>
        </w:tabs>
        <w:suppressAutoHyphens/>
        <w:autoSpaceDE/>
        <w:autoSpaceDN/>
        <w:ind w:left="567" w:right="-568" w:hanging="11"/>
        <w:jc w:val="both"/>
        <w:rPr>
          <w:rFonts w:ascii="Times New Roman" w:hAnsi="Times New Roman" w:cs="Times New Roman"/>
        </w:rPr>
      </w:pPr>
      <w:r w:rsidRPr="00680B5B">
        <w:rPr>
          <w:rFonts w:ascii="Times New Roman" w:hAnsi="Times New Roman" w:cs="Times New Roman"/>
          <w:lang w:val="pt-BR"/>
        </w:rPr>
        <w:t>O sistema deverá conter mecanismo que permita a configuração e o gerenciamento de “Termos e Condições de Uso”, tanto para usuários internos (funcionários) como para usuários externos (cidadãos). A entidade poderá configurar os termos conforme necessidade, individualmente por perfil de usuário e por serviço disponível no portal;</w:t>
      </w:r>
    </w:p>
    <w:p w14:paraId="05B8D540" w14:textId="77777777" w:rsidR="00B307DB" w:rsidRPr="00680B5B" w:rsidRDefault="00B307DB" w:rsidP="00F60DF5">
      <w:pPr>
        <w:pStyle w:val="TableParagraph"/>
        <w:numPr>
          <w:ilvl w:val="0"/>
          <w:numId w:val="289"/>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Possuir inventário dos Tratamentos de Dados Pessoais realizados em processos/operações do sistema de gestão, incluindo a(s) hipótese(s) previstas em lei em que eles estão relacionados, cadastrados no próprio sistema;</w:t>
      </w:r>
    </w:p>
    <w:p w14:paraId="1ED9B642" w14:textId="77777777" w:rsidR="00B307DB" w:rsidRPr="00680B5B" w:rsidRDefault="00B307DB" w:rsidP="00F60DF5">
      <w:pPr>
        <w:pStyle w:val="TableParagraph"/>
        <w:numPr>
          <w:ilvl w:val="0"/>
          <w:numId w:val="289"/>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que a entidade mapeie e cadastre outros Tratamentos de Dados Pessoais que a mesma realiza seja por meio digital, através de outros sistemas de gestão (de outras áreas) ou por meio físico;</w:t>
      </w:r>
    </w:p>
    <w:p w14:paraId="2131C511" w14:textId="77777777" w:rsidR="00B307DB" w:rsidRPr="00680B5B" w:rsidRDefault="00B307DB" w:rsidP="00F60DF5">
      <w:pPr>
        <w:pStyle w:val="TableParagraph"/>
        <w:numPr>
          <w:ilvl w:val="0"/>
          <w:numId w:val="289"/>
        </w:numPr>
        <w:tabs>
          <w:tab w:val="left" w:pos="426"/>
          <w:tab w:val="left" w:pos="851"/>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Deverá dispor de área exclusiva para que o cidadão possa visualizar todos os tratamentos de dados pessoais realizados pela entidade, incluindo aqueles que não são realizados no software de gestão (Transparência Ativa) e permitir que ele solicite relatório dos usos realizados (Transparência Passiva);</w:t>
      </w:r>
    </w:p>
    <w:p w14:paraId="0D61EDE1" w14:textId="77777777" w:rsidR="00B307DB" w:rsidRPr="00680B5B" w:rsidRDefault="00B307DB" w:rsidP="00F60DF5">
      <w:pPr>
        <w:pStyle w:val="TableParagraph"/>
        <w:numPr>
          <w:ilvl w:val="0"/>
          <w:numId w:val="289"/>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emitir relatório automático dos relacionamentos do cidadão com a entidade, com base nos dados do sistema de gestão, informando quais são os vínculos que ele possui;</w:t>
      </w:r>
    </w:p>
    <w:p w14:paraId="00EF75E8" w14:textId="77777777" w:rsidR="00B307DB" w:rsidRPr="00680B5B" w:rsidRDefault="00B307DB" w:rsidP="00F60DF5">
      <w:pPr>
        <w:pStyle w:val="TableParagraph"/>
        <w:numPr>
          <w:ilvl w:val="0"/>
          <w:numId w:val="289"/>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O tratamento de dado pessoal poderá exigir o consentimento do usuário, nos casos em que não forem de interesse público. Nessa situação sempre que o tratamento for realizado deve-se verificar se há consentimento realizado e ativo do titular;</w:t>
      </w:r>
    </w:p>
    <w:p w14:paraId="7D8AFC5A" w14:textId="77777777" w:rsidR="00B307DB" w:rsidRPr="00680B5B" w:rsidRDefault="00B307DB" w:rsidP="00F60DF5">
      <w:pPr>
        <w:pStyle w:val="TableParagraph"/>
        <w:numPr>
          <w:ilvl w:val="0"/>
          <w:numId w:val="289"/>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Permitir definir quem é o Controlador local e indicar seus dados de acesso/contato em área exclusiva no portal da transparência;</w:t>
      </w:r>
    </w:p>
    <w:p w14:paraId="57FFF5F1" w14:textId="77777777" w:rsidR="00B307DB" w:rsidRPr="00680B5B" w:rsidRDefault="00B307DB" w:rsidP="00F60DF5">
      <w:pPr>
        <w:pStyle w:val="TableParagraph"/>
        <w:numPr>
          <w:ilvl w:val="0"/>
          <w:numId w:val="289"/>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lastRenderedPageBreak/>
        <w:t>Permitir definir quem são o(s) Encarregado(s) de tratamento de dados pessoais indicados pelo controlador e disponibilizar seus dados de acesso/contato em área exclusiva no portal da transparência;</w:t>
      </w:r>
    </w:p>
    <w:p w14:paraId="118AFD7D" w14:textId="77777777" w:rsidR="00B307DB" w:rsidRPr="00680B5B" w:rsidRDefault="00B307DB" w:rsidP="00F60DF5">
      <w:pPr>
        <w:pStyle w:val="TableParagraph"/>
        <w:numPr>
          <w:ilvl w:val="0"/>
          <w:numId w:val="289"/>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No primeiro acesso do usuário a aplicação, seja usuário funcionário (interno) ou cidadão (portal), deve-se solicitar que o mesmo visualize as políticas de uso do sistema incluindo política de tratamento de cookies e realize o aceite deles, devendo este ficar registrado para posterior consulta e auditoria;</w:t>
      </w:r>
    </w:p>
    <w:p w14:paraId="1C2B5D35" w14:textId="77777777" w:rsidR="00B307DB" w:rsidRPr="00680B5B" w:rsidRDefault="00B307DB" w:rsidP="00F60DF5">
      <w:pPr>
        <w:pStyle w:val="TableParagraph"/>
        <w:numPr>
          <w:ilvl w:val="0"/>
          <w:numId w:val="289"/>
        </w:numPr>
        <w:tabs>
          <w:tab w:val="left" w:pos="426"/>
          <w:tab w:val="left" w:pos="851"/>
          <w:tab w:val="left" w:pos="1560"/>
        </w:tabs>
        <w:suppressAutoHyphens/>
        <w:autoSpaceDE/>
        <w:autoSpaceDN/>
        <w:ind w:left="567" w:right="-568" w:firstLine="0"/>
        <w:jc w:val="both"/>
        <w:rPr>
          <w:rFonts w:ascii="Times New Roman" w:hAnsi="Times New Roman" w:cs="Times New Roman"/>
        </w:rPr>
      </w:pPr>
      <w:r w:rsidRPr="00680B5B">
        <w:rPr>
          <w:rFonts w:ascii="Times New Roman" w:hAnsi="Times New Roman" w:cs="Times New Roman"/>
          <w:lang w:val="pt-BR"/>
        </w:rPr>
        <w:t>Deverá dispor de WebService para que outras aplicações autorizadas possam verificar se há consentimento realizado pelo titular em determinado Tratamento de Dados mapeado;</w:t>
      </w:r>
    </w:p>
    <w:p w14:paraId="46A387F4" w14:textId="77777777" w:rsidR="00B307DB" w:rsidRPr="00680B5B" w:rsidRDefault="00B307DB" w:rsidP="00F60DF5">
      <w:pPr>
        <w:pStyle w:val="PargrafodaLista"/>
        <w:numPr>
          <w:ilvl w:val="0"/>
          <w:numId w:val="271"/>
        </w:numPr>
        <w:tabs>
          <w:tab w:val="left" w:pos="426"/>
        </w:tabs>
        <w:suppressAutoHyphens/>
        <w:spacing w:after="0" w:line="240" w:lineRule="auto"/>
        <w:ind w:left="-5" w:right="-568" w:firstLine="5"/>
        <w:contextualSpacing w:val="0"/>
        <w:jc w:val="both"/>
        <w:rPr>
          <w:rFonts w:ascii="Times New Roman" w:hAnsi="Times New Roman" w:cs="Times New Roman"/>
        </w:rPr>
      </w:pPr>
      <w:r w:rsidRPr="00680B5B">
        <w:rPr>
          <w:rFonts w:ascii="Times New Roman" w:hAnsi="Times New Roman" w:cs="Times New Roman"/>
        </w:rPr>
        <w:t>Permitir realizar a impressão de documentos diretamente pelo dispositivo móvel (smartphone e/ou tablet), na plataforma Android (equipamentos naturalmente mais acessíveis), por meio de impressoras Térmicas Bluetooth. Deverá o fornecedor informar quais são os requisitos mínimos necessários, incluindo os equipamentos homologados.</w:t>
      </w:r>
    </w:p>
    <w:p w14:paraId="0AA38358" w14:textId="77777777" w:rsidR="00B307DB" w:rsidRPr="00680B5B" w:rsidRDefault="00B307DB" w:rsidP="00B307DB">
      <w:pPr>
        <w:tabs>
          <w:tab w:val="left" w:pos="426"/>
        </w:tabs>
        <w:spacing w:after="0" w:line="240" w:lineRule="auto"/>
        <w:ind w:left="360" w:right="-568"/>
        <w:jc w:val="both"/>
        <w:rPr>
          <w:rFonts w:ascii="Times New Roman" w:hAnsi="Times New Roman" w:cs="Times New Roman"/>
        </w:rPr>
      </w:pPr>
    </w:p>
    <w:p w14:paraId="3DF2896E" w14:textId="77777777" w:rsidR="00B307DB" w:rsidRPr="00680B5B" w:rsidRDefault="00B307DB" w:rsidP="00B307DB">
      <w:pPr>
        <w:pStyle w:val="Ttulo1"/>
        <w:numPr>
          <w:ilvl w:val="1"/>
          <w:numId w:val="159"/>
        </w:numPr>
        <w:shd w:val="clear" w:color="FFFFFF" w:themeColor="background1" w:fill="FFFFFF" w:themeFill="background1"/>
        <w:tabs>
          <w:tab w:val="left" w:pos="567"/>
        </w:tabs>
        <w:suppressAutoHyphens/>
        <w:spacing w:before="0" w:line="240" w:lineRule="auto"/>
        <w:ind w:left="0" w:right="-568" w:firstLine="0"/>
        <w:rPr>
          <w:rFonts w:ascii="Times New Roman" w:hAnsi="Times New Roman" w:cs="Times New Roman"/>
          <w:sz w:val="22"/>
          <w:szCs w:val="22"/>
        </w:rPr>
      </w:pPr>
      <w:r w:rsidRPr="00680B5B">
        <w:rPr>
          <w:rFonts w:ascii="Times New Roman" w:hAnsi="Times New Roman" w:cs="Times New Roman"/>
          <w:sz w:val="22"/>
          <w:szCs w:val="22"/>
        </w:rPr>
        <w:t>ESPECIFICAÇÕES DOS MÓDULOS DO ERP WEB</w:t>
      </w:r>
    </w:p>
    <w:p w14:paraId="1C8F1F39" w14:textId="77777777" w:rsidR="00B307DB" w:rsidRPr="00680B5B" w:rsidRDefault="00B307DB" w:rsidP="00B307DB">
      <w:pPr>
        <w:spacing w:after="0" w:line="240" w:lineRule="auto"/>
        <w:ind w:right="-568" w:firstLine="698"/>
        <w:jc w:val="both"/>
        <w:rPr>
          <w:rFonts w:ascii="Times New Roman" w:hAnsi="Times New Roman" w:cs="Times New Roman"/>
        </w:rPr>
      </w:pPr>
      <w:r w:rsidRPr="00680B5B">
        <w:rPr>
          <w:rFonts w:ascii="Times New Roman" w:hAnsi="Times New Roman" w:cs="Times New Roman"/>
        </w:rPr>
        <w:t>Para atender as áreas de aplicação da CONTRATANTE, a solução integrada de gestão fornecido/ofertado, será subdivido em Módulos de Programas, cujas principais especificações de funcionamento encontram-se a seguir descritas.</w:t>
      </w:r>
    </w:p>
    <w:p w14:paraId="39AD9484" w14:textId="77777777" w:rsidR="00B307DB" w:rsidRPr="00680B5B" w:rsidRDefault="00B307DB" w:rsidP="00B307DB">
      <w:pPr>
        <w:spacing w:after="0" w:line="240" w:lineRule="auto"/>
        <w:ind w:right="-568" w:firstLine="698"/>
        <w:jc w:val="both"/>
        <w:rPr>
          <w:rFonts w:ascii="Times New Roman" w:hAnsi="Times New Roman" w:cs="Times New Roman"/>
        </w:rPr>
      </w:pPr>
      <w:r w:rsidRPr="00680B5B">
        <w:rPr>
          <w:rFonts w:ascii="Times New Roman" w:hAnsi="Times New Roman" w:cs="Times New Roman"/>
        </w:rPr>
        <w:t xml:space="preserve">Não é obrigatório que a solução ofertada pela proponente utilize a mesma nomenclatura ou divisão por módulos. No entanto, é necessário que atenda no mínimo 90% das especificações de funcionamentos, constantes neste termo de referência.  </w:t>
      </w:r>
    </w:p>
    <w:p w14:paraId="53275861" w14:textId="77777777" w:rsidR="00B307DB" w:rsidRPr="00680B5B" w:rsidRDefault="00B307DB" w:rsidP="00B307DB">
      <w:pPr>
        <w:spacing w:after="0" w:line="240" w:lineRule="auto"/>
        <w:ind w:right="-568" w:firstLine="708"/>
        <w:jc w:val="both"/>
        <w:rPr>
          <w:rFonts w:ascii="Times New Roman" w:hAnsi="Times New Roman" w:cs="Times New Roman"/>
        </w:rPr>
      </w:pPr>
      <w:r w:rsidRPr="00680B5B">
        <w:rPr>
          <w:rFonts w:ascii="Times New Roman" w:hAnsi="Times New Roman" w:cs="Times New Roman"/>
        </w:rPr>
        <w:t xml:space="preserve">O não atendimento, de pelo menos 90% dos requisitos em qualquer dos módulos, ensejará a não aceitação da solução avaliada. </w:t>
      </w:r>
    </w:p>
    <w:p w14:paraId="27766592" w14:textId="77777777" w:rsidR="00B307DB" w:rsidRPr="00680B5B" w:rsidRDefault="00B307DB" w:rsidP="00B307DB">
      <w:pPr>
        <w:spacing w:after="0" w:line="240" w:lineRule="auto"/>
        <w:ind w:right="-568" w:firstLine="708"/>
        <w:jc w:val="both"/>
        <w:rPr>
          <w:rFonts w:ascii="Times New Roman" w:hAnsi="Times New Roman" w:cs="Times New Roman"/>
        </w:rPr>
      </w:pPr>
    </w:p>
    <w:p w14:paraId="04234DD6" w14:textId="77777777" w:rsidR="00B307DB" w:rsidRPr="00680B5B" w:rsidRDefault="00B307DB" w:rsidP="00B307DB">
      <w:pPr>
        <w:pStyle w:val="Corpodetexto31"/>
        <w:numPr>
          <w:ilvl w:val="1"/>
          <w:numId w:val="185"/>
        </w:numPr>
        <w:tabs>
          <w:tab w:val="left" w:pos="3448"/>
        </w:tabs>
        <w:ind w:right="-568"/>
        <w:rPr>
          <w:rFonts w:ascii="Times New Roman" w:hAnsi="Times New Roman" w:cs="Times New Roman"/>
          <w:sz w:val="22"/>
          <w:szCs w:val="22"/>
        </w:rPr>
      </w:pPr>
      <w:r w:rsidRPr="00680B5B">
        <w:rPr>
          <w:rFonts w:ascii="Times New Roman" w:hAnsi="Times New Roman" w:cs="Times New Roman"/>
          <w:b/>
          <w:sz w:val="22"/>
          <w:szCs w:val="22"/>
        </w:rPr>
        <w:t>MÓDULO: PLANEJAMENTO E ORÇAMENTO</w:t>
      </w:r>
    </w:p>
    <w:p w14:paraId="596DBC45" w14:textId="77777777" w:rsidR="00B307DB" w:rsidRPr="00A05751" w:rsidRDefault="00B307DB" w:rsidP="00B307DB">
      <w:pPr>
        <w:suppressAutoHyphens/>
        <w:spacing w:after="0" w:line="240" w:lineRule="auto"/>
        <w:ind w:right="-568"/>
        <w:jc w:val="both"/>
        <w:rPr>
          <w:rFonts w:ascii="Times New Roman" w:hAnsi="Times New Roman" w:cs="Times New Roman"/>
        </w:rPr>
      </w:pPr>
      <w:r>
        <w:rPr>
          <w:rFonts w:ascii="Times New Roman" w:hAnsi="Times New Roman" w:cs="Times New Roman"/>
          <w:b/>
          <w:bCs/>
        </w:rPr>
        <w:t xml:space="preserve">2.1.1 </w:t>
      </w:r>
      <w:r w:rsidRPr="00A05751">
        <w:rPr>
          <w:rFonts w:ascii="Times New Roman" w:hAnsi="Times New Roman" w:cs="Times New Roman"/>
          <w:b/>
          <w:bCs/>
        </w:rPr>
        <w:t>PLANO PLURIANUAL</w:t>
      </w:r>
    </w:p>
    <w:p w14:paraId="61DC7F60"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o registro da realização das audiências públicas com campo para todas as solicitações feitas pela comunidade, bairro a ser atendido, com informações de contato do solicitante, órgão responsável por sua análise e status da mesma;</w:t>
      </w:r>
    </w:p>
    <w:p w14:paraId="630F7DAF"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anexar documentos no cadastro da audiência pública e permitir a baixa dos arquivos anexados;</w:t>
      </w:r>
    </w:p>
    <w:p w14:paraId="64558D6C"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No cadastro do PPA, permitir escolher o grau do plano de contas no PPA a ser utilizado para a informação das receitas e o nível do orçamento a ser utilizado para as despesas, tendo como opções orçar a despesa por elemento/fonte de recursos ou só fonte de recursos;</w:t>
      </w:r>
    </w:p>
    <w:p w14:paraId="411F42D3"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vínculos para o PPA de acordo com tabela definida pelo Tribunal de Contas do Estado;</w:t>
      </w:r>
    </w:p>
    <w:p w14:paraId="67536347"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vínculos utilizados na LOA a cada novo PPA elaborado;</w:t>
      </w:r>
    </w:p>
    <w:p w14:paraId="051497B4"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programas de governo com no mínimo, as informações de: origem, objetivo, diretrizes, público alvo, fonte de financiamento e gerente responsável; Permitir incluir para cada programa os seus objetivos e indicadores;</w:t>
      </w:r>
    </w:p>
    <w:p w14:paraId="020C8001"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as ações e programas da LOA para cada novo PPA elaborado, evitando a redigitação de dados. Após a importação, permitir realizar as alterações necessárias.</w:t>
      </w:r>
    </w:p>
    <w:p w14:paraId="34974EE7"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Criar automaticamente códigos reduzidos para despesa do PPA composto de órgão, unidade, função, subfunção, programa e ação com o objetivo de facilitar a execução orçamentária;</w:t>
      </w:r>
    </w:p>
    <w:p w14:paraId="2BBAB1AA"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as receitas e despesas de PPA anterior e da LOA;</w:t>
      </w:r>
    </w:p>
    <w:p w14:paraId="343E84A6"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Na importação da despesa do PPA, da LOA ou de PPA anterior, permitir importar só as dotações, as dotações e valores, e ainda determinadas dotações conforme escolha do usuário;</w:t>
      </w:r>
    </w:p>
    <w:p w14:paraId="5D73AF7E"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programação da receita identificando cada fonte de recurso;</w:t>
      </w:r>
    </w:p>
    <w:p w14:paraId="3A2050C9"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receitas do PPA por meio de rateio automático para cada conta de receita e suas respectivas fontes de recursos;</w:t>
      </w:r>
    </w:p>
    <w:p w14:paraId="04C80AF6"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projeção de cálculo para obter a previsão do total a ser arrecadado e do total a ser gasto para cada ano do PPA;</w:t>
      </w:r>
    </w:p>
    <w:p w14:paraId="09592DFA"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alterações orçamentárias para a receita do PPA, bem como, consultar todas as alterações incluídas e de uma receita individualmente;</w:t>
      </w:r>
    </w:p>
    <w:p w14:paraId="3D45828C"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orçamento da receita e da Despesa do PPA com valor orçado atualizado até a data selecionada. A consulta deve permitir selecionar uma ou mais entidades;</w:t>
      </w:r>
    </w:p>
    <w:p w14:paraId="2EAE0D93"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Informar metas físicas e financeiras da despesa do PPA, indicando a destinação de recursos, distribuindo as metas para cada exercício do PPA e atualizando essas metas durante a execução orçamentária;</w:t>
      </w:r>
    </w:p>
    <w:p w14:paraId="664B9CA3"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previsão das transferências financeiras identificando a entidade a que se destinam. Permitir a informação para cada ano do PPA.</w:t>
      </w:r>
    </w:p>
    <w:p w14:paraId="7DC50A0E"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consultar as alterações orçamentárias do PPA, por entidade e consolidado, possibilitando informar até qual data se pretende consultar, permitindo assim a consulta por ordem cronológica; </w:t>
      </w:r>
    </w:p>
    <w:p w14:paraId="0B1FAA0F"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Consolidar duas ou mais entidades na previsão de receita, despesa, transferência financeira e alteração orçamentária;</w:t>
      </w:r>
    </w:p>
    <w:p w14:paraId="58CBB560"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Confrontar receitas e despesas do PPA por fonte e destinação de recursos, consolidando uma ou mais entidades e trazendo os valores orçados atualizados até uma data;</w:t>
      </w:r>
    </w:p>
    <w:p w14:paraId="19F9F8FF"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o cadastro de emendas ao PPA. O cadastro deve ter os campos: data, objetivo, justificativa, nome do vereador responsável pela emenda e o texto jurídico. No cadastro deve ser possível informar as dotações que sofreram acréscimo ou redução; </w:t>
      </w:r>
    </w:p>
    <w:p w14:paraId="25D20F4D"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bloqueio das dotações que não podem possuir emendas; Ao serem bloqueadas as mesmas não estarão disponíveis no sistema para sofrer emendas;</w:t>
      </w:r>
    </w:p>
    <w:p w14:paraId="06A1CD73"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sancionar as emendas do orçamento. No sancionamento deve ser possível a aprovação total das emendas, a reprovação total ou o sancionamento parcial; No sancionamento parcial, deve ser possível informar quais dotações foram sancionadas;</w:t>
      </w:r>
    </w:p>
    <w:p w14:paraId="08536B67"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gerenciais de receitas, despesas por fonte de recursos e das transferências financeiras; Os relatórios devem possibilitar a emissão consolidada ou selecionando uma ou mais entidades;</w:t>
      </w:r>
    </w:p>
    <w:p w14:paraId="034C11DC"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compatibilizar as despesas do PPA, replicando automaticamente para a LDO e LOA as alterações orçamentárias feitas no PPA;</w:t>
      </w:r>
    </w:p>
    <w:p w14:paraId="1855C452"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das metas físicas e realizas para cada ano do PPA. A emissão deve ser possível consolidando uma ou mais entidades e deve filtrar por ação e produto;</w:t>
      </w:r>
    </w:p>
    <w:p w14:paraId="2D593564"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os relatórios consolidando uma ou mais entidades e trazendo a posição atualizada do orçamento até a data selecionada:</w:t>
      </w:r>
    </w:p>
    <w:p w14:paraId="5261FF44" w14:textId="77777777" w:rsidR="00B307DB" w:rsidRPr="00680B5B" w:rsidRDefault="00B307DB" w:rsidP="00F60DF5">
      <w:pPr>
        <w:pStyle w:val="PargrafodaLista"/>
        <w:numPr>
          <w:ilvl w:val="0"/>
          <w:numId w:val="291"/>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Demonstrativo das Receitas;</w:t>
      </w:r>
    </w:p>
    <w:p w14:paraId="148AA78D"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Despesas;</w:t>
      </w:r>
    </w:p>
    <w:p w14:paraId="264A8984"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Meta Financeira por Órgão e Unidade;</w:t>
      </w:r>
    </w:p>
    <w:p w14:paraId="148A56C3"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Meta Física por Programa e Ação;</w:t>
      </w:r>
    </w:p>
    <w:p w14:paraId="1A2F2719"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Programas;</w:t>
      </w:r>
    </w:p>
    <w:p w14:paraId="1DFB9CA9"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Programas Detalhados;</w:t>
      </w:r>
    </w:p>
    <w:p w14:paraId="58B5CA2C"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PPA Analítico;</w:t>
      </w:r>
    </w:p>
    <w:p w14:paraId="5119DE76"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PPA Sintético;</w:t>
      </w:r>
    </w:p>
    <w:p w14:paraId="687844F5"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Detalhamento Órgão/Unidade Físico/Financeiro;</w:t>
      </w:r>
    </w:p>
    <w:p w14:paraId="68FA6104"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Receita por Ano e</w:t>
      </w:r>
    </w:p>
    <w:p w14:paraId="6868B383" w14:textId="77777777" w:rsidR="00B307DB" w:rsidRPr="00680B5B" w:rsidRDefault="00B307DB" w:rsidP="00F60DF5">
      <w:pPr>
        <w:pStyle w:val="PargrafodaLista"/>
        <w:numPr>
          <w:ilvl w:val="0"/>
          <w:numId w:val="291"/>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Receita Global;</w:t>
      </w:r>
    </w:p>
    <w:p w14:paraId="13BB995C"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compatibilização entre receitas e despesas do PPA/LDO/LOA com posição atualizada até a data selecionada e relatório de compatibilização das metas de despesas entre PPA/LDO/LOA com posição atualizada até a data selecionada;</w:t>
      </w:r>
    </w:p>
    <w:p w14:paraId="1EF72010"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possibilitando a avaliação dos resultados dos programas (Art. 4º, inciso I, “e” da LRF). O relatório deverá conter a programação e execução física e financeira por programa e ação, permitindo selecionar os quatro anos do PPA ou apenas um ano desejado;</w:t>
      </w:r>
    </w:p>
    <w:p w14:paraId="0995BDCA"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versão para o PPA com controle de todas as consultas e emissão de relatórios por versão;</w:t>
      </w:r>
    </w:p>
    <w:p w14:paraId="509E95CB"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demonstrativos de aplicação em saúde, pessoal e educação com os respectivos percentuais de aplicação e emitir o demonstrativo da Receita Corrente Líquida;</w:t>
      </w:r>
    </w:p>
    <w:p w14:paraId="6EE57B6A" w14:textId="77777777" w:rsidR="00B307DB" w:rsidRPr="00680B5B" w:rsidRDefault="00B307DB" w:rsidP="00F60DF5">
      <w:pPr>
        <w:pStyle w:val="PargrafodaLista"/>
        <w:numPr>
          <w:ilvl w:val="0"/>
          <w:numId w:val="29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da receita do PPA, consolidado e por entidade, permitir a escolha do grau da receita e possibilitar a emissão da receita orçada e atualizada;</w:t>
      </w:r>
    </w:p>
    <w:p w14:paraId="74BC7635"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p>
    <w:p w14:paraId="7D0FD440" w14:textId="77777777" w:rsidR="00B307DB" w:rsidRPr="00A05751" w:rsidRDefault="00B307DB" w:rsidP="00B307DB">
      <w:pPr>
        <w:pStyle w:val="PargrafodaLista"/>
        <w:numPr>
          <w:ilvl w:val="2"/>
          <w:numId w:val="190"/>
        </w:numPr>
        <w:suppressAutoHyphens/>
        <w:spacing w:after="0" w:line="240" w:lineRule="auto"/>
        <w:ind w:right="-568"/>
        <w:jc w:val="both"/>
        <w:rPr>
          <w:rFonts w:ascii="Times New Roman" w:hAnsi="Times New Roman" w:cs="Times New Roman"/>
        </w:rPr>
      </w:pPr>
      <w:r w:rsidRPr="00A05751">
        <w:rPr>
          <w:rFonts w:ascii="Times New Roman" w:hAnsi="Times New Roman" w:cs="Times New Roman"/>
          <w:b/>
          <w:bCs/>
        </w:rPr>
        <w:t>LDO - LEI DE DIRETRIZES ORÇAMENTÁRIAS</w:t>
      </w:r>
    </w:p>
    <w:p w14:paraId="634E84F9"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LDO escolhendo o grau do plano de contas de receita e despesa a ser utilizado, permitindo informar no cadastro o projeto de lei e texto jurídico que aprovou a LDO;</w:t>
      </w:r>
    </w:p>
    <w:p w14:paraId="565029AF"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vínculos para a LDO de acordo com tabela definida pelo TCE do Estado;</w:t>
      </w:r>
    </w:p>
    <w:p w14:paraId="5C5C079F"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Incluir alterações orçamentárias para a receita da LDO, bem como a consulta de todas as alterações incluídas e de uma receita específica. Na alteração deve permitir informar a entidade, a conta de receita, a justificativa e o texto jurídico;</w:t>
      </w:r>
    </w:p>
    <w:p w14:paraId="519D51ED"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orçamento da receita e da despesa da LDO com valor orçado atualizado até a data selecionada; A consulta deve possibilitar a seleção de uma ou mais entidades;</w:t>
      </w:r>
    </w:p>
    <w:p w14:paraId="1B5CD1E8"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programas e ações na LDO e permitir importar os dados de outro PPA, LDO ou LOA;</w:t>
      </w:r>
    </w:p>
    <w:p w14:paraId="52ED7ED5"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previsão da despesa do PPA, da LOA ou de LDO anterior. A importação deve permitir importar só as dotações e dotações e valores;</w:t>
      </w:r>
    </w:p>
    <w:p w14:paraId="7C278B24"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para a LDO a previsão da receita do PPA, da LOA ou de LDO anterior;</w:t>
      </w:r>
    </w:p>
    <w:p w14:paraId="1411D526"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atualizar as metas físicas da LDO e inserir as metas físicas realizadas. As metas realizadas informadas na LDO devem atualizar automaticamente as metas do PPA;</w:t>
      </w:r>
    </w:p>
    <w:p w14:paraId="0B2ACA08"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Consolidar duas ou mais entidades nas rotinas de previsão de receita, despesa, transferência financeira e alteração orçamentária da despesa;</w:t>
      </w:r>
    </w:p>
    <w:p w14:paraId="0395435E"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consultar as alterações orçamentárias da LDO, por entidade e consolidado, possibilitando informar até qual data se pretende consultar, permitindo assim a consulta por ordem cronológica;</w:t>
      </w:r>
    </w:p>
    <w:p w14:paraId="104611F1"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emendas na LDO. O cadastro deve ter os campos: data, objetivo, justificativa, nome do vereador responsável pela emenda e o texto jurídico. No cadastro deve ser possível informar as dotações que sofreram acréscimo ou redução;</w:t>
      </w:r>
    </w:p>
    <w:p w14:paraId="6B2B0524"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bloqueio das dotações que não podem possuir emendas; Ao serem bloqueadas as mesmas não estarão disponíveis no sistema para sofrer emendas;</w:t>
      </w:r>
    </w:p>
    <w:p w14:paraId="6C7137ED"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sancionar as emendas do orçamento. No sancionamento deve ser possível a aprovação total das emendas, a reprovação total ou o sancionamento parcial. No sancionamento parcial, deve ser possível informar quais dotações foram sancionadas;</w:t>
      </w:r>
    </w:p>
    <w:p w14:paraId="4E7B770F"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Confrontar receitas e despesas da LDO por fonte e destinação de recursos, consolidando uma ou mais entidades e trazendo valor orçado atualizado até a data selecionada;</w:t>
      </w:r>
    </w:p>
    <w:p w14:paraId="71934CF1"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os relatórios gerenciais consolidando uma ou mais entidades e com valor orçado atualizado até a data selecionada:</w:t>
      </w:r>
    </w:p>
    <w:p w14:paraId="3AFBB93B" w14:textId="77777777" w:rsidR="00B307DB" w:rsidRPr="00680B5B" w:rsidRDefault="00B307DB" w:rsidP="00F60DF5">
      <w:pPr>
        <w:pStyle w:val="PargrafodaLista"/>
        <w:numPr>
          <w:ilvl w:val="0"/>
          <w:numId w:val="293"/>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Demonstrativo das Receitas;</w:t>
      </w:r>
    </w:p>
    <w:p w14:paraId="65FDD3B0" w14:textId="77777777" w:rsidR="00B307DB" w:rsidRPr="00680B5B" w:rsidRDefault="00B307DB" w:rsidP="00F60DF5">
      <w:pPr>
        <w:pStyle w:val="PargrafodaLista"/>
        <w:numPr>
          <w:ilvl w:val="0"/>
          <w:numId w:val="293"/>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Despesas e</w:t>
      </w:r>
    </w:p>
    <w:p w14:paraId="55AEFD2C" w14:textId="77777777" w:rsidR="00B307DB" w:rsidRPr="00680B5B" w:rsidRDefault="00B307DB" w:rsidP="00F60DF5">
      <w:pPr>
        <w:pStyle w:val="PargrafodaLista"/>
        <w:numPr>
          <w:ilvl w:val="0"/>
          <w:numId w:val="293"/>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Programas de Trabalho;</w:t>
      </w:r>
    </w:p>
    <w:p w14:paraId="353372F4"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cadastro das obras que serão executadas no ano da LDO informando a entidade responsável pela obra, a descrição, a data de início, o valor previsto, o valor de gastos com conservação, o valor em novos projetos e o valor do ano da LDO;</w:t>
      </w:r>
    </w:p>
    <w:p w14:paraId="11CDB8AF"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Demonstrativo de Obras e Conservação do Patrimônio;</w:t>
      </w:r>
    </w:p>
    <w:p w14:paraId="1C32D456"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versão para a LDO com controle de todas as consultas e relatórios por versão;</w:t>
      </w:r>
    </w:p>
    <w:p w14:paraId="6508BB03"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sobre os valores orçados, Demonstrativo das Receitas e Despesas com Manutenção e Desenvolvimento do Ensino – MDE, Demonstrativo das Receitas de Impostos e das Despesas Próprias com Saúde e Demonstrativo da Despesa com Pessoal</w:t>
      </w:r>
    </w:p>
    <w:p w14:paraId="1AFB3EC7"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memórias de cálculo conforme dispõem a portaria da STN – Secretaria do Tesouro Nacional;</w:t>
      </w:r>
    </w:p>
    <w:p w14:paraId="33A42638"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memória de cálculo conforme disposto pela STN – Secretaria do Tesouro Nacional;</w:t>
      </w:r>
    </w:p>
    <w:p w14:paraId="3B5B0896" w14:textId="77777777" w:rsidR="00B307DB" w:rsidRPr="00680B5B" w:rsidRDefault="00B307DB" w:rsidP="00F60DF5">
      <w:pPr>
        <w:pStyle w:val="PargrafodaLista"/>
        <w:numPr>
          <w:ilvl w:val="0"/>
          <w:numId w:val="292"/>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de programas e ações, podendo emitir o relatório por entidade e filtrando por programa, ação e demais campos da dotação orçamentária. Permitir a emissão por entidade e consolidado;</w:t>
      </w:r>
    </w:p>
    <w:p w14:paraId="2E653EF5"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p>
    <w:p w14:paraId="7D2CF605" w14:textId="77777777" w:rsidR="00B307DB" w:rsidRPr="00680B5B" w:rsidRDefault="00B307DB" w:rsidP="00B307DB">
      <w:pPr>
        <w:pStyle w:val="PargrafodaLista"/>
        <w:numPr>
          <w:ilvl w:val="2"/>
          <w:numId w:val="190"/>
        </w:numPr>
        <w:suppressAutoHyphens/>
        <w:spacing w:after="0" w:line="240" w:lineRule="auto"/>
        <w:ind w:right="-568"/>
        <w:contextualSpacing w:val="0"/>
        <w:jc w:val="both"/>
        <w:rPr>
          <w:rFonts w:ascii="Times New Roman" w:hAnsi="Times New Roman" w:cs="Times New Roman"/>
        </w:rPr>
      </w:pPr>
      <w:r w:rsidRPr="00680B5B">
        <w:rPr>
          <w:rFonts w:ascii="Times New Roman" w:hAnsi="Times New Roman" w:cs="Times New Roman"/>
          <w:b/>
          <w:bCs/>
        </w:rPr>
        <w:t>LOA - LEI ORÇAMENTÁRIA ANUAL</w:t>
      </w:r>
    </w:p>
    <w:p w14:paraId="40E726C9"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a Lei orçamentária anual, permitindo informar os dados do Projeto de lei e da Lei que a aprovou. No cadastro deve ser possível incluir anexos;</w:t>
      </w:r>
    </w:p>
    <w:p w14:paraId="7EC7C85B"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as fontes de recurso da LOA de acordo com tabela definida pelo TC do Estado. Permitir relacionar no cadastro das fontes qual o grupo, especificação e detalhamento da STN;</w:t>
      </w:r>
    </w:p>
    <w:p w14:paraId="515E3502"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cadastro único de plano de contas para todas as entidades; </w:t>
      </w:r>
    </w:p>
    <w:p w14:paraId="26246193"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cadastro do plano de contas da receita, deve permitir a inclusão das fontes de recurso, sendo possível informar uma ou mais fontes desde que a soma dos percentuais não ultrapasse 100%;</w:t>
      </w:r>
    </w:p>
    <w:p w14:paraId="5CC001B1"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programação da receita e da despesa identificando cada fonte e destinação de recurso;</w:t>
      </w:r>
    </w:p>
    <w:p w14:paraId="4D0DD378"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Importar receitas e despesas da LOA anterior e da LDO. Na importação da despesa permitir importar o valor realizado no ano anterior;</w:t>
      </w:r>
    </w:p>
    <w:p w14:paraId="26767936"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receitas da LOA por meio de rateio automático para cada conta de receita e suas respectivas fontes de recursos. O valor informado deve ser rateado automaticamente nos percentuais informado para cada fonte;</w:t>
      </w:r>
    </w:p>
    <w:p w14:paraId="2A14E58F"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atualização de receitas mantendo o histórico das inclusões. O cadastro das atualizações deve possuir a entidade, tipo da atualização, data, valor, histórico e o texto jurídico;</w:t>
      </w:r>
    </w:p>
    <w:p w14:paraId="7EB769B9"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inclusão de novas naturezas de receita que não estavam previstas na LOA aprovada;</w:t>
      </w:r>
    </w:p>
    <w:p w14:paraId="5D5FE90C"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lançamentos contábeis de alteração orçamentária de receita automaticamente na contabilidade; Os lançamentos devem ser feitos no momento da finalização da alteração;</w:t>
      </w:r>
    </w:p>
    <w:p w14:paraId="437C6187"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orçamento de receita e despesa da LOA com valor orçado atualizado até a data selecionada, consolidando uma ou mais entidades;</w:t>
      </w:r>
    </w:p>
    <w:p w14:paraId="15B64EAA"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as despesas que compõem o orçamento, com identificação do elemento de despesa, destinação de recursos e valores. O cadastro deve ser feito por entidade, permitindo consultar o total da entidade e consolidado;</w:t>
      </w:r>
    </w:p>
    <w:p w14:paraId="0DF48256"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emendas na LOA. O cadastro deve ter os campos: data, objetivo, justificativa, nome do vereador responsável pela emenda e o texto jurídico. No cadastro deve ser possível informar as dotações que sofreram acréscimo ou redução;</w:t>
      </w:r>
    </w:p>
    <w:p w14:paraId="7838E804"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bloqueio das dotações que não podem possuir emendas; Ao serem bloqueadas as mesmas não estarão disponíveis no sistema para sofrer emendas;</w:t>
      </w:r>
    </w:p>
    <w:p w14:paraId="3A29EC4C"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sancionar as emendas do orçamento. No sancionamento deve ser possível a aprovação total das emendas, reprovação total ou o sancionamento parcial. No sancionamento parcial, deve ser possível informar quais dotações foram sancionadas;</w:t>
      </w:r>
    </w:p>
    <w:p w14:paraId="755AE969"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nas alterações orçamentárias adicionar diversas dotações e subtrair de diversas fontes para uma mesma Lei ou decreto;</w:t>
      </w:r>
    </w:p>
    <w:p w14:paraId="3BB95E20"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Acompanhar histórico das alterações orçamentárias da despesa por ordem cronológica;</w:t>
      </w:r>
    </w:p>
    <w:p w14:paraId="515CCA90"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Consolidar duas ou mais entidades na previsão de receita, despesa, transferência financeira e alteração orçamentária; </w:t>
      </w:r>
    </w:p>
    <w:p w14:paraId="6FD3E774"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Disponibilizar no início do exercício, o orçamento aprovado para a execução orçamentária;</w:t>
      </w:r>
    </w:p>
    <w:p w14:paraId="2F63319F"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cronograma mensal de desembolso por entidade. A informação deve ser feita até o nível de fonte de recursos;</w:t>
      </w:r>
    </w:p>
    <w:p w14:paraId="0B736A92"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valor mensal das metas de arrecadação por entidade, informando os valores mês a mês por modalidade e fonte de recursos;</w:t>
      </w:r>
    </w:p>
    <w:p w14:paraId="65CC134A"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 usuário gerencie os códigos reduzidos para as contas de receita orçamentária e consignação; No caso dos códigos reduzidos da despesa, permitir reordená-los antes do início da execução orçamentária;</w:t>
      </w:r>
    </w:p>
    <w:p w14:paraId="610CFD2F"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incluir previa da alteração orçamentária da despesa. Na rotina devem ser informados os dados: entidade, tipo (suplementar, especial, etc), origem dos recursos e o valor. Deve ser possível incluir vários lotes de alteração e ao final realizar a impressão do decreto e projeto de lei, conforme o caso. Ao ser aprovada a previa, deve possibilitar a efetivação, gerando automaticamente a alteração orçamentária, bem como os lançamentos contábeis sem necessidade de redigitação dos dados;</w:t>
      </w:r>
    </w:p>
    <w:p w14:paraId="4A59E537"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previa da alteração deve bloquear o valor na dotação a ser anulada, desbloqueando automaticamente ao efetivar os lançamentos de suplementação e anulação, quando da efetivação da alteração;</w:t>
      </w:r>
    </w:p>
    <w:p w14:paraId="75BB5375"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de consistência de dados para o PPA, LDO e LOA que identifique possíveis inconsistências na elaboração dos mesmos. Deve ser possível executar as consistências por peça orçamentária;</w:t>
      </w:r>
    </w:p>
    <w:p w14:paraId="2E7D9F99"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cronograma de desembolso por fonte de recursos e por mês com geração de relatório. O cronograma deve ser incluído por entidade, possibilitando a consulta dos valores por entidade e consolidado;</w:t>
      </w:r>
    </w:p>
    <w:p w14:paraId="2460803C"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metas de arrecadação por fonte de recursos e por mês com geração de relatório. O cadastro das metas deve ser incluído por entidade, possibilitando a consulta dos valores por entidade e consolidado;</w:t>
      </w:r>
    </w:p>
    <w:p w14:paraId="2524347F"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impressão dos decretos para suplementação;</w:t>
      </w:r>
    </w:p>
    <w:p w14:paraId="78FEB68A"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Implantar orçamento bloqueando a inclusão, exclusão ou alteração de previsões de receita e despesa. Na implantação do orçamento, as dotações orçamentárias devem ficar disponíveis para utilização por </w:t>
      </w:r>
      <w:r w:rsidRPr="00680B5B">
        <w:rPr>
          <w:rFonts w:ascii="Times New Roman" w:hAnsi="Times New Roman" w:cs="Times New Roman"/>
        </w:rPr>
        <w:lastRenderedPageBreak/>
        <w:t>outros módulos, como por exemplo, o de licitações e contratos para que se possa dar andamento as licitações do ano seguinte;</w:t>
      </w:r>
    </w:p>
    <w:p w14:paraId="5EADB422"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na implantação do orçamento, a cópia automática de todos os relacionamentos e configurações existentes na base, para que não seja necessário redigitar os dados no novo ano;</w:t>
      </w:r>
    </w:p>
    <w:p w14:paraId="48E45AB0"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Emitir relatórios da Lei 4320/64 com opção de publicação simultânea no portal da transparência; </w:t>
      </w:r>
    </w:p>
    <w:p w14:paraId="7B77DFB6"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cotas de despesa por entidade;</w:t>
      </w:r>
    </w:p>
    <w:p w14:paraId="40CE37C9"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o controle das cotas de despesa para os períodos: bimestral, trimestral e semestral;</w:t>
      </w:r>
    </w:p>
    <w:p w14:paraId="423EFECC"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nas alterações orçamentárias as cotas sejam atualizadas automaticamente;</w:t>
      </w:r>
    </w:p>
    <w:p w14:paraId="05C1BDB7"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acompanhamento das cotas de despesa demonstrando valor previsto e valor realizado;</w:t>
      </w:r>
    </w:p>
    <w:p w14:paraId="7497D4A4"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Calcular os valores das cotas com base nos valores:</w:t>
      </w:r>
    </w:p>
    <w:p w14:paraId="7FC59C7F" w14:textId="77777777" w:rsidR="00B307DB" w:rsidRPr="00680B5B" w:rsidRDefault="00B307DB" w:rsidP="00F60DF5">
      <w:pPr>
        <w:pStyle w:val="PargrafodaLista"/>
        <w:numPr>
          <w:ilvl w:val="0"/>
          <w:numId w:val="295"/>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Realizados no ano anterior, onde o sistema calcula os valores mês a mês com base no executado no ano anterior;</w:t>
      </w:r>
    </w:p>
    <w:p w14:paraId="5B11BD54" w14:textId="77777777" w:rsidR="00B307DB" w:rsidRPr="00680B5B" w:rsidRDefault="00B307DB" w:rsidP="00F60DF5">
      <w:pPr>
        <w:pStyle w:val="PargrafodaLista"/>
        <w:numPr>
          <w:ilvl w:val="0"/>
          <w:numId w:val="2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Realizados nos últimos três anos, onde o sistema calcula os valores mês a mês com base no executado nos últimos três anos e</w:t>
      </w:r>
    </w:p>
    <w:p w14:paraId="52992FD5" w14:textId="77777777" w:rsidR="00B307DB" w:rsidRPr="00680B5B" w:rsidRDefault="00B307DB" w:rsidP="00F60DF5">
      <w:pPr>
        <w:pStyle w:val="PargrafodaLista"/>
        <w:numPr>
          <w:ilvl w:val="0"/>
          <w:numId w:val="29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Dividindo o valor orçado por 12 meses;</w:t>
      </w:r>
    </w:p>
    <w:p w14:paraId="59CCE2EE"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que o usuário possa definir qual percentual deseja informar para cada mês do ano e o sistema divide o valor orçado para cada mês de acordo com o percentual informado;</w:t>
      </w:r>
    </w:p>
    <w:p w14:paraId="242ABB86"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contingenciamento do orçamento, aplicando um percentual de redução sobre todo o orçamento ou sobre uma dotação específica;</w:t>
      </w:r>
    </w:p>
    <w:p w14:paraId="1668CF36"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liberação dos valores contingenciados;</w:t>
      </w:r>
    </w:p>
    <w:p w14:paraId="4DE201B0"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remover os valores de cotas não utilizadas em meses já fechados e distribuí-las em meses abertos;</w:t>
      </w:r>
    </w:p>
    <w:p w14:paraId="7267AA2E"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de compatibilização da LOA com PPA e LDO para que as peças orçamentárias fiquem iguais cumprindo assim as exigências legais;</w:t>
      </w:r>
    </w:p>
    <w:p w14:paraId="0DF8A079"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consulta entre as receitas e despesas da LOA por fonte de recursos, permitindo consultar os dados de uma ou mais entidades e realizar a impressão dos dados consultados;</w:t>
      </w:r>
    </w:p>
    <w:p w14:paraId="1630FBE1"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das alterações orçamentárias, permitindo selecionar qualquer item da classificação da despesa (MCASP) e os dados relacionados a alteração orçamentária. O relatório deve possuir os seguintes filtros: entidade, data (de/até) credito adicional e origem de recursos. Deve possibilitar a emissão por órgão, unidade, programa, ação, função, subfunção e fonte de recursos;</w:t>
      </w:r>
    </w:p>
    <w:p w14:paraId="703BA9DF"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sobre os valores orçados, Demonstrativo das Receitas e Despesas com Manutenção e Desenvolvimento do Ensino – MDE, Demonstrativo das Receitas de Impostos e das Despesas Próprias com Saúde e Demonstrativo da Despesa com Pessoal;</w:t>
      </w:r>
    </w:p>
    <w:p w14:paraId="3BF0C6A0" w14:textId="77777777" w:rsidR="00B307DB" w:rsidRPr="00680B5B" w:rsidRDefault="00B307DB" w:rsidP="00F60DF5">
      <w:pPr>
        <w:pStyle w:val="PargrafodaLista"/>
        <w:numPr>
          <w:ilvl w:val="0"/>
          <w:numId w:val="29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de renúncia de receita e respectiva compensação com emissão de relatório de renúncias objetivando o atendimento a LRF, art. 5º, inciso II;</w:t>
      </w:r>
    </w:p>
    <w:p w14:paraId="1F00B049" w14:textId="77777777" w:rsidR="00B307DB" w:rsidRPr="00680B5B" w:rsidRDefault="00B307DB" w:rsidP="00B307DB">
      <w:pPr>
        <w:spacing w:after="0" w:line="240" w:lineRule="auto"/>
        <w:ind w:right="-568"/>
        <w:jc w:val="both"/>
        <w:rPr>
          <w:rFonts w:ascii="Times New Roman" w:hAnsi="Times New Roman" w:cs="Times New Roman"/>
        </w:rPr>
      </w:pPr>
    </w:p>
    <w:p w14:paraId="787790EC" w14:textId="77777777" w:rsidR="00B307DB" w:rsidRPr="00680B5B" w:rsidRDefault="00B307DB" w:rsidP="00B307DB">
      <w:pPr>
        <w:pStyle w:val="PargrafodaLista"/>
        <w:numPr>
          <w:ilvl w:val="1"/>
          <w:numId w:val="190"/>
        </w:numPr>
        <w:suppressAutoHyphens/>
        <w:spacing w:after="0" w:line="240" w:lineRule="auto"/>
        <w:ind w:right="-568"/>
        <w:contextualSpacing w:val="0"/>
        <w:jc w:val="both"/>
        <w:rPr>
          <w:rFonts w:ascii="Times New Roman" w:hAnsi="Times New Roman" w:cs="Times New Roman"/>
        </w:rPr>
      </w:pPr>
      <w:r w:rsidRPr="00680B5B">
        <w:rPr>
          <w:rFonts w:ascii="Times New Roman" w:hAnsi="Times New Roman" w:cs="Times New Roman"/>
          <w:b/>
          <w:bCs/>
        </w:rPr>
        <w:t>MÓDULO: GESTÃO CONTÁBIL E FINANCEIRA</w:t>
      </w:r>
    </w:p>
    <w:p w14:paraId="1DFF949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Realizar escrituração contábil, absolutamente adaptada às exigências do TCE, bem como à Lei Federal nº 4.320/1964, à Lei Complementar Federal nº 101/2000, bem como às demais normas regulamentadoras da escrituração pública. </w:t>
      </w:r>
    </w:p>
    <w:p w14:paraId="70F50DA5"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escrituração contábil deve ser completamente vinculada aos registros que lhe suportam, não se admitindo, em nenhuma fase do processo, o registro contábil independente dos cadastros que lhe originaram;</w:t>
      </w:r>
    </w:p>
    <w:p w14:paraId="04195F2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existência de mais de uma unidade na mesma base de dados, com contabilização distinta, que possibilite a emissão de relatórios anuais e da LRF de forma consolidada;</w:t>
      </w:r>
    </w:p>
    <w:p w14:paraId="5C63A6A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aos atos da execução orçamentária e financeira que sejam usadas as três fases da despesa: empenho, liquidação e pagamento com a escrituração contábil automática;</w:t>
      </w:r>
    </w:p>
    <w:p w14:paraId="75FCD51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operações orçamentárias e financeiras por período, impedindo o usuário de qualquer alteração, inclusão ou exclusão nos registros;</w:t>
      </w:r>
    </w:p>
    <w:p w14:paraId="7F88BD2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efetuado o registro de empenhos por estimativa, global e ordinário;</w:t>
      </w:r>
    </w:p>
    <w:p w14:paraId="3BCE9375"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efetuado o registro de sub- empenho sobre o empenho global e estimado. O sistema deve permitir a liquidação tanto de empenhos globais como de subempenhos, não permitindo que seja gerado um subempenhos sobre um empenho global que já possua liquidação.</w:t>
      </w:r>
    </w:p>
    <w:p w14:paraId="7EFBD22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Utilizar histórico padronizado e históricos com texto livre no empenho;</w:t>
      </w:r>
    </w:p>
    <w:p w14:paraId="1DBB3762"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Possuir facilitador, para que na emissão do empenho seja informada qualquer parte da dotação, e o sistema filtre as dotações com aquela informação;</w:t>
      </w:r>
    </w:p>
    <w:p w14:paraId="32486A1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no empenho possa visualizar saldo da dotação atualizado até a data de emissão do empenho e também até a data atual, não permitindo em nenhuma das duas situações que o valor do empenho seja superior ao saldo da dotação;</w:t>
      </w:r>
    </w:p>
    <w:p w14:paraId="1F19E23F"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Fazer a distinção do contribuinte autônomo, objetivando a geração da SEFIP e e-Social;</w:t>
      </w:r>
    </w:p>
    <w:p w14:paraId="3F095D15"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duplicação do empenho, informando a data, valor e o histórico. Os demais dados o sistema deve gravar de forma automática conforme os dados do empenho original, fazendo automaticamente a baixa do saldo da dotação e os lançamentos contábeis;</w:t>
      </w:r>
    </w:p>
    <w:p w14:paraId="6544D26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Apropriar mês a mês despesas com assinaturas e seguros. Possuir rotina que faça a apropriação automática dos valores com seus respectivos lançamentos contábeis;</w:t>
      </w:r>
    </w:p>
    <w:p w14:paraId="1C49C41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Inscrever as contas contábeis automaticamente nas contas de controle dos empenhos que gerem adiantamento de valores e o lançamento de baixa quando as prestações de contas;</w:t>
      </w:r>
    </w:p>
    <w:p w14:paraId="54F38E8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Estorno parcial ou total de empenho informando o motivo da anulação, emitindo nota de estorno. </w:t>
      </w:r>
    </w:p>
    <w:p w14:paraId="1EB090EA"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O sistema de folha de pagamento deve ser totalmente integrado ao sistema de contabilidade, permitindo a geração automática de empenhos da folha. Deve ser possível empenhar por tipo de folha (mensal, ferias, 13º salário, etc). </w:t>
      </w:r>
    </w:p>
    <w:p w14:paraId="76B424B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consulta dos empenhos da folha deverá demonstrar possíveis irregularidades, como dotação sem saldo, relacionamentos não cadastrados, etc, e não permitir empenhar até que as irregularidades sejam resolvidas.</w:t>
      </w:r>
    </w:p>
    <w:p w14:paraId="77F26EA7"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com a folha de pagamento para lançamento das provisões de férias e de 13º salário, bem como de seus encargos, fazendo a baixa dos valores quando do pagamento;</w:t>
      </w:r>
    </w:p>
    <w:p w14:paraId="2A8BF095"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liquidar automaticamente os empenhos da folha, gerando automaticamente as notas extraorçamentárias das retenções.</w:t>
      </w:r>
    </w:p>
    <w:p w14:paraId="55995DF8"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desmovimentar uma competência da folha, estornando os empenhos para nova geração. O sistema deverá consistir na desmovimentação, e não permiti-la caso os empenhos estejam liquidados ou pagos.</w:t>
      </w:r>
    </w:p>
    <w:p w14:paraId="77B6C4C3"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fluxo de empenhamento da folha de pagamento, que inicie com a liberação da folha na área de recursos humanos e finalize o processo somente quando todos os empenhos da folha forem pagos e que todo o processo seja feito de forma digital;</w:t>
      </w:r>
    </w:p>
    <w:p w14:paraId="39A76C98"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total integração com o sistema de compras e licitações, permitindo empenhar automaticamente as ordens de compras emitidas pelo sistema de compras e licitações. Permitir consultar a partir da ordem a ser empenhada, a ordem completa, o contrato e a licitação;</w:t>
      </w:r>
    </w:p>
    <w:p w14:paraId="66FDD18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de contratos único, ou seja, ao ser cadastrado o contrato, ele fica disponível para ser utilizado em todas as rotinas da contabilidade, sem necessidade de alteração de sistema ou entidade;</w:t>
      </w:r>
    </w:p>
    <w:p w14:paraId="325BAE0A"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automaticamente o bloqueio de dotação orçamentária, quando da emissão de requisição de compras e ordem de compras, devendo o mesmo ser baixado automaticamente quando da emissão do empenho;</w:t>
      </w:r>
    </w:p>
    <w:p w14:paraId="02307D7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Estornar os itens da ordem de compras quando o empenho for estornado, mantendo assim a integridade das informações;</w:t>
      </w:r>
    </w:p>
    <w:p w14:paraId="194B05AB"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consulta inter-relacionada de empenhos. A partir do empenho, consultar a ordem de compras, o contrato, a licitação, as liquidações, estorno de liquidações, retenções, pagamentos, estorno de pagamentos, nota de despesa extraorçamentária, processo digital, anexos relacionados ao empenho, os assinantes da nota de empenho e os lançamentos contábeis;</w:t>
      </w:r>
    </w:p>
    <w:p w14:paraId="6E25421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consulta inter-relacionada de restos. A partir do empenho, consultar a ordem de compras, o contrato, a licitação, as liquidações, estorno de liquidações, retenções, pagamentos, estorno de pagamentos, nota de despesa extraorçamentária, processo digital, anexos relacionados ao empenho, os assinantes da nota de empenhe os lançamentos contábeis;</w:t>
      </w:r>
    </w:p>
    <w:p w14:paraId="2666774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Cancelar restos a pagar demonstrando no momento do cancelamento o valor processado e não processado;</w:t>
      </w:r>
    </w:p>
    <w:p w14:paraId="43FBAF4C"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automaticamente as notas de despesa extra orçamentárias para as retenções que são passíveis de recolhimento na liquidação do empenho da despesa;</w:t>
      </w:r>
    </w:p>
    <w:p w14:paraId="2980C6C9"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na liquidação do empenho, se o valor liquidado era uma despesa sem empenho prévio;</w:t>
      </w:r>
    </w:p>
    <w:p w14:paraId="4C56CE22"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um ou vários documentos fiscais na liquidação, com controle de pessoa estrangeira;</w:t>
      </w:r>
    </w:p>
    <w:p w14:paraId="392EC246"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Validar na liquidação documento fiscal duplicado para mesmo fornecedor mediante configuração;</w:t>
      </w:r>
    </w:p>
    <w:p w14:paraId="51DFBBB0"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Permitir estorno total ou parcial, do saldo da liquidação, podendo fazer a substituição ou alteração dos documentos fiscais;</w:t>
      </w:r>
    </w:p>
    <w:p w14:paraId="0F303AF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inclusão de itens na liquidação. A rotina deve ter a opção de carregar os itens do empenho ou informá-los diretamente na liquidação;</w:t>
      </w:r>
    </w:p>
    <w:p w14:paraId="4853AC8A"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na liquidação ao informar no documento fiscal uma nota Danfe-e a consulta da nota no site da Receita Federal;</w:t>
      </w:r>
    </w:p>
    <w:p w14:paraId="4D0EFF8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automaticamente os lançamentos contábeis na emissão e estorno de empenho, liquidação e estorno de liquidação e cancelamento de restos;</w:t>
      </w:r>
    </w:p>
    <w:p w14:paraId="536EA0C2"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documentos digitalizados, nas rotinas de empenho, restos a pagar e liquidação;</w:t>
      </w:r>
    </w:p>
    <w:p w14:paraId="561A18D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Validar existência de débitos com o credor nas rotinas de emissão do empenho, liquidação e pagamento;</w:t>
      </w:r>
    </w:p>
    <w:p w14:paraId="42375B80"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Consistir a data de vigência e o saldo do contrato na emissão de empenhos relacionado a contratos; </w:t>
      </w:r>
    </w:p>
    <w:p w14:paraId="60BE1936"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Consistir em vigência do processo licitatório durante a emissão de empenhos relacionados a licitações;</w:t>
      </w:r>
    </w:p>
    <w:p w14:paraId="77DA130B"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informar valores em liquidação. A rotina deve permitir informar se o valor será lançado em conta de ativo ou VPD, e deve possibilitar a informação dos itens da nota, realizando os lançamentos contábeis de forma automática;</w:t>
      </w:r>
    </w:p>
    <w:p w14:paraId="0419727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empenhos e restos com a situação “em liquidação”. O relatório deve possibilitar a listagem de empenhos e restos com verificação de materiais e os empenhos e restos que por sua natureza possuem lançamentos em contas orçamentárias “em liquidação”;</w:t>
      </w:r>
    </w:p>
    <w:p w14:paraId="5F487D8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Bloquear e desbloquear dotações por valor e por percentual, efetuando os respectivos lançamentos contábeis;</w:t>
      </w:r>
    </w:p>
    <w:p w14:paraId="7B0425B0"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bloqueios de dotação por tipo de modalidade de licitação e a consulta dos bloqueios que visam a limitação de empenho;</w:t>
      </w:r>
    </w:p>
    <w:p w14:paraId="6926D0F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multas de trânsito, identificando o infrator, o valor da multa, bem como os lançamentos de controle;</w:t>
      </w:r>
    </w:p>
    <w:p w14:paraId="112C6416"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fluxo de assinatura digital de empenhos, liquidação e pagamento, controlando para que todos os assinantes possam assinar digitalmente;</w:t>
      </w:r>
    </w:p>
    <w:p w14:paraId="6F08623A"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do razão do empenho, demonstrando as movimentações por ordem cronológica e permitir que em cada movimentação se possa acessar a rotina que lhe deu origem;</w:t>
      </w:r>
    </w:p>
    <w:p w14:paraId="2FAD3ACA"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de superavit financeiro que demonstre o valor do superavit, os valores já suplementados e o saldo a suplementar. A consulta deve ser feita por entidade e consolidada;</w:t>
      </w:r>
    </w:p>
    <w:p w14:paraId="23B52AA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integrada a SEFAZ para busca de notas fiscais eletrônicas emitidas contra a entidade. Na consulta, deve ser possível visualizar a nota emitida diretamente no site da Receita Federal;</w:t>
      </w:r>
    </w:p>
    <w:p w14:paraId="783134C2"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das obras do Município. O cadastro deve permitir informar os dados da obra, sua localização, tipo da obra a ser realizada, conta de incorporação, valor, contrato e licitação;</w:t>
      </w:r>
    </w:p>
    <w:p w14:paraId="12C1E14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consultar os empenhos relacionados a cada obra cadastrada;</w:t>
      </w:r>
    </w:p>
    <w:p w14:paraId="32EB27F2"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uma consulta integradas das obras, onde selecionando determinada obra, o sistema permita consultar seus dados de cadastro, contratos/aditivos, licitação e empenhos relacionados. Deve permitir incluir anexos, informar a situação da obra e as medições;</w:t>
      </w:r>
    </w:p>
    <w:p w14:paraId="026844A3"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consulta das obras deve demonstrar o valor da obra, valor contratado, valor já empenhado e o percentual executado;</w:t>
      </w:r>
    </w:p>
    <w:p w14:paraId="751DCCE5"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que o cadastro da obra seja disponibilizado no portal de transparência do Município, demonstrando todos os dados de cadastro, anexos e valores;</w:t>
      </w:r>
    </w:p>
    <w:p w14:paraId="134A696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analítico que detalhe as dotações e sua movimentação com possibilidade de filtrar por qualquer campo da dotação e de considerar as reservas de dotação;</w:t>
      </w:r>
    </w:p>
    <w:p w14:paraId="28BB4B4C"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relatório de bens demonstrando os bens que foram e não foram incorporados. Permitir a emissão consolidada, filtrando por qualquer campo da dotação e filtrar pelo tipo do bem, conta contábil e data de incorporação. O relatório deve demonstrar ainda os bens que estão a incorporar listando o respectivo empenho; </w:t>
      </w:r>
    </w:p>
    <w:p w14:paraId="34446E23"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empenhos e restos por entidade ou consolidado, possuindo filtros compostos por todos os campos da dotação. Possuir opção filtro por credor, obra, licitação e possibilitar totalizar por todos os campos da dotação com opção de listar ou não os empenhos e restos;</w:t>
      </w:r>
    </w:p>
    <w:p w14:paraId="40421227"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execução da LOA com publicação simultânea no portal da transparência:</w:t>
      </w:r>
    </w:p>
    <w:p w14:paraId="41BF290D" w14:textId="77777777" w:rsidR="00B307DB" w:rsidRPr="00680B5B" w:rsidRDefault="00B307DB" w:rsidP="00F60DF5">
      <w:pPr>
        <w:pStyle w:val="PargrafodaLista"/>
        <w:numPr>
          <w:ilvl w:val="0"/>
          <w:numId w:val="297"/>
        </w:numPr>
        <w:tabs>
          <w:tab w:val="clear" w:pos="720"/>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Anexo 01 – Demonstrativo Rec. e Desp. Cat. Econômica;</w:t>
      </w:r>
    </w:p>
    <w:p w14:paraId="5D96AB1E"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Alínea 1 – Receita (fonte) despesa (função);</w:t>
      </w:r>
    </w:p>
    <w:p w14:paraId="782F7E1A"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lastRenderedPageBreak/>
        <w:t>Anexo 2 - Desp. Cat. Econômica (elemento);</w:t>
      </w:r>
    </w:p>
    <w:p w14:paraId="5105B457"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2 - Desp. Cat. Econômica (ação);</w:t>
      </w:r>
    </w:p>
    <w:p w14:paraId="62E4420C"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2 - Desp. Cat. Econômica (órgão);</w:t>
      </w:r>
    </w:p>
    <w:p w14:paraId="69C6BB65"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2 - Desp. Cat. Econômica (org. unidade);</w:t>
      </w:r>
    </w:p>
    <w:p w14:paraId="08100742"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2 – Desp, por Unidade Orç. Seg. Cat. Econômica;</w:t>
      </w:r>
    </w:p>
    <w:p w14:paraId="69F3223A"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6 – Programa de trabalho por órgão e unidade;</w:t>
      </w:r>
    </w:p>
    <w:p w14:paraId="2F74EE34"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7 – Prog. De trabalho (Func./Sub./Pro./Ativ.);</w:t>
      </w:r>
    </w:p>
    <w:p w14:paraId="33E30048"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8 – Desp. Por função/Sub/prog e vínculo e</w:t>
      </w:r>
    </w:p>
    <w:p w14:paraId="268E9742" w14:textId="77777777" w:rsidR="00B307DB" w:rsidRPr="00680B5B" w:rsidRDefault="00B307DB" w:rsidP="00F60DF5">
      <w:pPr>
        <w:pStyle w:val="PargrafodaLista"/>
        <w:numPr>
          <w:ilvl w:val="0"/>
          <w:numId w:val="297"/>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9 – Despesa por órgão e função;</w:t>
      </w:r>
    </w:p>
    <w:p w14:paraId="474D954B"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relatórios com gráficos comparativos, para apresentação em audiências públicas:</w:t>
      </w:r>
    </w:p>
    <w:p w14:paraId="066541AE" w14:textId="77777777" w:rsidR="00B307DB" w:rsidRPr="00680B5B" w:rsidRDefault="00B307DB" w:rsidP="00F60DF5">
      <w:pPr>
        <w:pStyle w:val="PargrafodaLista"/>
        <w:numPr>
          <w:ilvl w:val="0"/>
          <w:numId w:val="298"/>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Amortização da dívida;</w:t>
      </w:r>
    </w:p>
    <w:p w14:paraId="7595651B"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Ata da Audiência Pública;</w:t>
      </w:r>
    </w:p>
    <w:p w14:paraId="7F54C626"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Avaliação das Metas de Resultado Nominal;</w:t>
      </w:r>
    </w:p>
    <w:p w14:paraId="72429E0E"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Avaliação das Metas de Resultado primário;</w:t>
      </w:r>
    </w:p>
    <w:p w14:paraId="00B681D7"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Avaliação dos Gastos com pessoal;</w:t>
      </w:r>
    </w:p>
    <w:p w14:paraId="749FC73B"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Comparativo da Receita e Despesa;</w:t>
      </w:r>
    </w:p>
    <w:p w14:paraId="30AB1022"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Avaliação das Metas de Arrecadação;</w:t>
      </w:r>
    </w:p>
    <w:p w14:paraId="2D96A45F"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Confronto Arrecadação e Desembolso;</w:t>
      </w:r>
    </w:p>
    <w:p w14:paraId="072C96F3"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Transferências financeiras;</w:t>
      </w:r>
    </w:p>
    <w:p w14:paraId="54A791DD"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metas de investimento;</w:t>
      </w:r>
    </w:p>
    <w:p w14:paraId="3B939DDB"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dos Suprimentos as Câmara;</w:t>
      </w:r>
    </w:p>
    <w:p w14:paraId="291BBAD8"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Indicadores de Gastos com Saúde;</w:t>
      </w:r>
    </w:p>
    <w:p w14:paraId="27DBB39B"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Indicadores de Gastos com Educação e</w:t>
      </w:r>
    </w:p>
    <w:p w14:paraId="3286118F" w14:textId="77777777" w:rsidR="00B307DB" w:rsidRPr="00680B5B" w:rsidRDefault="00B307DB" w:rsidP="00F60DF5">
      <w:pPr>
        <w:pStyle w:val="PargrafodaLista"/>
        <w:numPr>
          <w:ilvl w:val="0"/>
          <w:numId w:val="298"/>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Renúncia de Receita;</w:t>
      </w:r>
    </w:p>
    <w:p w14:paraId="5C5C6307"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solicitação de diárias e adiantamentos integradas a fluxo de processo. O fluxo deve possibilitar a a sua configuração conforme a necessidade da entidade. Deve ser possível o cadastro de roteiros para que a solicitação seja tramitada para os responsáveis pela liberação e que seja feita a emissão do empenho de forma automática no final do processo;</w:t>
      </w:r>
    </w:p>
    <w:p w14:paraId="5F4FF9B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prestação de contas de diária, e adiantamentos, fazendo os lançamentos contábeis automáticos tanto na concessão quanto na prestação de contas;</w:t>
      </w:r>
    </w:p>
    <w:p w14:paraId="1A2B596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de Prestação de contas online, que possibilite a prestação de contas das entidades beneficiadas com recursos, ou dos adiantamentos de recursos, mediante cadastro de usuário e senha, para acesso a rotina no Município. As entidades beneficiadas podem realizar de forma online a prestação de contas de qualquer lugar com acesso à internet;</w:t>
      </w:r>
    </w:p>
    <w:p w14:paraId="0C11137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rotina de prestação de contas online, deve demonstrar os valores passiveis de prestação de contas da entidade logada e permitir a inclusão dos documentos fiscais digitalizados, bem como de outros anexos.</w:t>
      </w:r>
    </w:p>
    <w:p w14:paraId="06258B2A"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Todas as informações inseridas de forma online, ficam disponíveis para serem analisadas pelo Município e caso haja alguma discrepância nas informações, deve haver possibilidade de solicitação de revisão, também online;</w:t>
      </w:r>
    </w:p>
    <w:p w14:paraId="69587B2F"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O sistema deve permitir a aprovação e conclusão das prestações de contas feitas de forma online. Ao realizar a conclusão, o sistema gera automaticamente os lançamentos contábeis; </w:t>
      </w:r>
    </w:p>
    <w:p w14:paraId="027AAB5F"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um cadastro de convênios de repasse que permita a vinculação dos mesmos aos empenhos correspondentes de forma automática. No cadastro, devem ser informadas as contas que serão utilizadas para a movimentação do convênio, sendo que na movimentação (empenhos, liquidações, pagamentos e prestação de contas), as contas não sejam mais requeridas, resultando em agilidade e redução de erros de lançamentos;</w:t>
      </w:r>
    </w:p>
    <w:p w14:paraId="370D013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Deve ser possível incluir anexos no cadastro de convênios de repasse, bem como realizar a consulta dos empenhos relacionados a ele;</w:t>
      </w:r>
    </w:p>
    <w:p w14:paraId="08F3E962"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rotina para prestação de contas dos convênios de repasse realizando os lançamentos contábeis de forma automática;</w:t>
      </w:r>
    </w:p>
    <w:p w14:paraId="104D15A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controle das prestações de contas em atraso demonstrando através de consulta o responsável pela prestação de contas, a data limite, o prazo para prestação e a situação (prazo normal, prazo próximo ao limite, prazo expirado);</w:t>
      </w:r>
    </w:p>
    <w:p w14:paraId="78440187"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configuração para controle de prazo de prestação de contas, não permitindo que se façam novos adiantamentos a beneficiários com prestação de contas em atraso;</w:t>
      </w:r>
    </w:p>
    <w:p w14:paraId="63FB86C9"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Utilizar rotina de eventos para todas as rotinas existentes no sistema, permitindo a visualização dos lançamentos contábeis efetuados, trazendo histórico padrão para cada evento utilizado; A rotina de eventos cadastrados deve ficar disponível para consulta, permitindo que o usuário possa verificar para cada transação os lançamentos que serão efetuados;</w:t>
      </w:r>
    </w:p>
    <w:p w14:paraId="436EB8D7"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para que as contas contábeis só recebam lançamentos no último nível de desdobramento do Plano de Contas;</w:t>
      </w:r>
    </w:p>
    <w:p w14:paraId="09B5F88F"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escrituração contábil nos sistemas patrimonial, orçamentário e de controle em partidas dobradas, em conformidade com os art. 83 a 106 da Lei 4.320/64, inclusive com registro em livro diário;</w:t>
      </w:r>
    </w:p>
    <w:p w14:paraId="250D415F"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cadastro de Despesas extraorçamentárias, de modo a emitir um documento para recolhimento dos valores retidos dos credores. Este cadastro deve ter consistência com os parâmetros do TCE, exigindo um empenho de origem, se a rubrica assim o exigir. </w:t>
      </w:r>
    </w:p>
    <w:p w14:paraId="08918E9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notas de despesas extraorçamentárias e dos seus estornos; No gerenciador deve ser possível visualizar as notas extras manuais ou originárias de empenhos e receitas extras. No gerenciador deve ser possível efetuar e consultar dados do pagamento das extras, bem como seus lançamentos contábeis;</w:t>
      </w:r>
    </w:p>
    <w:p w14:paraId="5316F4D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assinar digitalmente as notas extraorçamentárias;</w:t>
      </w:r>
    </w:p>
    <w:p w14:paraId="32BCB839"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de consórcios. No cadastro deverão ser informados os dados do consórcio e sua área de atuação. Deve ser possível realizar a prestação de contas com seus respectivos lançamentos contábeis, incluir anexos e consultar os empenhos relacionados ao consórcio.</w:t>
      </w:r>
    </w:p>
    <w:p w14:paraId="0CF438C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de precatórios. No cadastro deve ser possível informar o tipo de precatório, sua origem, beneficiário e a respectiva dotação orçamentária;</w:t>
      </w:r>
    </w:p>
    <w:p w14:paraId="1033DF00"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Deve ser possível realizar movimentações de acréscimo de juros, cancelamentos e baixa dos valores pagos pelo TJ, se precatório de emenda especial. O sistema deve fazer os lançamentos contábeis das movimentações de forma simultânea ao registro;</w:t>
      </w:r>
    </w:p>
    <w:p w14:paraId="30FEC44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Deve ser possível consultar os empenhos relacionados aos precatórios, ao selecionar o precatório cadastrado;</w:t>
      </w:r>
    </w:p>
    <w:p w14:paraId="38BC2032"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das movimentações dos precatórios, demonstrando o saldo inicial, as movimentações e o saldo atual;</w:t>
      </w:r>
    </w:p>
    <w:p w14:paraId="242C008C"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cadastramento e incorporações posteriores (correção monetária, juros, encargos) de todas as Dívidas Fundadas com todos os campos exigidos pelo TCE. Também deve gravar em seu cadastro, para fins gerenciais, um histórico da movimentação das dívidas, a informação do número de parcelas da dívida e o comparativo anual entre o previsto e o realizado dos valores;</w:t>
      </w:r>
    </w:p>
    <w:p w14:paraId="471DC14B"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um cadastro das dívidas do Município, que permita a vinculação das mesmas aos empenhos correspondentes de forma automática. No cadastro, devem ser informadas as contas que serão utilizadas para a movimentação da dívida, sendo que na movimentação (empenhos, liquidações e pagamentos) as contas não sejam mais requeridas, resultando em agilidade e redução de erros de lançamentos;</w:t>
      </w:r>
    </w:p>
    <w:p w14:paraId="5B8D2A3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informar as parcelas da dívida, realizando o comparativo entre os valores informados e os valores efetivamente pagos;</w:t>
      </w:r>
    </w:p>
    <w:p w14:paraId="519892BC"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incluir para as dívidas cadastradas, as movimentações que lhes são pertinentes: atualizações, cancelamentos, correções, transferência de longo para curto prazo, realizando os lançamentos contábeis de forma automática;</w:t>
      </w:r>
    </w:p>
    <w:p w14:paraId="6542169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 gerencial de uma dívida especifica e de todas as dívidas fundadas;</w:t>
      </w:r>
    </w:p>
    <w:p w14:paraId="3369154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cadastro das Parcerias Públicos Privadas que o poder público tem firmadas com outros entes públicos ou privados. O cadastro deve ter no mínimo o tipo da parceria, a situação, a empresa parceira, objeto da parceria e o valor. No cadastro ainda deve ser possível informar as parcelas da parceria objetivando o preenchimento do anexo 13 – Dem. das Parcerias Público Privadas;</w:t>
      </w:r>
    </w:p>
    <w:p w14:paraId="6161A1F3"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Deve ser possível incluir anexos na parceria público privada;</w:t>
      </w:r>
    </w:p>
    <w:p w14:paraId="798ED5B8"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mecanismo para relacionar os empenhos à Parceria Público Privada, de modo que seja possível consultar pela parceria cadastrada os empenhos relacionados;</w:t>
      </w:r>
    </w:p>
    <w:p w14:paraId="77A9EA0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processo de encerramento mensal, que verifique eventuais divergências de saldos e que após o encerramento não seja alterado os lançamentos contábeis;</w:t>
      </w:r>
    </w:p>
    <w:p w14:paraId="4C83136F"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com o sistema de Patrimônio, efetuando automaticamente na contabilidade os lançamentos de movimentação dos bens bem como os lançamentos de depreciação, exaustão e amortização;</w:t>
      </w:r>
    </w:p>
    <w:p w14:paraId="5B8D78E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automaticamente os lançamentos de abertura do orçamento anual, demonstrando na rotina o total a ser lançado de receita e de despesa. Abertura deve ser feita por entidade.</w:t>
      </w:r>
    </w:p>
    <w:p w14:paraId="5D63AE6C"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Efetuar os lançamentos de abertura do exercício, de forma automática, realizando os lançamentos contábeis de abertura bem como gravando no próprio lançamento os conta correntes necessários a geração da MSC;</w:t>
      </w:r>
    </w:p>
    <w:p w14:paraId="54275F2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Iniciar os movimentos contábeis no novo exercício, mesmo que o anterior ainda não esteja encerrado;</w:t>
      </w:r>
    </w:p>
    <w:p w14:paraId="0579D63A"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refazer os lançamentos de abertura do exercício, gravando os novos saldos após o encerramento do exercício anterior;</w:t>
      </w:r>
    </w:p>
    <w:p w14:paraId="2E1C22FF"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automaticamente na abertura do exercício os valores de superávit na fonte de recurso correta, para cada conta bancária;</w:t>
      </w:r>
    </w:p>
    <w:p w14:paraId="087765C2"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antes do encerramento consistência da base de dados com emissão de relatório de inconsistências objetivando a integridade das informações para o encerramento;</w:t>
      </w:r>
    </w:p>
    <w:p w14:paraId="67878423"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Encerrar exercício em etapas, permitindo ao usuário o acompanhamento e a conferência dos valores e lançamentos contábeis em cada etapa;</w:t>
      </w:r>
    </w:p>
    <w:p w14:paraId="54E5298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copiar as programações de pagamento em abeto ou aguardando retorno do banco, para o ano seguinte na rotina de encerramento do exercício. O sistema deverá fazer a baixa das programações no exercício atual e copiá-las para o próximo exercício;</w:t>
      </w:r>
    </w:p>
    <w:p w14:paraId="7677E335"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no encerramento do exercício anular empenhos estimativos para que os mesmos não sejam inscritos em restos a pagar; Caso os empenhos estimativos não sejam anulados o sistema deve inscreve-los em restos a pagar;</w:t>
      </w:r>
    </w:p>
    <w:p w14:paraId="7054520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Inscrever em restos a pagar, individualmente no encerramento do exercício, os empenhos a pagar, demonstrando quais os valores processados e não processados;</w:t>
      </w:r>
    </w:p>
    <w:p w14:paraId="6DDCA8D7"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lançamentos contábeis de encerramento do exercício automaticamente;</w:t>
      </w:r>
    </w:p>
    <w:p w14:paraId="4546448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cópia das notas extraorçamentárias a pagar para o exercício seguinte; </w:t>
      </w:r>
    </w:p>
    <w:p w14:paraId="33BEE134"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desmovimentação do encerramento do exercício, da inscrição dos restos a pagar e das notas extraorçamentárias separadamente;</w:t>
      </w:r>
    </w:p>
    <w:p w14:paraId="3CD267A6"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unificada dos lançamentos contábeis efetuados nos sistemas integrados; Deve ser permitido consultar o lançamento, o evento a ele associado, o conta corrente do estado (caso haja) o conta corrente da MSC e o usuário que fez o lançamento;</w:t>
      </w:r>
    </w:p>
    <w:p w14:paraId="6EDF2A63"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saldos das contas contábeis e dos saldos por vínculo de recursos de cada conta, demonstrando os valores mês a mês;</w:t>
      </w:r>
    </w:p>
    <w:p w14:paraId="026A051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ferramenta de soma, onde ao consultar os lançamentos contábeis de determinada conta, ao seleciona-los o sistema demonstre em tela o número de registros selecionados, o valor a debito, o valor a credito e a diferença;</w:t>
      </w:r>
    </w:p>
    <w:p w14:paraId="3850FC46"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Consolidar balancete da administração direta e indireta; O balancete de verificação deve ser emitido das contas de receita, despesa e das contas contábeis. Deve ser possível a emissão por indicador de superavit, por mês ou diário e com possibilidade de paginação;</w:t>
      </w:r>
    </w:p>
    <w:p w14:paraId="15EACB86"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Livro Diário com termo de abertura e encerramento;</w:t>
      </w:r>
    </w:p>
    <w:p w14:paraId="6B8E7FBC"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livro razão com termo de abertura e encerramento. Deve ser possível a emissão da razão agrupando por data, tipo de lançamento e com opção de resumir por fonte de recursos;</w:t>
      </w:r>
    </w:p>
    <w:p w14:paraId="54C74801"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Balancete Analítico por Fonte de Recursos. Devem ser emitidas as contas de receita, despesa e contas contábeis, com possibilidade de listar e resumir por fonte de recursos e resumir por especificação. Deve ser possível listar uma ou mais contas e uma ou mais fontes de recursos.</w:t>
      </w:r>
    </w:p>
    <w:p w14:paraId="7C22402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saldo de disponibilidade de recursos. Possibilitar a seleção de uma ou mais fontes de recursos. O relatório deve demonstrar por fonte de recursos: o saldo disponível, empenhos a pagar, restos a pagar, extras a pagar e o déficit/superavit por fonte;</w:t>
      </w:r>
    </w:p>
    <w:p w14:paraId="4904FB2E"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DARF/PASEP/GPS e imprimir recibo de IRRF e ISSQN;</w:t>
      </w:r>
    </w:p>
    <w:p w14:paraId="5F24DEDD" w14:textId="77777777" w:rsidR="00B307DB" w:rsidRPr="00680B5B" w:rsidRDefault="00B307DB" w:rsidP="00F60DF5">
      <w:pPr>
        <w:pStyle w:val="PargrafodaLista"/>
        <w:numPr>
          <w:ilvl w:val="0"/>
          <w:numId w:val="29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das notas extraorçamentárias emitidas, estornadas e pagas, consolidando por entidade. Deve ser possível filtrar por credor, conta, fonte de recursos e número do empenho. Deve permitir totalizar por fonte de recursos, conta contábil e credor;</w:t>
      </w:r>
    </w:p>
    <w:p w14:paraId="2486A53F"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p>
    <w:p w14:paraId="5C7E1702"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bCs/>
        </w:rPr>
        <w:t>2.2.2. GESTÃO FINANCEIRA</w:t>
      </w:r>
    </w:p>
    <w:p w14:paraId="6C459F9C"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total integração com o sistema contábil, efetuando a contabilização automática dos pagamentos e recebimentos efetuados pela tesouraria;</w:t>
      </w:r>
    </w:p>
    <w:p w14:paraId="4609157D"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gerencial dos pagamentos. Na consulta devem ser listados todos os pagamentos efetuados, de empenhos, restos e extras. A consulta também de demonstrar as retenções baixadas na liquidação e no pagamento;</w:t>
      </w:r>
    </w:p>
    <w:p w14:paraId="658A32F3"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Sobre os registros da consulta, o sistema deve permitir visualizar, estornar, consultar os lançamentos contábeis e incluir anexos;</w:t>
      </w:r>
    </w:p>
    <w:p w14:paraId="01D18C9E"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consulta gerencial deve permitir filtra os registros que foram assinados digitalmente, os que possuem anexo, os que tem finalidade FUNDEB e finalidade FMS informados;</w:t>
      </w:r>
    </w:p>
    <w:p w14:paraId="5F0C31EF"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possuir ação de duplicar nas rotinas de pagamento, movimento bancário, receita orçamentária, dedução de receita e transferência financeira;</w:t>
      </w:r>
    </w:p>
    <w:p w14:paraId="71E481EE"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permitir a gestão das contas bancárias em rotina especifica, permitindo a vinculação de uma ou mais fontes de recurso à conta bancária. Esta definição deve ser observada em qualquer movimentação realizada no sistema;</w:t>
      </w:r>
    </w:p>
    <w:p w14:paraId="66596BB7"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várias receitas orçamentárias simultaneamente com contrapartida uma única conta bancária;</w:t>
      </w:r>
    </w:p>
    <w:p w14:paraId="0F8626D2"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lançamento das receitas de acordo com a Portaria vigente relacionada a receita pública. O sistema deve consistir na receita com sua fonte de recurso x conta bancária, não permitindo salvar arrecadação que esteja divergente;</w:t>
      </w:r>
    </w:p>
    <w:p w14:paraId="288C09E0"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informação da fonte de recursos no momento do lançamento da receita, para os casos em que não há rateio de percentual entre as fontes;</w:t>
      </w:r>
    </w:p>
    <w:p w14:paraId="1F63AA12"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dedução de receita utilizando rubricas redutoras, conforme Manual de Procedimentos Contábeis da STN (Secretaria do Tesouro Nacional);</w:t>
      </w:r>
    </w:p>
    <w:p w14:paraId="4D804A42"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várias deduções de receita simultaneamente tendo como contrapartida uma única conta bancária;</w:t>
      </w:r>
    </w:p>
    <w:p w14:paraId="4DAD9806"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receitas extraorçamentárias;</w:t>
      </w:r>
    </w:p>
    <w:p w14:paraId="17ADF40D"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Selecionar várias receitas extraorçamentárias e gerar automaticamente as notas extraorçamentárias, mantendo rastreabilidade dos registros;</w:t>
      </w:r>
    </w:p>
    <w:p w14:paraId="07785059"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os lançamentos contábeis das movimentações financeiras automaticamente ao incluir o registro, gravando simultaneamente a conta corrente da MSC quando for o caso.</w:t>
      </w:r>
    </w:p>
    <w:p w14:paraId="2DAF0D99"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Todas as movimentações relacionadas a contas bancárias e aplicações devem ser imediatamente reproduzidas em registros contábeis, não se admitindo lapso de tempo;</w:t>
      </w:r>
    </w:p>
    <w:p w14:paraId="2FA960F4"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na rotina de inclusão, para cada receita, dedução de receita e receita extra os lançamentos contábeis, podendo estorná-los e fazendo automaticamente os lançamentos contábeis do estorno, mantendo o registro da situação;</w:t>
      </w:r>
    </w:p>
    <w:p w14:paraId="0FF9373A"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automaticamente nos lançamentos de receita de cota parte, o lançamento dos 20% do FUNDEB na dedução da receita;</w:t>
      </w:r>
    </w:p>
    <w:p w14:paraId="66C86397"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lançamentos de movimentação bancária (depósitos, transferências, resgates e aplicações), informando as fontes e destinações de recursos;</w:t>
      </w:r>
    </w:p>
    <w:p w14:paraId="30A1888D"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saldos da conta bancária por fonte de recursos no momento das suas movimentações (depósitos, transferências, resgates e aplicações);</w:t>
      </w:r>
    </w:p>
    <w:p w14:paraId="400043E4"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na rotina de inclusão, para cada movimentação bancária os lançamentos contábeis, permitindo estorná-los e fazendo automaticamente os lançamentos contábeis do estorno, mantendo o registro da situação;</w:t>
      </w:r>
    </w:p>
    <w:p w14:paraId="65396448"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inclusão de anexos nos registros de movimento bancário;</w:t>
      </w:r>
    </w:p>
    <w:p w14:paraId="65C911EB"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geração de borderô dos registros de movimento bancário;</w:t>
      </w:r>
    </w:p>
    <w:p w14:paraId="6DC1568F"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as transferências financeiras entre as entidades as Adm. Direta e Indireta, indicando o tipo da transferência (Concedida/recebida) e a entidade recebedora;</w:t>
      </w:r>
    </w:p>
    <w:p w14:paraId="2D22A542"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em cada transferência financeira os lançamentos contábeis, podendo estorná-los e fazendo automaticamente os lançamentos contábeis do estorno, mantendo o registro da situação;</w:t>
      </w:r>
    </w:p>
    <w:p w14:paraId="252AB1D1"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as diárias permitindo incluir o funcionário/servidor, objetivo, destino, período, valor concedido, empenho da despesa e a Lei que autoriza a concessão de diárias;</w:t>
      </w:r>
    </w:p>
    <w:p w14:paraId="71F4546C"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Disponibilizar no portal da transparência os dados das diárias assim que forem incluídos;</w:t>
      </w:r>
    </w:p>
    <w:p w14:paraId="4557A799"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Criar lote com diversas liquidações e notas extras para pagamento posterior, definindo a data de vencimento, podendo ser pago através da rotina de pagamento ou envio/baixa de borderô;</w:t>
      </w:r>
    </w:p>
    <w:p w14:paraId="4EC575DE"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saldo da conta bancária, saldo por fonte/destinação de recursos, na Inclusão de pagamentos;</w:t>
      </w:r>
    </w:p>
    <w:p w14:paraId="0847A4F6"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empenhos, restos a pagar e notas extraorçamentárias em um lote de pagamentos;</w:t>
      </w:r>
    </w:p>
    <w:p w14:paraId="3F9026A4"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prazo de vencimento dos pagamentos de empenhos, visando o controle dos pagamentos em ordem cronológica;</w:t>
      </w:r>
    </w:p>
    <w:p w14:paraId="1827410A"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borderôs para agrupamento de pagamentos a diversos fornecedores para um banco, efetuar o mesmo tratamento para os pagamentos individuais;</w:t>
      </w:r>
    </w:p>
    <w:p w14:paraId="34F6DFD8"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Integrar com os arquivos de retorno dos bancos, com baixa de pagamento automática pelo software;</w:t>
      </w:r>
    </w:p>
    <w:p w14:paraId="7DF638AF"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o pagamento do borderô através de arquivo de retorno do banco;</w:t>
      </w:r>
    </w:p>
    <w:p w14:paraId="69E97BE5"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a baixa dos registros no envio do borderô, permitindo que o pagamento dos registros se dê no momento da geração.</w:t>
      </w:r>
    </w:p>
    <w:p w14:paraId="3D42F6CE"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movimentação de pagamentos, registrando todos os pagamentos efetuados, podendo estornar os lançamentos contábeis automaticamente nas respectivas contas contábeis;</w:t>
      </w:r>
    </w:p>
    <w:p w14:paraId="4D0304EB"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Filtrar itens a pagar por data de vencimento, credor, destinação/fonte de recursos, podendo selecionar e pagar simultaneamente os registros;</w:t>
      </w:r>
    </w:p>
    <w:p w14:paraId="07E07B2C"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Pagar de uma só vez as despesas extraorçamentárias geradas através de retenção na liquidação;</w:t>
      </w:r>
    </w:p>
    <w:p w14:paraId="49E20B9E"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pagamentos pré-autorizados filtrando por data de vencimento;</w:t>
      </w:r>
    </w:p>
    <w:p w14:paraId="7FE494EB"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Efetuar pagamentos totais ou parciais, bem como estornos totais ou parciais de pagamentos;</w:t>
      </w:r>
    </w:p>
    <w:p w14:paraId="7F320A7B"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para cada pagamento incluído os lançamentos contábeis realizados, permitindo seu estorno e fazendo automaticamente os lançamentos contábeis;</w:t>
      </w:r>
    </w:p>
    <w:p w14:paraId="3DC90E7D"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ordens de pagamento de restos a pagar, despesa extraorçamentária e de empenhos;</w:t>
      </w:r>
    </w:p>
    <w:p w14:paraId="653DAA59"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Listar cheques emitidos na rotina de pagamento e cheques avulsos numa única consulta;</w:t>
      </w:r>
    </w:p>
    <w:p w14:paraId="09BD097A"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a conciliação bancária com o extrato, visualizando os lançamentos contábeis e movimentação bancária numa única tela;</w:t>
      </w:r>
    </w:p>
    <w:p w14:paraId="34214B70"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Importar arquivos de extrato bancário nas extensões OFC e OFX para a conciliação bancária e permitir a impressão do extrato importado;</w:t>
      </w:r>
    </w:p>
    <w:p w14:paraId="7C57D16A"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pendências da conciliação para lançamentos contábeis e registros do extrato;</w:t>
      </w:r>
    </w:p>
    <w:p w14:paraId="5009C585"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Criar automaticamente pendências para o extrato e lançamentos contábeis e copiar automaticamente as pendências não baixadas para a próxima conciliação.</w:t>
      </w:r>
    </w:p>
    <w:p w14:paraId="21EB5C74"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Selecionar múltiplos lançamentos contábeis exibindo a soma dos mesmos e permitindo conciliar com um ou vários registros do extrato;</w:t>
      </w:r>
    </w:p>
    <w:p w14:paraId="5D469F83"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Conciliar de forma parcial, a medida que os valores vão sendo conciliados deverão ser ocultados da consulta de lançamentos a conciliar, facilitando a conferência dos valores que ainda não foram conciliados;</w:t>
      </w:r>
    </w:p>
    <w:p w14:paraId="79624877"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Visualizar e imprimir conciliações de períodos anteriores;</w:t>
      </w:r>
    </w:p>
    <w:p w14:paraId="4A83024E"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os filtros na tela de conciliação: data, descrição, valor, controle de lançamento;</w:t>
      </w:r>
    </w:p>
    <w:p w14:paraId="1EFC3498"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Ordenar coluna de valor na conciliação para o lado dos lançamentos contábeis e para o lado do extrato bancário;</w:t>
      </w:r>
    </w:p>
    <w:p w14:paraId="4C7A5EEB"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pendências baixadas na conciliação;</w:t>
      </w:r>
    </w:p>
    <w:p w14:paraId="0D9843F4"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os relatórios de pendência e conciliação bancária;</w:t>
      </w:r>
    </w:p>
    <w:p w14:paraId="25738E4E"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para cada pagamento incluído os lançamentos contábeis e para cada lançamento permitir o seu estorno, fazendo automaticamente os lançamentos contábeis de estorno;</w:t>
      </w:r>
    </w:p>
    <w:p w14:paraId="5D2715AF"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despesa empenhada a pagar por unidade orçamentária;</w:t>
      </w:r>
    </w:p>
    <w:p w14:paraId="3F77C220"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autorização bancária para envio de ao banco após assinatura do ordenador da despesa;</w:t>
      </w:r>
    </w:p>
    <w:p w14:paraId="705F2083"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controle de assinaturas para envio de borderô ao banco, bloqueando a geração e envio do borderô ao banco caso não tenha as autorizações necessárias;</w:t>
      </w:r>
    </w:p>
    <w:p w14:paraId="0C6F2818"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demonstrativo diário de receitas arrecadadas e despesas realizadas;</w:t>
      </w:r>
    </w:p>
    <w:p w14:paraId="1F61E6C7"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demonstrativo das receitas arrecadadas mês a mês com possibilidade de listar fontes de recursos e resumir por fonte;</w:t>
      </w:r>
    </w:p>
    <w:p w14:paraId="09DF33C4"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Emitir relatório das receitas arrecadas mês a mês dos últimos três anos, listando as fontes de recursos e com possibilidade de emissão em planilhas; </w:t>
      </w:r>
    </w:p>
    <w:p w14:paraId="52D1A704"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extrato do credor, demonstrando informações dos empenhos e dos restos a pagar na mesma opção;</w:t>
      </w:r>
    </w:p>
    <w:p w14:paraId="500122DD"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com o sistema tributário, efetuando de forma automática os lançamentos contábeis de arrecadação de receitas:</w:t>
      </w:r>
    </w:p>
    <w:p w14:paraId="56A34D07" w14:textId="77777777" w:rsidR="00B307DB" w:rsidRPr="00680B5B" w:rsidRDefault="00B307DB" w:rsidP="00F60DF5">
      <w:pPr>
        <w:pStyle w:val="PargrafodaLista"/>
        <w:numPr>
          <w:ilvl w:val="0"/>
          <w:numId w:val="300"/>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movimentações de Lançamento, Arrecadação e Recolhimento conforme classificação da receita orçamentária e contábil;</w:t>
      </w:r>
    </w:p>
    <w:p w14:paraId="51CEF017" w14:textId="77777777" w:rsidR="00B307DB" w:rsidRPr="00680B5B" w:rsidRDefault="00B307DB" w:rsidP="00F60DF5">
      <w:pPr>
        <w:pStyle w:val="PargrafodaLista"/>
        <w:numPr>
          <w:ilvl w:val="0"/>
          <w:numId w:val="3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movimentações de renúncia de receita (cancelamento, prescrição, anistia, isenção, etc.);</w:t>
      </w:r>
    </w:p>
    <w:p w14:paraId="0ADD8770" w14:textId="77777777" w:rsidR="00B307DB" w:rsidRPr="00680B5B" w:rsidRDefault="00B307DB" w:rsidP="00F60DF5">
      <w:pPr>
        <w:pStyle w:val="PargrafodaLista"/>
        <w:numPr>
          <w:ilvl w:val="0"/>
          <w:numId w:val="300"/>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movimentações da Dívida Ativa (Inclusão, Manutenção, Exclusão) conforme classificação da receita orçamentária e contábil;</w:t>
      </w:r>
    </w:p>
    <w:p w14:paraId="6FA1886F"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lançamentos tributários para conferência dos valores antes de efetuar a integração bem como a emissão de relatório de críticas caso haja inconsistências ou falta de configurações nas receitas;</w:t>
      </w:r>
    </w:p>
    <w:p w14:paraId="22FC05BC"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Nos casos em que houver restituição de receita, integrar esses valores do tributário e permitir ao usuário gerar um empenho para restituir se o valor é de ano anterior e gerar uma dedução de receita se a restituição ocorrer no ano corrente da receita;</w:t>
      </w:r>
    </w:p>
    <w:p w14:paraId="3974B711"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fluxo de assinatura digital de ordens de pagamento, que permita tramitar as ordens entre os assinantes de forma automática, só finalizando o processo se todos os responsáveis tiverem incluído sua assinatura;</w:t>
      </w:r>
    </w:p>
    <w:p w14:paraId="4D9FE2BD"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por fonte de recursos as receitas arrecadadas com multa de trânsito e as respectivas despesas, com publicação automática no portal da transparência;</w:t>
      </w:r>
    </w:p>
    <w:p w14:paraId="09CA4527"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os itens a pagar por data de vencimento, credor, destinação/ fonte de recursos e com possibilidade de selecionar e pagar simultaneamente os registros mostrados.</w:t>
      </w:r>
    </w:p>
    <w:p w14:paraId="2FCBB080"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incluir anexos no registro de pagamento;</w:t>
      </w:r>
    </w:p>
    <w:p w14:paraId="343EF558"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assinatura digital na ordem de pagamento e no comprovante de pagamento. O sistema deve transferir automaticamente o documento para que mais pessoas possam realizar a assinatura digital. </w:t>
      </w:r>
    </w:p>
    <w:p w14:paraId="6E56F873"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permitir a configuração das pessoas a quem o documento será transferido para assinar digitalmente.</w:t>
      </w:r>
    </w:p>
    <w:p w14:paraId="1986388F"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pagamentos efetuados. O relatório deve ter no mínimo os filtros: data de pagamento, credor, fonte de recursos, banco e permitir agrupar por banco, credor, fonte de recursos e listando ou não as retenções;</w:t>
      </w:r>
    </w:p>
    <w:p w14:paraId="4D348543" w14:textId="77777777" w:rsidR="00B307DB" w:rsidRPr="00680B5B" w:rsidRDefault="00B307DB" w:rsidP="00F60DF5">
      <w:pPr>
        <w:pStyle w:val="PargrafodaLista"/>
        <w:numPr>
          <w:ilvl w:val="0"/>
          <w:numId w:val="29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no Portal do Município, para que os fornecedores, mediante usuário e senha, possam consultar os valores a receber e recebidos, sem ter necessidade de entrar em contato com o Município para receber informações.</w:t>
      </w:r>
    </w:p>
    <w:p w14:paraId="72E947D5"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p>
    <w:p w14:paraId="7A75B72D"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bCs/>
        </w:rPr>
        <w:t>2.2.3. PRESTAÇÃO DE CONTAS</w:t>
      </w:r>
    </w:p>
    <w:p w14:paraId="110142D8" w14:textId="77777777" w:rsidR="00B307DB" w:rsidRPr="00680B5B" w:rsidRDefault="00B307DB" w:rsidP="00F60DF5">
      <w:pPr>
        <w:pStyle w:val="PargrafodaLista"/>
        <w:numPr>
          <w:ilvl w:val="0"/>
          <w:numId w:val="301"/>
        </w:numPr>
        <w:suppressAutoHyphens/>
        <w:spacing w:after="0" w:line="240" w:lineRule="auto"/>
        <w:ind w:right="-568"/>
        <w:contextualSpacing w:val="0"/>
        <w:jc w:val="both"/>
        <w:rPr>
          <w:rFonts w:ascii="Times New Roman" w:hAnsi="Times New Roman" w:cs="Times New Roman"/>
        </w:rPr>
      </w:pPr>
      <w:r w:rsidRPr="00680B5B">
        <w:rPr>
          <w:rFonts w:ascii="Times New Roman" w:hAnsi="Times New Roman" w:cs="Times New Roman"/>
        </w:rPr>
        <w:t>Emitir Relatórios Resumidos de Execução Orçamentária de acordo com a Portaria da STN vigente:</w:t>
      </w:r>
    </w:p>
    <w:p w14:paraId="786E17EE" w14:textId="77777777" w:rsidR="00B307DB" w:rsidRPr="00680B5B" w:rsidRDefault="00B307DB" w:rsidP="00F60DF5">
      <w:pPr>
        <w:pStyle w:val="PargrafodaLista"/>
        <w:numPr>
          <w:ilvl w:val="0"/>
          <w:numId w:val="302"/>
        </w:numPr>
        <w:tabs>
          <w:tab w:val="clear" w:pos="720"/>
          <w:tab w:val="left" w:pos="851"/>
          <w:tab w:val="num" w:pos="1134"/>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Anexo I - Balanço Orçamentário;</w:t>
      </w:r>
    </w:p>
    <w:p w14:paraId="3298FFE5"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II - Demonstrativo da Execução das Despesas por Função/Subfunção;</w:t>
      </w:r>
    </w:p>
    <w:p w14:paraId="329DC68A"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III - Demonstrativo da Receita Corrente Líquida;</w:t>
      </w:r>
    </w:p>
    <w:p w14:paraId="69D66782"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IV - Demonstrativo do Resultado Primário e Nominal;</w:t>
      </w:r>
    </w:p>
    <w:p w14:paraId="614DDC16"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VI - Demonstrativo dos Restos a Pagar por Poder e Órgão;</w:t>
      </w:r>
    </w:p>
    <w:p w14:paraId="03012D7C"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VII - Demonstrativo das Receitas e Despesas com Manutenção e Desenvolvimento do Ensino – MDE;</w:t>
      </w:r>
    </w:p>
    <w:p w14:paraId="5F3A9A54"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VIII - Demonstrativo das Receitas de Operações de Crédito e Despesas de Capital;</w:t>
      </w:r>
    </w:p>
    <w:p w14:paraId="663F6FC4"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IX - Demonstrativo da Projeção Atuarial do Regime Próprio de Previdência dos Servidores;</w:t>
      </w:r>
    </w:p>
    <w:p w14:paraId="2AAFAE96"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 - Demonstrativo da Receita de Alienação de Ativos e Aplicação dos Recursos;</w:t>
      </w:r>
    </w:p>
    <w:p w14:paraId="30C9780D"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XII - Demonstrativo da Receita de Impostos Líquida e das Despesas Próprias com Ações de Saúde;</w:t>
      </w:r>
    </w:p>
    <w:p w14:paraId="3C0F501B"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XIII - Demonstrativo das Parcerias Público Privadas e</w:t>
      </w:r>
    </w:p>
    <w:p w14:paraId="3280FD4B" w14:textId="77777777" w:rsidR="00B307DB" w:rsidRPr="00680B5B" w:rsidRDefault="00B307DB" w:rsidP="00F60DF5">
      <w:pPr>
        <w:pStyle w:val="PargrafodaLista"/>
        <w:numPr>
          <w:ilvl w:val="0"/>
          <w:numId w:val="302"/>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XIV - Demonstrativo Simplificado do Relatório Resumido da Execução Orçamentária;</w:t>
      </w:r>
    </w:p>
    <w:p w14:paraId="1981E5CA"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Gestão Fiscal de acordo com a Portaria da STN vigente:</w:t>
      </w:r>
    </w:p>
    <w:p w14:paraId="27592B0F" w14:textId="77777777" w:rsidR="00B307DB" w:rsidRPr="00680B5B" w:rsidRDefault="00B307DB" w:rsidP="00F60DF5">
      <w:pPr>
        <w:pStyle w:val="PargrafodaLista"/>
        <w:numPr>
          <w:ilvl w:val="0"/>
          <w:numId w:val="303"/>
        </w:numPr>
        <w:tabs>
          <w:tab w:val="clear" w:pos="720"/>
          <w:tab w:val="left" w:pos="851"/>
          <w:tab w:val="num" w:pos="1134"/>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 - Demonstrativo da Despesa com Pessoal;</w:t>
      </w:r>
    </w:p>
    <w:p w14:paraId="22D5AC87" w14:textId="77777777" w:rsidR="00B307DB" w:rsidRPr="00680B5B" w:rsidRDefault="00B307DB" w:rsidP="00F60DF5">
      <w:pPr>
        <w:pStyle w:val="PargrafodaLista"/>
        <w:numPr>
          <w:ilvl w:val="0"/>
          <w:numId w:val="303"/>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II - Demonstrativo da Dívida Consolidada Líquida – DCL;</w:t>
      </w:r>
    </w:p>
    <w:p w14:paraId="7A4874DB" w14:textId="77777777" w:rsidR="00B307DB" w:rsidRPr="00680B5B" w:rsidRDefault="00B307DB" w:rsidP="00F60DF5">
      <w:pPr>
        <w:pStyle w:val="PargrafodaLista"/>
        <w:numPr>
          <w:ilvl w:val="0"/>
          <w:numId w:val="303"/>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III - Demonstrativo das Garantias e Contragarantias de Valores;</w:t>
      </w:r>
    </w:p>
    <w:p w14:paraId="48B7F024" w14:textId="77777777" w:rsidR="00B307DB" w:rsidRPr="00680B5B" w:rsidRDefault="00B307DB" w:rsidP="00F60DF5">
      <w:pPr>
        <w:pStyle w:val="PargrafodaLista"/>
        <w:numPr>
          <w:ilvl w:val="0"/>
          <w:numId w:val="303"/>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IV - Demonstrativo das Operações de Crédito;</w:t>
      </w:r>
    </w:p>
    <w:p w14:paraId="53847536" w14:textId="77777777" w:rsidR="00B307DB" w:rsidRPr="00680B5B" w:rsidRDefault="00B307DB" w:rsidP="00F60DF5">
      <w:pPr>
        <w:pStyle w:val="PargrafodaLista"/>
        <w:numPr>
          <w:ilvl w:val="0"/>
          <w:numId w:val="303"/>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 - Demonstrativo da Disponibilidade de Caixa e</w:t>
      </w:r>
    </w:p>
    <w:p w14:paraId="1B91742F" w14:textId="77777777" w:rsidR="00B307DB" w:rsidRPr="00680B5B" w:rsidRDefault="00B307DB" w:rsidP="00F60DF5">
      <w:pPr>
        <w:pStyle w:val="PargrafodaLista"/>
        <w:numPr>
          <w:ilvl w:val="0"/>
          <w:numId w:val="303"/>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VI - Demonstrativo Simplificado do Relatório de Gestão Fiscal;</w:t>
      </w:r>
    </w:p>
    <w:p w14:paraId="3622E134"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Os relatórios da Lei de Responsabilidade Fiscal (RREO e RGF) deve ser emitido de forma automática, sem necessidade de marcação ou configuração feita pelo usuário. Também deve ser possível consultar o layout dos relatórios para verificar as configurações que compõem cada linha;</w:t>
      </w:r>
    </w:p>
    <w:p w14:paraId="73264F38"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os relatórios Anuais Obrigatórios consolidando por entidade:</w:t>
      </w:r>
    </w:p>
    <w:p w14:paraId="1FBA148D" w14:textId="77777777" w:rsidR="00B307DB" w:rsidRPr="00680B5B" w:rsidRDefault="00B307DB" w:rsidP="00F60DF5">
      <w:pPr>
        <w:pStyle w:val="PargrafodaLista"/>
        <w:numPr>
          <w:ilvl w:val="0"/>
          <w:numId w:val="304"/>
        </w:numPr>
        <w:tabs>
          <w:tab w:val="clear" w:pos="720"/>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Anexo X - Comparativo Receita Orçada com Arrecadada (Lei 4320/64);</w:t>
      </w:r>
    </w:p>
    <w:p w14:paraId="40B32CC8" w14:textId="77777777" w:rsidR="00B307DB" w:rsidRPr="00680B5B" w:rsidRDefault="00B307DB" w:rsidP="00F60DF5">
      <w:pPr>
        <w:pStyle w:val="PargrafodaLista"/>
        <w:numPr>
          <w:ilvl w:val="0"/>
          <w:numId w:val="30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 Comp. Desp. Autorizada c/ Realizada;</w:t>
      </w:r>
    </w:p>
    <w:p w14:paraId="34C9BA0A" w14:textId="77777777" w:rsidR="00B307DB" w:rsidRPr="00680B5B" w:rsidRDefault="00B307DB" w:rsidP="00F60DF5">
      <w:pPr>
        <w:pStyle w:val="PargrafodaLista"/>
        <w:numPr>
          <w:ilvl w:val="0"/>
          <w:numId w:val="30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XII - Balanço Orçamentário (Lei 4320/64);</w:t>
      </w:r>
    </w:p>
    <w:p w14:paraId="39F2F31D" w14:textId="77777777" w:rsidR="00B307DB" w:rsidRPr="00680B5B" w:rsidRDefault="00B307DB" w:rsidP="00F60DF5">
      <w:pPr>
        <w:pStyle w:val="PargrafodaLista"/>
        <w:numPr>
          <w:ilvl w:val="0"/>
          <w:numId w:val="30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XIII- Balanço Financeiro (Lei 4320/64 art.103);</w:t>
      </w:r>
    </w:p>
    <w:p w14:paraId="38658570" w14:textId="77777777" w:rsidR="00B307DB" w:rsidRPr="00680B5B" w:rsidRDefault="00B307DB" w:rsidP="00F60DF5">
      <w:pPr>
        <w:pStyle w:val="PargrafodaLista"/>
        <w:numPr>
          <w:ilvl w:val="0"/>
          <w:numId w:val="30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XIV - Balanço Patrimonial (Lei 4320/64 art.105);</w:t>
      </w:r>
    </w:p>
    <w:p w14:paraId="29BCF4BA" w14:textId="77777777" w:rsidR="00B307DB" w:rsidRPr="00680B5B" w:rsidRDefault="00B307DB" w:rsidP="00F60DF5">
      <w:pPr>
        <w:pStyle w:val="PargrafodaLista"/>
        <w:numPr>
          <w:ilvl w:val="0"/>
          <w:numId w:val="30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 Anexo XV - Demonstrativo das Variações Patrimoniais (Lei 4320/64);</w:t>
      </w:r>
    </w:p>
    <w:p w14:paraId="510551A5" w14:textId="77777777" w:rsidR="00B307DB" w:rsidRPr="00680B5B" w:rsidRDefault="00B307DB" w:rsidP="00F60DF5">
      <w:pPr>
        <w:pStyle w:val="PargrafodaLista"/>
        <w:numPr>
          <w:ilvl w:val="0"/>
          <w:numId w:val="30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lastRenderedPageBreak/>
        <w:t>Anexo XVI – Demonstrativo da Dívida Fundada Interna (Lei 4320/64);</w:t>
      </w:r>
    </w:p>
    <w:p w14:paraId="541A0B1F" w14:textId="77777777" w:rsidR="00B307DB" w:rsidRPr="00680B5B" w:rsidRDefault="00B307DB" w:rsidP="00F60DF5">
      <w:pPr>
        <w:pStyle w:val="PargrafodaLista"/>
        <w:numPr>
          <w:ilvl w:val="0"/>
          <w:numId w:val="30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XVII – Demonstrativo da Dívida Flutuante (Lei 4320/64) e</w:t>
      </w:r>
    </w:p>
    <w:p w14:paraId="0629787C" w14:textId="77777777" w:rsidR="00B307DB" w:rsidRPr="00680B5B" w:rsidRDefault="00B307DB" w:rsidP="00F60DF5">
      <w:pPr>
        <w:pStyle w:val="PargrafodaLista"/>
        <w:numPr>
          <w:ilvl w:val="0"/>
          <w:numId w:val="304"/>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Anexo XVIII – Demonstrativo de Fluxos de Caixa;</w:t>
      </w:r>
    </w:p>
    <w:p w14:paraId="7FFFE6D0"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de acompanhamento da programação financeira em atendimento aos Artigos 8º ao 13º da LRF:</w:t>
      </w:r>
    </w:p>
    <w:p w14:paraId="1746BB7E" w14:textId="77777777" w:rsidR="00B307DB" w:rsidRPr="00680B5B" w:rsidRDefault="00B307DB" w:rsidP="00F60DF5">
      <w:pPr>
        <w:pStyle w:val="PargrafodaLista"/>
        <w:numPr>
          <w:ilvl w:val="0"/>
          <w:numId w:val="305"/>
        </w:numPr>
        <w:tabs>
          <w:tab w:val="clear" w:pos="720"/>
          <w:tab w:val="left" w:pos="851"/>
          <w:tab w:val="num" w:pos="993"/>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Cronograma de Desembolso - Por Modalidade;</w:t>
      </w:r>
    </w:p>
    <w:p w14:paraId="0F93830E" w14:textId="77777777" w:rsidR="00B307DB" w:rsidRPr="00680B5B" w:rsidRDefault="00B307DB" w:rsidP="00F60DF5">
      <w:pPr>
        <w:pStyle w:val="PargrafodaLista"/>
        <w:numPr>
          <w:ilvl w:val="0"/>
          <w:numId w:val="30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Cronograma de Desembolso - por Órgão e Unidade;</w:t>
      </w:r>
    </w:p>
    <w:p w14:paraId="29175EFE" w14:textId="77777777" w:rsidR="00B307DB" w:rsidRPr="00680B5B" w:rsidRDefault="00B307DB" w:rsidP="00F60DF5">
      <w:pPr>
        <w:pStyle w:val="PargrafodaLista"/>
        <w:numPr>
          <w:ilvl w:val="0"/>
          <w:numId w:val="30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Meta do Resultado Primário;</w:t>
      </w:r>
    </w:p>
    <w:p w14:paraId="00A404E1" w14:textId="77777777" w:rsidR="00B307DB" w:rsidRPr="00680B5B" w:rsidRDefault="00B307DB" w:rsidP="00F60DF5">
      <w:pPr>
        <w:pStyle w:val="PargrafodaLista"/>
        <w:numPr>
          <w:ilvl w:val="0"/>
          <w:numId w:val="30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Metas Arrecadação de Receita;</w:t>
      </w:r>
    </w:p>
    <w:p w14:paraId="2F5BCD9B" w14:textId="77777777" w:rsidR="00B307DB" w:rsidRPr="00680B5B" w:rsidRDefault="00B307DB" w:rsidP="00F60DF5">
      <w:pPr>
        <w:pStyle w:val="PargrafodaLista"/>
        <w:numPr>
          <w:ilvl w:val="0"/>
          <w:numId w:val="30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Programação Financeira da Receita e</w:t>
      </w:r>
    </w:p>
    <w:p w14:paraId="6FEB910B" w14:textId="77777777" w:rsidR="00B307DB" w:rsidRPr="00680B5B" w:rsidRDefault="00B307DB" w:rsidP="00F60DF5">
      <w:pPr>
        <w:pStyle w:val="PargrafodaLista"/>
        <w:numPr>
          <w:ilvl w:val="0"/>
          <w:numId w:val="305"/>
        </w:numPr>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 xml:space="preserve"> Receitas por Destinação de Recursos;</w:t>
      </w:r>
    </w:p>
    <w:p w14:paraId="3B284141"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relatórios com as informações para SIOPS;</w:t>
      </w:r>
    </w:p>
    <w:p w14:paraId="125C2C37"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de Notificação de Recebimento de Recursos em atendimento a LEI 9452/97;</w:t>
      </w:r>
    </w:p>
    <w:p w14:paraId="7518E609"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conforme o MANAD – Manual Normativo de Arquivos Digitais para a Secretaria da Receita da Previdência;</w:t>
      </w:r>
    </w:p>
    <w:p w14:paraId="573DDFFA"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relatório para conferência de inconsistências a serem corrigidas no software antes de gerar os arquivos para o Tribunal de Contas;</w:t>
      </w:r>
    </w:p>
    <w:p w14:paraId="7BC66BA2"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relatórios abaixo para auxiliar o preenchimento do SICONFI:</w:t>
      </w:r>
    </w:p>
    <w:p w14:paraId="061C22B0" w14:textId="77777777" w:rsidR="00B307DB" w:rsidRPr="00680B5B" w:rsidRDefault="00B307DB" w:rsidP="00F60DF5">
      <w:pPr>
        <w:pStyle w:val="PargrafodaLista"/>
        <w:numPr>
          <w:ilvl w:val="0"/>
          <w:numId w:val="306"/>
        </w:numPr>
        <w:tabs>
          <w:tab w:val="clear" w:pos="720"/>
          <w:tab w:val="num" w:pos="851"/>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Balanço Patrimonial;</w:t>
      </w:r>
    </w:p>
    <w:p w14:paraId="006B5EBB" w14:textId="77777777" w:rsidR="00B307DB" w:rsidRPr="00680B5B" w:rsidRDefault="00B307DB" w:rsidP="00F60DF5">
      <w:pPr>
        <w:pStyle w:val="PargrafodaLista"/>
        <w:numPr>
          <w:ilvl w:val="0"/>
          <w:numId w:val="306"/>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Receitas Orçamentárias;</w:t>
      </w:r>
    </w:p>
    <w:p w14:paraId="321DE687" w14:textId="77777777" w:rsidR="00B307DB" w:rsidRPr="00680B5B" w:rsidRDefault="00B307DB" w:rsidP="00F60DF5">
      <w:pPr>
        <w:pStyle w:val="PargrafodaLista"/>
        <w:numPr>
          <w:ilvl w:val="0"/>
          <w:numId w:val="306"/>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Despesa Orçamentária - Por Elemento;</w:t>
      </w:r>
    </w:p>
    <w:p w14:paraId="4021A488" w14:textId="77777777" w:rsidR="00B307DB" w:rsidRPr="00680B5B" w:rsidRDefault="00B307DB" w:rsidP="00F60DF5">
      <w:pPr>
        <w:pStyle w:val="PargrafodaLista"/>
        <w:numPr>
          <w:ilvl w:val="0"/>
          <w:numId w:val="306"/>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Despesa Orçamentária – Por Função/Subfunção;</w:t>
      </w:r>
    </w:p>
    <w:p w14:paraId="65B1D26E" w14:textId="77777777" w:rsidR="00B307DB" w:rsidRPr="00680B5B" w:rsidRDefault="00B307DB" w:rsidP="00F60DF5">
      <w:pPr>
        <w:pStyle w:val="PargrafodaLista"/>
        <w:numPr>
          <w:ilvl w:val="0"/>
          <w:numId w:val="306"/>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Restos a Pagar – Desp. Orç. Por Elemento;</w:t>
      </w:r>
    </w:p>
    <w:p w14:paraId="71E2A006" w14:textId="77777777" w:rsidR="00B307DB" w:rsidRPr="00680B5B" w:rsidRDefault="00B307DB" w:rsidP="00F60DF5">
      <w:pPr>
        <w:pStyle w:val="PargrafodaLista"/>
        <w:numPr>
          <w:ilvl w:val="0"/>
          <w:numId w:val="306"/>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Restos a Pagar – Desp. Orç. Por Função/Subfunção;</w:t>
      </w:r>
    </w:p>
    <w:p w14:paraId="1E21ECC2" w14:textId="77777777" w:rsidR="00B307DB" w:rsidRPr="00680B5B" w:rsidRDefault="00B307DB" w:rsidP="00F60DF5">
      <w:pPr>
        <w:pStyle w:val="PargrafodaLista"/>
        <w:numPr>
          <w:ilvl w:val="0"/>
          <w:numId w:val="306"/>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Demonstrativo das Variações Patrimoniais e</w:t>
      </w:r>
    </w:p>
    <w:p w14:paraId="16849B95" w14:textId="77777777" w:rsidR="00B307DB" w:rsidRPr="00680B5B" w:rsidRDefault="00B307DB" w:rsidP="00F60DF5">
      <w:pPr>
        <w:pStyle w:val="PargrafodaLista"/>
        <w:numPr>
          <w:ilvl w:val="0"/>
          <w:numId w:val="306"/>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Possuir relatório de estimativa de impacto orçamentário e financeiro;</w:t>
      </w:r>
    </w:p>
    <w:p w14:paraId="78515314"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relacionamento para relacionar o plano de contas da entidade com o plano de contas MSC; </w:t>
      </w:r>
    </w:p>
    <w:p w14:paraId="62ED300F"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Balancete de Verificação do SICONFI, como possibilidade de filtrar por entidade e período. Também deve ser possível emitir por Conjunto de Inf. Complementar e ID Inf. Complementar. Deve ser possível filtrar as informações de uma ou mais contas contábeis e emitir o relatório listando pelas contas do SICONFI;</w:t>
      </w:r>
    </w:p>
    <w:p w14:paraId="40598ACA"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Gerar arquivos para a matriz de saldos contábeis (MSC). Deve ser possível emitir uma previa do arquivo a ser gerado no mesmo formado do mesmo para conferencia. </w:t>
      </w:r>
    </w:p>
    <w:p w14:paraId="462E2AF8"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para o SICONFI da RREO, RGF e DCA;</w:t>
      </w:r>
    </w:p>
    <w:p w14:paraId="74333FC9"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importar arquivo XBRL de entidades externas em formato XBRL para envio dos arquivos da MSC consolidada</w:t>
      </w:r>
    </w:p>
    <w:p w14:paraId="6D22FE19"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relacionar as contas de receita do plano da entidade com o plano de contas do SIOPE. No caso das despesas o relacionamento deve ser feito por conta e subfunção de governo. Deve ser permitido o rateio de valores.</w:t>
      </w:r>
    </w:p>
    <w:p w14:paraId="727AFD7D"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relatórios auxiliares para conferencia dos valores do SIOPE no mesmo formato deste;</w:t>
      </w:r>
    </w:p>
    <w:p w14:paraId="735BA0B7"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para prestação de contas do SIOPE. Na geração deve ser possível verificar se há inconsistências na base e emitir o relatório dessas inconsistências antes de efetuar a geração dos arquivos;</w:t>
      </w:r>
    </w:p>
    <w:p w14:paraId="1D317382"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sistema deve estar adequado ao SIAFIC, possuindo todas os dados das entidades pertencentes ao Município na mesma base de dados, sem necessidade de importação de arquivos ou webservice de importação/exportação.</w:t>
      </w:r>
    </w:p>
    <w:p w14:paraId="0D2912C7"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rotina para relacionar as contas do plano da entidade com o plano de contas do SIOPS. Deve ser permitido o rateio de valores. </w:t>
      </w:r>
    </w:p>
    <w:p w14:paraId="7BC219E1"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relatórios auxiliares para conferencia dos valores do SIOPS no mesmo formato deste;</w:t>
      </w:r>
    </w:p>
    <w:p w14:paraId="6067D8C7"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para prestação de contas do SIOPS.  Na geração deve ser possível verificar se há inconsistências na base e emitir o relatório dessas inconsistências antes de efetuar a geração do arquivo;</w:t>
      </w:r>
    </w:p>
    <w:p w14:paraId="0AF436DE"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rotina para prestação de contas de forma eletrônica no formato exigido pelo Tribunal de Contas do estado;</w:t>
      </w:r>
    </w:p>
    <w:p w14:paraId="55E99DB1"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Publicar relatórios legais de forma automática no portal da transparência;</w:t>
      </w:r>
    </w:p>
    <w:p w14:paraId="7E536E3B" w14:textId="77777777" w:rsidR="00B307DB" w:rsidRPr="00680B5B" w:rsidRDefault="00B307DB" w:rsidP="00F60DF5">
      <w:pPr>
        <w:pStyle w:val="PargrafodaLista"/>
        <w:numPr>
          <w:ilvl w:val="0"/>
          <w:numId w:val="30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arquivos para a Dirf;</w:t>
      </w:r>
    </w:p>
    <w:p w14:paraId="61B8D2F4" w14:textId="77777777" w:rsidR="00B307DB" w:rsidRPr="00680B5B" w:rsidRDefault="00B307DB" w:rsidP="00B307DB">
      <w:pPr>
        <w:pStyle w:val="PargrafodaLista"/>
        <w:spacing w:after="0" w:line="240" w:lineRule="auto"/>
        <w:ind w:left="0" w:right="-568"/>
        <w:jc w:val="both"/>
        <w:rPr>
          <w:rFonts w:ascii="Times New Roman" w:hAnsi="Times New Roman" w:cs="Times New Roman"/>
        </w:rPr>
      </w:pPr>
    </w:p>
    <w:p w14:paraId="0A81CEDC" w14:textId="77777777" w:rsidR="00B307DB" w:rsidRPr="00680B5B" w:rsidRDefault="00B307DB" w:rsidP="00B307DB">
      <w:pPr>
        <w:tabs>
          <w:tab w:val="left" w:pos="426"/>
        </w:tabs>
        <w:spacing w:after="0" w:line="240" w:lineRule="auto"/>
        <w:ind w:right="-568"/>
        <w:jc w:val="both"/>
        <w:rPr>
          <w:rFonts w:ascii="Times New Roman" w:hAnsi="Times New Roman" w:cs="Times New Roman"/>
        </w:rPr>
      </w:pPr>
      <w:r w:rsidRPr="00680B5B">
        <w:rPr>
          <w:rFonts w:ascii="Times New Roman" w:hAnsi="Times New Roman" w:cs="Times New Roman"/>
          <w:b/>
          <w:bCs/>
          <w:highlight w:val="white"/>
        </w:rPr>
        <w:lastRenderedPageBreak/>
        <w:t>2.3 MODULO: CONTROLE INTERNO</w:t>
      </w:r>
    </w:p>
    <w:p w14:paraId="30E976D5" w14:textId="77777777" w:rsidR="00B307DB" w:rsidRPr="00680B5B" w:rsidRDefault="00B307DB" w:rsidP="00F60DF5">
      <w:pPr>
        <w:pStyle w:val="PargrafodaLista2"/>
        <w:numPr>
          <w:ilvl w:val="0"/>
          <w:numId w:val="307"/>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O Módulo de Controle interno deve ser totalmente integrado aos demais módulos do sistema, permitindo a gestão por entidade, de modo que não haja necessidade de importação ou exportação de dados. a gestão por entidade.</w:t>
      </w:r>
    </w:p>
    <w:p w14:paraId="0780A9F7" w14:textId="77777777" w:rsidR="00B307DB" w:rsidRPr="00680B5B" w:rsidRDefault="00B307DB" w:rsidP="00F60DF5">
      <w:pPr>
        <w:pStyle w:val="PargrafodaLista2"/>
        <w:numPr>
          <w:ilvl w:val="0"/>
          <w:numId w:val="307"/>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Permitir atribuições de acesso as rotinas mediante privilégio por perfil e a usuários específicos, permitindo a caracterização dos usuários que acessam o sistema.</w:t>
      </w:r>
    </w:p>
    <w:p w14:paraId="6E052160" w14:textId="77777777" w:rsidR="00B307DB" w:rsidRPr="00680B5B" w:rsidRDefault="00B307DB" w:rsidP="00F60DF5">
      <w:pPr>
        <w:pStyle w:val="PargrafodaLista2"/>
        <w:numPr>
          <w:ilvl w:val="0"/>
          <w:numId w:val="307"/>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Permitir o cadastro de documentos diversos como instruções normativas, pareceres, notificações e demais documentos do controle interno. Deve ser possível notificar determinados usuários das IN, notificações, pareceres e demais documentos. A notificação deve ser enviada da própria consulta, pois deve permitir a resposta por parte dos usuários notificados, deixando as mesmas visíveis para impressão.</w:t>
      </w:r>
    </w:p>
    <w:p w14:paraId="55DE4600" w14:textId="77777777" w:rsidR="00B307DB" w:rsidRPr="00680B5B" w:rsidRDefault="00B307DB" w:rsidP="00F60DF5">
      <w:pPr>
        <w:pStyle w:val="PargrafodaLista2"/>
        <w:numPr>
          <w:ilvl w:val="0"/>
          <w:numId w:val="307"/>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 xml:space="preserve">Possuir consulta integrada que demonstre as instruções normativas, pareceres do controle interno, notificações e documentos diversos. A consulta deve demonstrar todos os documentos, demonstrando a categoria, o tipo do documento, a data e a situação. Permitir que seja possível filtrar quais documentos estão publicados no portal. </w:t>
      </w:r>
    </w:p>
    <w:p w14:paraId="4B305E04" w14:textId="77777777" w:rsidR="00B307DB" w:rsidRPr="00680B5B" w:rsidRDefault="00B307DB" w:rsidP="00F60DF5">
      <w:pPr>
        <w:pStyle w:val="PargrafodaLista2"/>
        <w:numPr>
          <w:ilvl w:val="0"/>
          <w:numId w:val="307"/>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A consulta de documentos deve possuir, sobre cada registro inserido, as ações de visualizar, alterar, incluir observações, enviar o documento a pessoas que devem ser notificadas, consultar resposta do notificado e incluir anexos.</w:t>
      </w:r>
    </w:p>
    <w:p w14:paraId="1993AE80" w14:textId="77777777" w:rsidR="00B307DB" w:rsidRPr="00680B5B" w:rsidRDefault="00B307DB" w:rsidP="00F60DF5">
      <w:pPr>
        <w:pStyle w:val="PargrafodaLista2"/>
        <w:numPr>
          <w:ilvl w:val="0"/>
          <w:numId w:val="307"/>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Possuir a publicação automática no Portal de Transparência do Município, dos documentos do controle interno e auditorias realizadas.</w:t>
      </w:r>
    </w:p>
    <w:p w14:paraId="519A1F51" w14:textId="77777777" w:rsidR="00B307DB" w:rsidRPr="00680B5B" w:rsidRDefault="00B307DB" w:rsidP="00F60DF5">
      <w:pPr>
        <w:pStyle w:val="PargrafodaLista2"/>
        <w:numPr>
          <w:ilvl w:val="0"/>
          <w:numId w:val="307"/>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Possibilitar o cadastro de checklist, baseado em grupos e itens que servirão de base para as auditorias. Os itens devem ser numerados para controle dos mesmos.</w:t>
      </w:r>
    </w:p>
    <w:p w14:paraId="20B056D2" w14:textId="77777777" w:rsidR="00B307DB" w:rsidRPr="00680B5B" w:rsidRDefault="00B307DB" w:rsidP="00F60DF5">
      <w:pPr>
        <w:pStyle w:val="PargrafodaLista2"/>
        <w:numPr>
          <w:ilvl w:val="0"/>
          <w:numId w:val="307"/>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Permitir configuração do checklist, informando a resposta em relação à irregularidade automaticamente diagnosticada.</w:t>
      </w:r>
    </w:p>
    <w:p w14:paraId="27FF7B73" w14:textId="77777777" w:rsidR="00B307DB" w:rsidRPr="00680B5B" w:rsidRDefault="00B307DB" w:rsidP="00F60DF5">
      <w:pPr>
        <w:pStyle w:val="PargrafodaLista2"/>
        <w:numPr>
          <w:ilvl w:val="0"/>
          <w:numId w:val="307"/>
        </w:numPr>
        <w:tabs>
          <w:tab w:val="left" w:pos="283"/>
        </w:tabs>
        <w:spacing w:after="0" w:line="240" w:lineRule="auto"/>
        <w:ind w:left="0" w:right="-568" w:firstLine="0"/>
        <w:jc w:val="both"/>
        <w:rPr>
          <w:rFonts w:ascii="Times New Roman" w:hAnsi="Times New Roman"/>
        </w:rPr>
      </w:pPr>
      <w:r w:rsidRPr="00680B5B">
        <w:rPr>
          <w:rFonts w:ascii="Times New Roman" w:hAnsi="Times New Roman"/>
        </w:rPr>
        <w:t>Permitir inserir irregularidades de forma manual, possibilitando registrar aquelas irregularidades que o sistema não tem condições de apontar automaticamente.</w:t>
      </w:r>
    </w:p>
    <w:p w14:paraId="0F2FB75B" w14:textId="77777777" w:rsidR="00B307DB" w:rsidRPr="00680B5B" w:rsidRDefault="00B307DB" w:rsidP="00F60DF5">
      <w:pPr>
        <w:pStyle w:val="PargrafodaLista2"/>
        <w:numPr>
          <w:ilvl w:val="0"/>
          <w:numId w:val="307"/>
        </w:numPr>
        <w:tabs>
          <w:tab w:val="left" w:pos="425"/>
        </w:tabs>
        <w:spacing w:after="0" w:line="240" w:lineRule="auto"/>
        <w:ind w:left="0" w:right="-568" w:firstLine="0"/>
        <w:jc w:val="both"/>
        <w:rPr>
          <w:rFonts w:ascii="Times New Roman" w:hAnsi="Times New Roman"/>
        </w:rPr>
      </w:pPr>
      <w:r w:rsidRPr="00680B5B">
        <w:rPr>
          <w:rFonts w:ascii="Times New Roman" w:hAnsi="Times New Roman"/>
        </w:rPr>
        <w:t>Registrar o parecer do controle interno em cada irregularidade e especificar a providência que deve ser tomada para sanar a mesma.</w:t>
      </w:r>
    </w:p>
    <w:p w14:paraId="3499E9F6"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No cadastro de parecer, permitir identificar se o parecer é relativo a uma contratação e se for o caso permitir a identificação do funcionário.</w:t>
      </w:r>
    </w:p>
    <w:p w14:paraId="0FB15C49"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cadastrar possíveis respostas para os grupos da checklist, possibilitando respostas automáticas.</w:t>
      </w:r>
    </w:p>
    <w:p w14:paraId="222E0ECC"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enquadrar a checklist em categorias facilitando assim a localização da mesma</w:t>
      </w:r>
    </w:p>
    <w:p w14:paraId="5BFA7D60"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O sistema deve disponibilizar checklist padrão, já cadastradas para as diversas áreas da prefeitura.</w:t>
      </w:r>
    </w:p>
    <w:p w14:paraId="33A8C0D7"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Ao selecionar uma checklist para uma nova auditoria, possibilitar que possam ser escolhidos apenas os itens que se deseja analisar, entre os itens disponíveis.</w:t>
      </w:r>
    </w:p>
    <w:p w14:paraId="6BFAC056"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Possibilitar que possam ser incluídos novos itens a uma checklist, mesmo que esta já tenha sido utilizada e permitir que possam ser desativados itens, caso o item seja uma análise que se tornou desnecessária.</w:t>
      </w:r>
    </w:p>
    <w:p w14:paraId="0DB180FB"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duplicar uma checklist mantendo a checklist original, e copiando os itens permitindo a edição conforme a necessidade.</w:t>
      </w:r>
    </w:p>
    <w:p w14:paraId="6DADD9A6"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vincular o Órgão ou Unidade, através de centro de custo, a uma auditoria a ser realizada.</w:t>
      </w:r>
    </w:p>
    <w:p w14:paraId="4183A58C"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o agendamento de auditoria, para facilitar a programação das atividades do controle interno.</w:t>
      </w:r>
    </w:p>
    <w:p w14:paraId="7272C998"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encaminhar uma auditoria ao responsável, para que o mesmo informe as respostas solicitadas na checklist.</w:t>
      </w:r>
    </w:p>
    <w:p w14:paraId="38ACAEFA"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incluir uma auditoria com no mínimo as informações de data inicial e final, descrição, centro de custo e responsável. O cadastro da auditoria deve estar integrado ao cadastro da checklist para possibilitar selecionar a checklist desejada e já buscar automaticamente os seus itens.</w:t>
      </w:r>
    </w:p>
    <w:p w14:paraId="53C16FE1"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consulta gerencial que demonstre todas as auditorias cadastradas e que possua as ações de duplicar, enviar questionário, analisar, visualizar analise, encerrar e cancelar. Deve demonstrar dados da auditoria, como descrição, data de inclusão, data limite para resposta, auditor responsável e situação.</w:t>
      </w:r>
    </w:p>
    <w:p w14:paraId="3EEDFA62"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 xml:space="preserve">O sistema deve possuir funcionalidade que faça auditorias automáticas sobre os dados incluídos no sistema, que demonstre alguma irregularidade. A funcionalidade deve detectar irregularidades no mínimo de: empenhos emitidos contra fornecedor com débitos com o Município, valores empenhados maiores que o valor do contrato, fontes de recurso com saldo negativo, e o não atingimento dos índices constitucionais em educação e saúde. </w:t>
      </w:r>
    </w:p>
    <w:p w14:paraId="4AAB4DCE"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lastRenderedPageBreak/>
        <w:t>Possuir rotina de notificações do controle interno, que aponte se há alguma notificação pendente e permita visualizar e responder as notificações recebidas. Essa rotina deve ser por usuário, ou seja, cada usuário recebe as notificações endereçadas a ele.</w:t>
      </w:r>
    </w:p>
    <w:p w14:paraId="28D4A743"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agenda de obrigações, com opção de informar o nível de criticidade da agenda, as pessoas ou cento de custos que poderão visualizar o registro e a informação de quem poderá baixar o evento incluído.</w:t>
      </w:r>
    </w:p>
    <w:p w14:paraId="01217D80"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A agenda deve enviar alertas aos usuários de eventos que estão a expirar e expirados, obrigando o responsável pelo evento a justificar conforme o nível de criticidade do evento.</w:t>
      </w:r>
    </w:p>
    <w:p w14:paraId="7CD847E6"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a configuração do período de antecedência para o envio de alertas e do prazo de expiração de determinado evento da agenda.</w:t>
      </w:r>
    </w:p>
    <w:p w14:paraId="104B4FCD"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na consulta dos eventos da agenda, consultar apenas os eventos pendentes e consultar os eventos pelos períodos diário, semanal, mensal e anual.</w:t>
      </w:r>
    </w:p>
    <w:p w14:paraId="34411343"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consulta centralizada de todos os e-mails enviados pelo controle interno, possibilitando a visualização do título do e-mail, o controlador que enviou, a pessoa a quem foi enviado, a data de envio e a situação do mesmo (se houve ou não retorno).</w:t>
      </w:r>
    </w:p>
    <w:p w14:paraId="3F8CB620"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consulta dos processos de ouvidoria, possibilitando ao controlador visão das reclamações ou sugestões da sociedade.</w:t>
      </w:r>
    </w:p>
    <w:p w14:paraId="1433B9BA"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que o controlador possa consultar os processos abertos contra o Município, objetivando o conhecimento de situações diversas que possam estar acontecendo.</w:t>
      </w:r>
    </w:p>
    <w:p w14:paraId="1F68CEB8"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Emitir relatório circunstanciado, permitindo a publicação automática no Portal da Transparência.</w:t>
      </w:r>
    </w:p>
    <w:p w14:paraId="12CF1A86"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Possibilitar o gerenciamento dos quadros que compõem o relatório circunstanciado, e permitir a inclusão de anexos. Os anexos devem ser publicados de forma automática no portal de transparência.</w:t>
      </w:r>
    </w:p>
    <w:p w14:paraId="2E394A91"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Permitir do controle interno, a emissão dos relatórios legais da Lei de Responsabilidade Fiscal e dos relatórios anuais obrigatórios, para acompanhamento dos índices constitucionais.</w:t>
      </w:r>
    </w:p>
    <w:p w14:paraId="66EE65E1"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Possuir relatório de estatísticas de cargos. O relatório deve permitir os filtros por data, cargo, servidor, enquadramento, permitindo ainda demonstrar todos os cargos e incluir cargos extintos.</w:t>
      </w:r>
    </w:p>
    <w:p w14:paraId="62C75455" w14:textId="77777777" w:rsidR="00B307DB" w:rsidRPr="00680B5B" w:rsidRDefault="00B307DB" w:rsidP="00F60DF5">
      <w:pPr>
        <w:pStyle w:val="PargrafodaLista2"/>
        <w:numPr>
          <w:ilvl w:val="0"/>
          <w:numId w:val="307"/>
        </w:numPr>
        <w:tabs>
          <w:tab w:val="left" w:pos="283"/>
          <w:tab w:val="left" w:pos="425"/>
        </w:tabs>
        <w:spacing w:after="0" w:line="240" w:lineRule="auto"/>
        <w:ind w:left="0" w:right="-568" w:firstLine="0"/>
        <w:jc w:val="both"/>
        <w:rPr>
          <w:rFonts w:ascii="Times New Roman" w:hAnsi="Times New Roman"/>
        </w:rPr>
      </w:pPr>
      <w:r w:rsidRPr="00680B5B">
        <w:rPr>
          <w:rFonts w:ascii="Times New Roman" w:hAnsi="Times New Roman"/>
        </w:rPr>
        <w:t>Possibilitar a emissão do calendário de obrigações, listando todos os meses ou apenas os meses selecionados.</w:t>
      </w:r>
    </w:p>
    <w:p w14:paraId="13FB3ACA" w14:textId="77777777" w:rsidR="00B307DB" w:rsidRPr="00680B5B" w:rsidRDefault="00B307DB" w:rsidP="00B307DB">
      <w:pPr>
        <w:spacing w:after="0" w:line="240" w:lineRule="auto"/>
        <w:ind w:right="-568"/>
        <w:jc w:val="both"/>
        <w:rPr>
          <w:rFonts w:ascii="Times New Roman" w:hAnsi="Times New Roman" w:cs="Times New Roman"/>
        </w:rPr>
      </w:pPr>
    </w:p>
    <w:p w14:paraId="280B1F2A"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bCs/>
        </w:rPr>
        <w:t xml:space="preserve">2.4 </w:t>
      </w:r>
      <w:r w:rsidRPr="00680B5B">
        <w:rPr>
          <w:rFonts w:ascii="Times New Roman" w:hAnsi="Times New Roman" w:cs="Times New Roman"/>
          <w:b/>
        </w:rPr>
        <w:t>MÓDULO:</w:t>
      </w:r>
      <w:r w:rsidRPr="00680B5B">
        <w:rPr>
          <w:rFonts w:ascii="Times New Roman" w:hAnsi="Times New Roman" w:cs="Times New Roman"/>
          <w:b/>
          <w:bCs/>
        </w:rPr>
        <w:t xml:space="preserve"> FOLHA DE PAGAMENTO</w:t>
      </w:r>
    </w:p>
    <w:p w14:paraId="4DB7688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cadastro de contratos de funcionários com no mínimo os seguintes campos:   data de admissão, data de nomeação, data de posse, regime, cargo, nível salarial, data de término de contrato temporário, lotação, horário de trabalho e local de trabalho, além de permitir a criação de novos campos para cadastramento de informações adicionais sem necessidade de customização, não podendo existir limite de quantidade de contratos de funcionários cadastrados na entidade.</w:t>
      </w:r>
    </w:p>
    <w:p w14:paraId="103297F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relacionar anexos (como documentos, fotos, contratos, etc.) ao registro do funcionário, ou especificamente a um de seus contratos.</w:t>
      </w:r>
    </w:p>
    <w:p w14:paraId="7FFD38D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o cadastro de funcionários vinculado ao cadastro único do sistema, evitando redundância de informações pessoais, neste cadastro devem ser informados os dados pessoais, documentos, endereço e contatos da pessoa física.</w:t>
      </w:r>
    </w:p>
    <w:p w14:paraId="307AAD4E"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indicar no cadastro único da pessoa física a geolocalização do endereço no mapa, e permitir visualizar a geolocalização dos funcionários em um mapa único, permitindo filtrar os funcionários por no mínimo: regime, cargo, centro de custo e local de trabalho.</w:t>
      </w:r>
    </w:p>
    <w:p w14:paraId="6D57667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validação de número do CPF e número do PIS/PASEP.</w:t>
      </w:r>
    </w:p>
    <w:p w14:paraId="4D030154"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cadastrar regimes de contratação e relacionar funcionários a estes, tais como: celetista, estatutário, contrato temporário, emprego público, estagiário, cargo comissionado, agente político, conselheiros tutelares, aposentados e pensionistas.</w:t>
      </w:r>
    </w:p>
    <w:p w14:paraId="0756D78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consulta com informações funcionais que permita filtrar o cadastro funcional por no mínimo: nome, idade, CPF, RG, PIS/PASEP, título eleitoral, CTPS, CNH, nacionalidade, idade, tipo sanguíneo/fator RH, sexo, estado civil, cor dos olhos, cor do cabelo, tipo de aposentadoria, cor da pele, mês da admissão, data de nascimento, cargo, local de trabalho, endereço, e-mail e telefone; devendo dispor das mesmas informações como colunas e permitir a sua impressão e exportação.</w:t>
      </w:r>
    </w:p>
    <w:p w14:paraId="2997DC25"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manutenção de contratos de funcionários, permitindo alteração de forma coletiva de pelo menos as seguintes informações: centro de custo, classificação, grupo de empenho, local de trabalho, nível salarial, regime, salário base e data término de contrato temporário.</w:t>
      </w:r>
    </w:p>
    <w:p w14:paraId="41E53974"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 xml:space="preserve">Permitir cadastrar dependentes de funcionários para fins de salário-família e imposto de renda, bem </w:t>
      </w:r>
      <w:r w:rsidRPr="00680B5B">
        <w:rPr>
          <w:rFonts w:ascii="Times New Roman" w:eastAsia="Times New Roman" w:hAnsi="Times New Roman" w:cs="Times New Roman"/>
          <w:color w:val="000000"/>
          <w:sz w:val="22"/>
          <w:szCs w:val="22"/>
          <w:lang w:eastAsia="pt-BR"/>
        </w:rPr>
        <w:lastRenderedPageBreak/>
        <w:t>como configurar limite de idade conforme o grau de parentesco.</w:t>
      </w:r>
    </w:p>
    <w:p w14:paraId="11D9F1F5"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estagiários, incluindo no mínimo dados como: data inicial e final, supervisor/orientador, instituição de ensino, curso, agente de integração (quando existente), permitindo ainda a emissão do Termo de Compromisso de Estágio.</w:t>
      </w:r>
    </w:p>
    <w:p w14:paraId="7123FD2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controlar múltiplas previdências para cada funcionário, informando no mínimo a matrícula previdenciária, a data de início e final do relacionamento, gerando os descontos em folha de pagamento e contribuições patronais devidas pela entidade.</w:t>
      </w:r>
    </w:p>
    <w:p w14:paraId="0CB4718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cadastrar todos os cargos do quadro de pessoal da entidade informando pelo menos: descrição, enquadramento, grau de instrução exigido, CBO, quantidade de vagas criadas, salário mensal, tipo de cargo, lei de criação e lei de extinção.</w:t>
      </w:r>
    </w:p>
    <w:p w14:paraId="01741B4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cadastro de níveis salariais contendo no mínimo: salário base atual, histórico dos valores salariais, posição vertical, posição horizontal, nível inicial e final.</w:t>
      </w:r>
    </w:p>
    <w:p w14:paraId="5E47B827"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registro de todos os atos legais do funcionário, permitindo registro manual ou de forma automática conforme respectiva movimentação (como por exemplo, ao realizar o lançamento de um afastamento e informado uma portaria, esta deve ser automaticamente relacionada aos atos legais do funcionário, o mesmo deve ocorrer ao realizar um reajuste salarial onde foi informada uma lei complementar).</w:t>
      </w:r>
    </w:p>
    <w:p w14:paraId="00709AF2"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registrar ocorrências aos funcionários como advertências, elogios e suspensões, devendo permitir converter a suspensão em multa com lançamento automático em folha de pagamento do respectivo desconto.</w:t>
      </w:r>
    </w:p>
    <w:p w14:paraId="7AF4EEA2"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emissão de ficha completa com informações do funcionário, contendo no mínimo: dados da documentação pessoal, dependentes, endereço, contatos, previdências, cargos, afastamentos, faltas, períodos de licença prêmio, períodos de férias, atos legais, empregos anteriores, locais de trabalho, centro de custo, cargos comissionados, proventos e descontos fixos, conselho de classe, vale-transporte, vale-alimentação, ocorrências, transferências, beneficiários de pensão, planos de saúde, histórico de alterações salariais, histórico de adicionais de tempo de serviço e banco de horas.</w:t>
      </w:r>
    </w:p>
    <w:p w14:paraId="2173A9F3"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controlar a transferência de funcionários, identificando (local de trabalho, centro de custo, local de origem) indicando o destino e se a solicitação foi deferida ou indeferida, com o respectivo responsável pela análise, devendo ainda alterar as informações no contrato e histórico do funcionário quando realizado o deferimento.</w:t>
      </w:r>
    </w:p>
    <w:p w14:paraId="6D4BA04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configuração de férias especiais para funcionários, indicando número de dias de direito de gozo de férias para o número de meses trabalhado, criando os períodos aquisitivos automaticamente conforme cargo e regime configurado, e ainda se necessário permitir relacionar individualmente a configuração por funcionário.</w:t>
      </w:r>
    </w:p>
    <w:p w14:paraId="095084D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as perdas e prorrogações de períodos aquisitivos de férias, licença prêmio e adicionais de tempo de serviço por motivo de afastamento e regime.</w:t>
      </w:r>
    </w:p>
    <w:p w14:paraId="7104AC54"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consulta dos períodos aquisitivos de férias dos funcionários, indicando no mínimo: dias de direito, dias de perda, dias de prorrogação, dias pagos, dias a pagar, saldo proporcional, identificação dos afastamentos/faltas que geram as perdas e prorrogações, bem como apresentar os períodos de cálculo e gozo já relacionados ao período.</w:t>
      </w:r>
    </w:p>
    <w:p w14:paraId="5B540142"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cálculo de férias individual, coletiva e baseada em programação, baixando automaticamente os dias de gozo e pecúnia do período aquisitivo, devendo permitir que um único cálculo utilize dias de dois períodos aquisitivos diferentes e também deve permitir o lançamento de mais de um período de gozo e pecúnia para o mesmo período aquisitivo.</w:t>
      </w:r>
    </w:p>
    <w:p w14:paraId="40C12CC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detalhado dos períodos aquisitivos de férias, contendo filtro para exibir os períodos vencidos, a vencer, vencidos em dobro, a vencer em dobro, vencidos em dobro no próximo mês e períodos proporcionais, permitindo ainda exibir os períodos já baixados com seus respectivos períodos de gozo e pecúnia.</w:t>
      </w:r>
    </w:p>
    <w:p w14:paraId="4DE0768F"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emissão de avisos e recibos de férias.</w:t>
      </w:r>
    </w:p>
    <w:p w14:paraId="37312DB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empregos anteriores, permitindo indicar separadamente a averbação deste período para fins de adicional de tempo de serviço e licença prêmio.</w:t>
      </w:r>
    </w:p>
    <w:p w14:paraId="74B43A5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consulta de períodos aquisitivos de licença prêmio dos funcionários, indicando no mínimo: dias de direito, dias de perda, dias de prorrogação, dias averbados, dias já gozados, dias já pagos em pecúnia e dias de saldo.</w:t>
      </w:r>
    </w:p>
    <w:p w14:paraId="412F32E3"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 xml:space="preserve">Permitir lançamento de mais de um período de gozo para o mesmo período aquisitivo de licença prêmio, bem como permitir o lançamento de licença prêmio em gozo e pecúnia para o mesmo período </w:t>
      </w:r>
      <w:r w:rsidRPr="00680B5B">
        <w:rPr>
          <w:rFonts w:ascii="Times New Roman" w:eastAsia="Times New Roman" w:hAnsi="Times New Roman" w:cs="Times New Roman"/>
          <w:color w:val="000000"/>
          <w:sz w:val="22"/>
          <w:szCs w:val="22"/>
          <w:lang w:eastAsia="pt-BR"/>
        </w:rPr>
        <w:lastRenderedPageBreak/>
        <w:t>aquisitivo.</w:t>
      </w:r>
    </w:p>
    <w:p w14:paraId="4ABFFE1D"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emissão da Certidão de Tempo de Serviço.</w:t>
      </w:r>
    </w:p>
    <w:p w14:paraId="42847B9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emissão do relatório de cálculo da média de oitenta por cento (80%) das maiores remunerações.</w:t>
      </w:r>
    </w:p>
    <w:p w14:paraId="6F8666F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registrar os valores de estoque e mensais do COMPREV relacionado a determinado funcionário.</w:t>
      </w:r>
    </w:p>
    <w:p w14:paraId="1229B98D"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realizar reajuste dos níveis salariais, salário base dos funcionários, valor ou referência dos proventos e descontos fixos, valor salarial dos cargos, valor mensal do COMPREV e valor do relacionamento de cargos comissionados.</w:t>
      </w:r>
    </w:p>
    <w:p w14:paraId="65C00E31"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que o reajuste salarial seja cancelado e também que sejam realizados reajustes negativos.</w:t>
      </w:r>
    </w:p>
    <w:p w14:paraId="13ED61F1"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e controle de descontos parcelados e empréstimos consignados em folha de pagamento.</w:t>
      </w:r>
    </w:p>
    <w:p w14:paraId="14D322D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importar empréstimos consignados para desconto em folha de pagamento, conforme layout fornecido pela contratada.</w:t>
      </w:r>
    </w:p>
    <w:p w14:paraId="02ED1044"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web service para integração com empresas de gestão de empréstimos consignados, sem a necessidade de importação ou exportação de arquivos, conforme layout fornecido pela contratada.</w:t>
      </w:r>
    </w:p>
    <w:p w14:paraId="5B95B8F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empresas que fornecem o vale-transporte com código da verba de desconto do vale-transporte em folha de pagamento, bem como possuir cadastro dos roteiros/linhas para os quais serão utilizados o vale-transporte.</w:t>
      </w:r>
    </w:p>
    <w:p w14:paraId="19E6121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quantidade de vales-transportes diários ou mensais utilizados pelo funcionário, deve permitir também, ao informar uma quantidade diária de vales-transportes, indicar os dias da semana ou ainda se deve ser calculado automaticamente conforme o horário de trabalho do funcionário.</w:t>
      </w:r>
    </w:p>
    <w:p w14:paraId="2A518B00"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cadastrar uma quantidade de adicional ou dedução no vale transporte para determinada competência, sem alterar a quantidade padrão recebida pelo funcionário, porém deverá ficar registrado este lançamento.</w:t>
      </w:r>
    </w:p>
    <w:p w14:paraId="154E35C7"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se o vale-transporte deverá ser pago como provento na folha de pagamento do funcionário.</w:t>
      </w:r>
    </w:p>
    <w:p w14:paraId="7471BE4D"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calcular o vale-transporte de cada funcionário, considerando a quantidade indicada para o funcionário por roteiro/linha, calculando o valor máximo de desconto conforme percentual legal, deduzindo da quantidade os casos de férias e afastamentos, devendo indicar também o custo total do vale-transporte, o custo para o funcionário e o custo para a entidade.</w:t>
      </w:r>
    </w:p>
    <w:p w14:paraId="4A9E73DA"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Gerar automaticamente o valor para desconto do vale-transporte em folha de pagamento.</w:t>
      </w:r>
    </w:p>
    <w:p w14:paraId="3BCF50F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lançamento de afastamentos do funcionário, permitindo indicar no mínimo: motivo (como por exemplo: falta, auxílio doença, licença maternidade, licença sem vencimentos, etc.), data início e final, ato legal, mês/ano de cálculo e observação.</w:t>
      </w:r>
    </w:p>
    <w:p w14:paraId="1B627E6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lançamento de abono de faltas já descontadas em folha, permitindo informar o mês/ano que será realizado o ressarcimento e calculando de forma automática em folha de pagamento.</w:t>
      </w:r>
    </w:p>
    <w:p w14:paraId="2C9831BA"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Calcular automaticamente o adicional por tempo de serviço em folha de pagamento, devendo ainda dispor de relatório que indique os funcionários que obtiveram alteração de percentual no respectivo mês/ano.</w:t>
      </w:r>
    </w:p>
    <w:p w14:paraId="65B86D2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cálculo de folha de pagamento dos tipos: mensal, mensal complementar, rescisão, rescisão complementar, férias, adiantamento de 13º salário (1º parcela), 13º salário, diferença de 13º salário e adiantamentos salariais; devendo dispor das opções de cálculo em uma única tela, permitindo filtrar os funcionários por no mínimo: matrícula, nome, cargo, regime, local de trabalho, centro de custo, função e data de admissão.</w:t>
      </w:r>
    </w:p>
    <w:p w14:paraId="6F40876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consultar os cálculos da folha de pagamento, onde seja possível visualizar detalhadamente o pagamento do funcionário, sem a necessidade de impressão de relatórios.</w:t>
      </w:r>
    </w:p>
    <w:p w14:paraId="1997352A"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registro detalhado de histórico de cálculos de pagamentos com informação de data, hora, usuário que fez o cálculo ou o cancelamento, proventos/descontos, valores e referências calculadas.</w:t>
      </w:r>
    </w:p>
    <w:p w14:paraId="58DF4F51"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registro detalhado do cálculo realizado de cada verba de provento e desconto que compõe o pagamento, detalhando a fórmula da verba, e os valores retornados pelo processo de cálculo.</w:t>
      </w:r>
    </w:p>
    <w:p w14:paraId="09F2C613"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visualizar detalhadamente os proventos e descontos que sofreram incidência para previdência e imposto de renda em cada folha de pagamento calculada.</w:t>
      </w:r>
    </w:p>
    <w:p w14:paraId="41A56CBE"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 xml:space="preserve">Possuir rotina para cálculo de rescisões de forma individual, coletiva e permitindo filtrar por data de término de contrato, devendo ser realizados os cálculos de férias indenizadas, proporcionais e de 13º </w:t>
      </w:r>
      <w:r w:rsidRPr="00680B5B">
        <w:rPr>
          <w:rFonts w:ascii="Times New Roman" w:eastAsia="Times New Roman" w:hAnsi="Times New Roman" w:cs="Times New Roman"/>
          <w:color w:val="000000"/>
          <w:sz w:val="22"/>
          <w:szCs w:val="22"/>
          <w:lang w:eastAsia="pt-BR"/>
        </w:rPr>
        <w:lastRenderedPageBreak/>
        <w:t>salário automaticamente.</w:t>
      </w:r>
    </w:p>
    <w:p w14:paraId="02498474"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a emissão do Termo de Rescisão de Contrato de Trabalho.</w:t>
      </w:r>
    </w:p>
    <w:p w14:paraId="596AF7EF"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reintegração de funcionário demitido/exonerado por decisão judicial ou administrativa, reutilizando a mesma matrícula.</w:t>
      </w:r>
    </w:p>
    <w:p w14:paraId="77B66297"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Gerar automaticamente o pagamento dos valores relativos ao salário-família dos dependentes em folha de pagamento.</w:t>
      </w:r>
    </w:p>
    <w:p w14:paraId="2AF138BD"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fórmula de cálculo diferente para cada provento e desconto por regime, adequando o cálculo da folha de pagamento as necessidades da entidade, indicando ainda a existência de incidência de IRRF.</w:t>
      </w:r>
    </w:p>
    <w:p w14:paraId="031A6422"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 xml:space="preserve">Permitir configurar incidências de base de previdência e FGTS de cada provento e desconto de forma diferenciada para cada previdência e regime. </w:t>
      </w:r>
    </w:p>
    <w:p w14:paraId="26802C0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resumo da folha de pagamento permitindo filtrar por tipo de folha e funcionário, com quebra no mínimo por: regime, grupo de empenho, centro de custo e local de trabalho, exibindo o total de cada provento e desconto, total bruto, total de descontos, total líquido e os encargos patronais (previdências e FGTS).</w:t>
      </w:r>
    </w:p>
    <w:p w14:paraId="1E26649D"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lançar proventos/descontos variáveis na folha (como por exemplo: horas extras, adicional noturno, etc.), por lançamento coletivo ou individual por funcionário, permitindo ainda indicar observações.</w:t>
      </w:r>
    </w:p>
    <w:p w14:paraId="41EE9182"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lançar proventos/descontos fixos para determinado período de tempo (como por exemplo: insalubridade, mensalidade sindical, etc.), com lançamento coletivo ou individual por funcionário, permitindo ainda indicar observações e ato legal.</w:t>
      </w:r>
    </w:p>
    <w:p w14:paraId="7851041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lançar proventos/descontos recebidos acumuladamente pelos funcionários, contendo número do processo e período de referência, para posterior geração na DIRF.</w:t>
      </w:r>
    </w:p>
    <w:p w14:paraId="5716B45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que apresente um resumo dos valores líquidos da folha por banco, apresentando no mínimo: nome do banco, agência, nome, matrícula, CPF e número da conta.</w:t>
      </w:r>
    </w:p>
    <w:p w14:paraId="1D11E45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emissão do recibo de pagamento do funcionário, com opções do no mínimo os seguintes filtros: tipo de folha, regime, cargo, banco, centro de custo e local de trabalho.</w:t>
      </w:r>
    </w:p>
    <w:p w14:paraId="5271E347"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inserir mensagens de texto em todos os recibos de pagamento ou para apenas determinados funcionários.</w:t>
      </w:r>
    </w:p>
    <w:p w14:paraId="7628F66D"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empenhamento automático para o Módulo da Contabilidade conforme as configurações realizadas, evitando trabalhos de digitação manual para empenhamento e a exportação/importação de arquivos.</w:t>
      </w:r>
    </w:p>
    <w:p w14:paraId="1C82B96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emissão da planilha contábil com os valores da folha de pagamento e dos respectivos encargos patronais.</w:t>
      </w:r>
    </w:p>
    <w:p w14:paraId="5E10279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emissão de relatórios auxiliares que detalhem o valor retido e o valor patronal das contribuições previdenciárias de RGPS e RPPS.</w:t>
      </w:r>
    </w:p>
    <w:p w14:paraId="2CCBD760"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pensões alimentícias, indicando no mínimo: funcionário instituidor, dependente da pensão, data de início, data final, dados bancários do beneficiário e detalhes para desconto em folha de pagamento; devendo o desconto ocorrer de forma automática na folha de pagamento do funcionário, cessando automaticamente na data final.</w:t>
      </w:r>
    </w:p>
    <w:p w14:paraId="2312399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o cálculo de desconto de pensão alimentícia para vários dependentes de um mesmo funcionário.</w:t>
      </w:r>
    </w:p>
    <w:p w14:paraId="0D384D25"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consulta do valor calculado de pensão alimentícia.</w:t>
      </w:r>
    </w:p>
    <w:p w14:paraId="43F43E83"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e emissão de autorização de diárias de viagem para funcionários.</w:t>
      </w:r>
    </w:p>
    <w:p w14:paraId="0C0EF8AA"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Controlar cálculo do INSS e do IR dos funcionários que acumulam dois cargos, para o correto enquadramento de alíquota conforme a faixa de cálculo e o teto previdenciário.</w:t>
      </w:r>
    </w:p>
    <w:p w14:paraId="356659C4"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informar os valores descontados de IR e base de cálculo de IR, bem como os valores descontados de previdência e base de cálculo de previdência, já descontados e apurados em outras empresas para compor o cálculo da folha de pagamento, visando o correto enquadramento nas faixas de desconto dos impostos.</w:t>
      </w:r>
    </w:p>
    <w:p w14:paraId="328E7D0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para emissão dos salários de contribuição para o INSS por funcionário.</w:t>
      </w:r>
    </w:p>
    <w:p w14:paraId="1F5F8B07"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configuração para calcular automaticamente a diferença entre um cargo comissionado e um cargo efetivo quando um funcionário efetivo ocupa uma vaga.</w:t>
      </w:r>
    </w:p>
    <w:p w14:paraId="2F654D55"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e calcular médias para férias, 13º salário e licença prêmio, e que estas médias possam ser calculadas por no mínimo: referência, valor e valor reajustado considerando uma tabela específica.</w:t>
      </w:r>
    </w:p>
    <w:p w14:paraId="5C547BC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lastRenderedPageBreak/>
        <w:t>Possuir rotina que permita calcular o valor disponível da margem consignável, devendo descontar os empréstimos já existentes e configurar quais outras verbas devem deduzir do valor disponível, podendo ser calculado pelo valor líquido ou bruto da folha de pagamento, ou ainda considerando algumas verbas específicas por meio de uma base de cálculo.</w:t>
      </w:r>
    </w:p>
    <w:p w14:paraId="301DB9E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controlar a emissão das margens consignadas por um serviço no portal por banco, de forma que o funcionário consiga realizar a emissão para outro banco somente depois de determinado período ou mediante liberação manual do funcionário do departamento de recursos humanos.</w:t>
      </w:r>
    </w:p>
    <w:p w14:paraId="7F72356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calcular a provisão de férias, 13º salário e licença prêmio, permitindo ainda disponibilizar os valores provisionados automaticamente para o Módulo da Contabilidade por meio da contabilização.</w:t>
      </w:r>
    </w:p>
    <w:p w14:paraId="5B787442"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integrar automaticamente as baixas de provisão com o Módulo da Contabilidade juntamente com o empenhamento automático da respectiva folha.</w:t>
      </w:r>
    </w:p>
    <w:p w14:paraId="3710E3EA"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registro detalhado do cálculo realizado de cada verba de provento e desconto que compõe o cálculo de provisão, detalhando a fórmula da verba, e os valores retornados pelo processo.</w:t>
      </w:r>
    </w:p>
    <w:p w14:paraId="1E045CF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ao empenhar a rescisão seja possível automaticamente gerar estorno ou ajustes de saldos de provisão do funcionário.</w:t>
      </w:r>
    </w:p>
    <w:p w14:paraId="286FBBE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que apresente os saldos de provisão por funcionário por tipo (férias, 13º salário e licença prêmio), permitindo o detalhamento dos proventos/descontos provisionados e baixados, bem como eventuais ajustes e estornos realizados.</w:t>
      </w:r>
    </w:p>
    <w:p w14:paraId="6188B25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importar as diárias do Módulo da Contabilidade, sem necessidade de geração de arquivo texto de exportação/importação, visando lançamento em folha de pagamento.</w:t>
      </w:r>
    </w:p>
    <w:p w14:paraId="542F4FA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o responsável pelo centro de custo receba via e-mail uma notificação informando que foi realizado cálculo de férias para o funcionário subordinado.</w:t>
      </w:r>
    </w:p>
    <w:p w14:paraId="360FD0E0"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com as informações de quais funcionários possuem dois contratos.</w:t>
      </w:r>
    </w:p>
    <w:p w14:paraId="17CCE9F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importação de proventos/descontos variáveis, conforme layout fornecido pela contratada.</w:t>
      </w:r>
    </w:p>
    <w:p w14:paraId="2B391C6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importação de proventos/descontos fixos, conforme layout fornecido pela contratada.</w:t>
      </w:r>
    </w:p>
    <w:p w14:paraId="49034334"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restrição de acesso (login) de usuários que são funcionários durante o seu período de férias, após sua rescisão, durante seus afastamentos e conforme o seu horário de trabalho, impossibilitando automaticamente o acesso dele ao sistema.</w:t>
      </w:r>
    </w:p>
    <w:p w14:paraId="1D360D0A"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 dos funcionários cedidos e recebidos, que apresente no mínimo: seu período de cessão, local de cessão e número do ato legal.</w:t>
      </w:r>
    </w:p>
    <w:p w14:paraId="3D9F08B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relacionar ao funcionário uma determinada função gratificada, permitindo indicar uma referência ou percentual e período de recebimento, devendo ainda permitir configurar para calcular o valor automaticamente em folha de pagamento.</w:t>
      </w:r>
    </w:p>
    <w:p w14:paraId="191ECE72"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cadastrar funcionários recebidos por disposição que não possuem contrato na entidade, gerando também as informações para o portal da transparência e eSocial.</w:t>
      </w:r>
    </w:p>
    <w:p w14:paraId="4DE29D17"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cálculo de vale-alimentação para os funcionários, conforme configuração e relacionamento dos funcionários com direito.</w:t>
      </w:r>
    </w:p>
    <w:p w14:paraId="09B1659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alterar o código de funcionário (matrícula) para qualquer outro código ainda não existente na entidade.</w:t>
      </w:r>
    </w:p>
    <w:p w14:paraId="7593B483"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seja gerada solicitação de acesso automaticamente ao funcionário para o portal de serviços (onde terá a acesso à sua folha de pagamento, relatório de férias, dentre outros) quando realizar seu cadastro como funcionário.</w:t>
      </w:r>
    </w:p>
    <w:p w14:paraId="3E80F130"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relacionar automaticamente uma função gratificada, para determinados cargos, quando realizado o cadastro do contrato do funcionário.</w:t>
      </w:r>
    </w:p>
    <w:p w14:paraId="73B191FB"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relacionar automaticamente o nível salarial inicial quando realizado o cadastro do contrato do funcionário.</w:t>
      </w:r>
    </w:p>
    <w:p w14:paraId="7E3A3853"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no lançamento de proventos e descontos variáveis gere alerta informando se o funcionário que está sendo realizado o lançamento possui cargo comissionado.</w:t>
      </w:r>
    </w:p>
    <w:p w14:paraId="1A8FC8F5"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para que no lançamento de proventos e descontos variáveis gere alerta se o funcionário que está sendo realizado o lançamento possui função gratificada.</w:t>
      </w:r>
    </w:p>
    <w:p w14:paraId="191D1BC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liberar emissão do recibo de pagamento em um serviço no portal, por tipo de folha e regime, mesmo sem o mês/ano de cálculo estar completamente encerrado e permitir também configurar uma data futura para liberação das informações mesmo após o encerramento do período.</w:t>
      </w:r>
    </w:p>
    <w:p w14:paraId="0CBF3A53"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lastRenderedPageBreak/>
        <w:t>Possuir rotina de recadastramento funcional, que permita configurar quais funcionários devem realizar o recadastramento por meio de um serviço no portal, indicando um período e controlando quais funcionários realizaram ou não o recadastramento.</w:t>
      </w:r>
    </w:p>
    <w:p w14:paraId="1F2D28E5"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que as informações prestadas pelos funcionários a partir do recadastramento sejam atualizadas automaticamente na base de dados mediante o deferimento de um funcionário do departamento de recursos humanos, sendo que esta atualização automática deve estar disponível no mínimo para: nome, data de nascimento, PIS/PASEP, RG, CNH, CTPS, título de eleitor, nome do pai e mãe, grau de instrução, sexo, deficiências, estado civil, contatos (e-mail, telefone e celular) e endereço completo.</w:t>
      </w:r>
    </w:p>
    <w:p w14:paraId="2286892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controlar a apresentação de documentos de dependentes para direito ao recebimento de salário família, controlando e cessando o pagamento conforme a validade indicada.</w:t>
      </w:r>
    </w:p>
    <w:p w14:paraId="1E4833E0"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gerar as informações de admissão e rescisão de celetistas necessárias ao CAGED para importação no software do Ministério do Trabalho.</w:t>
      </w:r>
    </w:p>
    <w:p w14:paraId="52FACD4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as informações e exportar o arquivo para RAIS.</w:t>
      </w:r>
    </w:p>
    <w:p w14:paraId="7AA1D96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cadastro de funcionários residentes/domiciliados no exterior, informando os respectivos campos em relação à receita federal e tributação, para gerar as informações automaticamente na DIRF.</w:t>
      </w:r>
    </w:p>
    <w:p w14:paraId="2E1E68F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as informações e exportar o arquivo para DIRF.</w:t>
      </w:r>
    </w:p>
    <w:p w14:paraId="5FAD7AB5"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a emissão do comprovante de rendimentos do funcionário para declaração de imposto de renda.</w:t>
      </w:r>
    </w:p>
    <w:p w14:paraId="1D496DB0"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o arquivo para SEFIP/GFIP.</w:t>
      </w:r>
    </w:p>
    <w:p w14:paraId="2501BD0D"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a geração de arquivos para o tribunal de contas do estado.</w:t>
      </w:r>
    </w:p>
    <w:p w14:paraId="4EBE537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exportar os arquivos de avaliação atuarial no padrão nacional CADPREV da Secretaria da Previdência (arquivos de: ativos, aposentados, pensionistas, ativos exonerados/falecidos, aposentados falecidos, pensionistas falecidos e dependentes).</w:t>
      </w:r>
    </w:p>
    <w:p w14:paraId="769501D3"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importação e análise do arquivo SISOBI, indicando se algum funcionário que esteja ativo no sistema consta no arquivo de óbitos.</w:t>
      </w:r>
    </w:p>
    <w:p w14:paraId="4D73F6AF"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gerar o arquivo MANAD.</w:t>
      </w:r>
    </w:p>
    <w:p w14:paraId="74CB7B4D"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rotinas para configuração e exportação do SIOPE, devendo ainda possuir um relatório que auxilie na conferência das informações.</w:t>
      </w:r>
    </w:p>
    <w:p w14:paraId="3D46301C"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para exportar e importar arquivos da consulta em lote de qualificação cadastral do eSocial.</w:t>
      </w:r>
    </w:p>
    <w:p w14:paraId="48B074D1"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de consistência de base de dados visando identificar problemas ou faltas de informações exigidas no eSocial, sendo que juntamente com as inconsistências apontadas deve ser descrito uma sugestão de correção.</w:t>
      </w:r>
    </w:p>
    <w:p w14:paraId="347E5D2E"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 que permita ao usuário visualizar as regras estabelecidas pelo sistema para geração de cada um dos eventos e respectivos campos do eSocial, indicando para cada campo a origem da informação no sistema.</w:t>
      </w:r>
    </w:p>
    <w:p w14:paraId="6EC96CB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rotinas que permitam gerar, assinar, enviar e recepcionar retorno de eventos para o ambiente de Produção do eSocial, devendo os eventos estarem disponíveis conforme o início de obrigatoriedade de cada um.</w:t>
      </w:r>
    </w:p>
    <w:p w14:paraId="405CEC32"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rotinas que permitam gerar, assinar, enviar e recepcionar retorno de eventos para o ambiente de Produção Restrita do eSocial, de forma totalmente independente da Produção.</w:t>
      </w:r>
    </w:p>
    <w:p w14:paraId="47DDFEB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rotinas que permitam gerar, assinar, enviar e recepcionar retorno de eventos do eSocial em base de dados única e sistema único, dispensando qualquer tipo de integrador ou sistema terceiro/externo para realizar qualquer etapa do processo.</w:t>
      </w:r>
    </w:p>
    <w:p w14:paraId="2A81E0C4"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Controlar automaticamente a geração dos lotes conforme o usuário solicitar o envio dos eventos, seguindo as regras estabelecidas pelo eSocial, sem que seja necessária a intervenção do usuário neste processo.</w:t>
      </w:r>
    </w:p>
    <w:p w14:paraId="539885B6"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Manter gravado e disponível ao usuário os arquivos XML trocados com o eSocial, devendo no mínimo estarem disponíveis os arquivos XML assinados dos eventos e dos lotes, bem como o XML dos retornos dos lotes.</w:t>
      </w:r>
    </w:p>
    <w:p w14:paraId="1D4E6E09"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relacionar certificados digitais em arquivo (A1) no repositório do sistema, assinando e enviando eventos do eSocial através de qualquer computador por usuário autorizado.</w:t>
      </w:r>
    </w:p>
    <w:p w14:paraId="64E01DB8"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processo automático que verifique e processe os retornos dos lotes dos eventos enviados ao eSocial, dispensando a necessidade de o usuário efetuar requisições manualmente.</w:t>
      </w:r>
    </w:p>
    <w:p w14:paraId="04E0FC81"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lastRenderedPageBreak/>
        <w:t>Permitir configurar processo agendado para geração automática dos eventos de Tabelas e eventos Não Periódicos do eSocial em ambiente de Produção.</w:t>
      </w:r>
    </w:p>
    <w:p w14:paraId="4643A07A"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Permitir configurar e realizar a busca dos autônomos conforme empenhamentos realizados no Módulo da Contabilidade para geração no eSocial.</w:t>
      </w:r>
    </w:p>
    <w:p w14:paraId="2B704A54" w14:textId="77777777" w:rsidR="00B307DB" w:rsidRPr="00680B5B" w:rsidRDefault="00B307DB" w:rsidP="00F60DF5">
      <w:pPr>
        <w:pStyle w:val="Corpodetexto31"/>
        <w:numPr>
          <w:ilvl w:val="0"/>
          <w:numId w:val="308"/>
        </w:numPr>
        <w:ind w:left="0" w:right="-568" w:firstLine="0"/>
        <w:rPr>
          <w:rFonts w:ascii="Times New Roman" w:hAnsi="Times New Roman" w:cs="Times New Roman"/>
          <w:sz w:val="22"/>
          <w:szCs w:val="22"/>
        </w:rPr>
      </w:pPr>
      <w:r w:rsidRPr="00680B5B">
        <w:rPr>
          <w:rFonts w:ascii="Times New Roman" w:eastAsia="Times New Roman" w:hAnsi="Times New Roman" w:cs="Times New Roman"/>
          <w:color w:val="000000"/>
          <w:sz w:val="22"/>
          <w:szCs w:val="22"/>
          <w:lang w:eastAsia="pt-BR"/>
        </w:rPr>
        <w:t>Possuir relatórios que permitam visualizar os retornos dos eventos Periódicos do eSocial em relação a Contribuição Social (INSS), FGTS e IRRF.</w:t>
      </w:r>
    </w:p>
    <w:p w14:paraId="0DE04279" w14:textId="77777777" w:rsidR="00B307DB" w:rsidRPr="00680B5B" w:rsidRDefault="00B307DB" w:rsidP="00B307DB">
      <w:pPr>
        <w:pStyle w:val="Corpodetexto31"/>
        <w:tabs>
          <w:tab w:val="left" w:pos="3448"/>
        </w:tabs>
        <w:ind w:right="-568"/>
        <w:rPr>
          <w:rFonts w:ascii="Times New Roman" w:hAnsi="Times New Roman" w:cs="Times New Roman"/>
          <w:b/>
          <w:sz w:val="22"/>
          <w:szCs w:val="22"/>
        </w:rPr>
      </w:pPr>
    </w:p>
    <w:p w14:paraId="6F62DA25"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2.5 MÓDULO: SEGURANÇA E MEDICINA DO TRABALHO</w:t>
      </w:r>
    </w:p>
    <w:p w14:paraId="3E57B481"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cadastro de contratos de funcionários com no mínimo os seguintes campos:   data de admissão, data de nomeação, data de posse, regime, cargo, nível salarial, data de término de contrato temporário, lotação, horário de trabalho e local de trabalho, além de permitir a criação de novos campos para cadastramento de informações adicionais sem necessidade de customização, não podendo existir limite de quantidade de contratos de funcionários cadastrados na entidade.</w:t>
      </w:r>
    </w:p>
    <w:p w14:paraId="45B4847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relacionar anexos (como documentos, fotos, contratos, etc.) ao registro do funcionário, ou especificamente a um de seus contratos.</w:t>
      </w:r>
    </w:p>
    <w:p w14:paraId="394AADA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o cadastro de funcionários vinculado ao cadastro único do sistema, evitando redundância de informações pessoais, neste cadastro devem ser informados os dados pessoais, documentos, endereço e contatos da pessoa física.</w:t>
      </w:r>
    </w:p>
    <w:p w14:paraId="00F408FB"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indicar no cadastro único da pessoa física a geolocalização do endereço no mapa, e permitir visualizar a geolocalização dos funcionários em um mapa único, permitindo filtrar os funcionários por no mínimo: regime, cargo, centro de custo e local de trabalho.</w:t>
      </w:r>
    </w:p>
    <w:p w14:paraId="2D09329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validação de número do CPF e número do PIS/PASEP.</w:t>
      </w:r>
    </w:p>
    <w:p w14:paraId="54E6A78B"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cadastrar regimes de contratação e relacionar funcionários a estes, tais como: celetista, estatutário, contrato temporário, emprego público, estagiário, cargo comissionado, agente político, conselheiros tutelares, aposentados e pensionistas.</w:t>
      </w:r>
    </w:p>
    <w:p w14:paraId="2FB658E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consulta com informações funcionais que permita filtrar o cadastro funcional por no mínimo: nome, idade, CPF, RG, PIS/PASEP, título eleitoral, CTPS, CNH, nacionalidade, idade, tipo sanguíneo/fator RH, sexo, estado civil, cor dos olhos, cor do cabelo, tipo de aposentadoria, cor da pele, mês da admissão, data de nascimento, cargo, local de trabalho, endereço, e-mail e telefone; devendo dispor das mesmas informações como colunas e permitir a sua impressão e exportação.</w:t>
      </w:r>
    </w:p>
    <w:p w14:paraId="017E3A98"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manutenção de contratos de funcionários, permitindo alteração de forma coletiva de pelo menos as seguintes informações: centro de custo, classificação, grupo de empenho, local de trabalho, nível salarial, regime, salário base e data término de contrato temporário.</w:t>
      </w:r>
    </w:p>
    <w:p w14:paraId="629A7910"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cadastrar dependentes de funcionários para fins de salário-família e imposto de renda, bem como configurar limite de idade conforme o grau de parentesco.</w:t>
      </w:r>
    </w:p>
    <w:p w14:paraId="5B233C38"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estagiários, incluindo no mínimo dados como: data inicial e final, supervisor/orientador, instituição de ensino, curso, agente de integração (quando existente), permitindo ainda a emissão do Termo de Compromisso de Estágio.</w:t>
      </w:r>
    </w:p>
    <w:p w14:paraId="71CA1AB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controlar múltiplas previdências para cada funcionário, informando no mínimo a matrícula previdenciária, a data de início e final do relacionamento, gerando os descontos em folha de pagamento e contribuições patronais devidas pela entidade.</w:t>
      </w:r>
    </w:p>
    <w:p w14:paraId="7170C22A"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cadastrar todos os cargos do quadro de pessoal da entidade informando pelo menos: descrição, enquadramento, grau de instrução exigido, CBO, quantidade de vagas criadas, salário mensal, tipo de cargo, lei de criação e lei de extinção.</w:t>
      </w:r>
    </w:p>
    <w:p w14:paraId="0DD5A8B1"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cadastro de níveis salariais contendo no mínimo: salário base atual, histórico dos valores salariais, posição vertical, posição horizontal, nível inicial e final.</w:t>
      </w:r>
    </w:p>
    <w:p w14:paraId="58B54346"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registro de todos os atos legais do funcionário, permitindo registro manual ou de forma automática conforme respectiva movimentação (como por exemplo, ao realizar o lançamento de um afastamento e informado uma portaria, esta deve ser automaticamente relacionada aos atos legais do funcionário, o mesmo deve ocorrer ao realizar um reajuste salarial onde foi informada uma lei complementar).</w:t>
      </w:r>
    </w:p>
    <w:p w14:paraId="3CE2BE61"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registrar ocorrências aos funcionários como advertências, elogios e suspensões, devendo permitir converter a suspensão em multa com lançamento automático em folha de pagamento do respectivo desconto.</w:t>
      </w:r>
    </w:p>
    <w:p w14:paraId="61AE62EE"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emissão de ficha completa com informações do funcionário, contendo no mínimo: dados da documentação pessoal, dependentes, endereço, contatos, previdências, cargos, afastamentos, faltas, </w:t>
      </w:r>
      <w:r w:rsidRPr="00680B5B">
        <w:rPr>
          <w:rFonts w:ascii="Times New Roman" w:hAnsi="Times New Roman" w:cs="Times New Roman"/>
          <w:bCs/>
          <w:sz w:val="22"/>
          <w:szCs w:val="22"/>
        </w:rPr>
        <w:lastRenderedPageBreak/>
        <w:t>períodos de licença prêmio, períodos de férias, atos legais, empregos anteriores, locais de trabalho, centro de custo, cargos comissionados, proventos e descontos fixos, conselho de classe, vale-transporte, vale-alimentação, ocorrências, transferências, beneficiários de pensão, planos de saúde, histórico de alterações salariais, histórico de adicionais de tempo de serviço e banco de horas.</w:t>
      </w:r>
    </w:p>
    <w:p w14:paraId="7A16408A"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controlar a transferência de funcionários, identificando (local de trabalho, centro de custo, local de origem) indicando o destino e se a solicitação foi deferida ou indeferida, com o respectivo responsável pela análise, devendo ainda alterar as informações no contrato e histórico do funcionário quando realizado o deferimento.</w:t>
      </w:r>
    </w:p>
    <w:p w14:paraId="42B6E68B"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configuração de férias especiais para funcionários, indicando número de dias de direito de gozo de férias para o número de meses trabalhado, criando os períodos aquisitivos automaticamente conforme cargo e regime configurado, e ainda se necessário permitir relacionar individualmente a configuração por funcionário.</w:t>
      </w:r>
    </w:p>
    <w:p w14:paraId="7DB7386F"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as perdas e prorrogações de períodos aquisitivos de férias, licença prêmio e adicionais de tempo de serviço por motivo de afastamento e regime.</w:t>
      </w:r>
    </w:p>
    <w:p w14:paraId="78FD07A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consulta dos períodos aquisitivos de férias dos funcionários, indicando no mínimo: dias de direito, dias de perda, dias de prorrogação, dias pagos, dias a pagar, saldo proporcional, identificação dos afastamentos/faltas que geram as perdas e prorrogações, bem como apresentar os períodos de cálculo e gozo já relacionados ao período.</w:t>
      </w:r>
    </w:p>
    <w:p w14:paraId="1E1AE83C"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cálculo de férias individual, coletiva e baseada em programação, baixando automaticamente os dias de gozo e pecúnia do período aquisitivo, devendo permitir que um único cálculo utilize dias de dois períodos aquisitivos diferentes e também deve permitir o lançamento de mais de um período de gozo e pecúnia para o mesmo período aquisitivo.</w:t>
      </w:r>
    </w:p>
    <w:p w14:paraId="094C0E8E"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detalhado dos períodos aquisitivos de férias, contendo filtro para exibir os períodos vencidos, a vencer, vencidos em dobro, a vencer em dobro, vencidos em dobro no próximo mês e períodos proporcionais, permitindo ainda exibir os períodos já baixados com seus respectivos períodos de gozo e pecúnia.</w:t>
      </w:r>
    </w:p>
    <w:p w14:paraId="45D71F5F"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emissão de avisos e recibos de férias.</w:t>
      </w:r>
    </w:p>
    <w:p w14:paraId="68DB6BC8"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empregos anteriores, permitindo indicar separadamente a averbação deste período para fins de adicional de tempo de serviço e licença prêmio.</w:t>
      </w:r>
    </w:p>
    <w:p w14:paraId="44C2C38E"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consulta de períodos aquisitivos de licença prêmio dos funcionários, indicando no mínimo: dias de direito, dias de perda, dias de prorrogação, dias averbados, dias já gozados, dias já pagos em pecúnia e dias de saldo.</w:t>
      </w:r>
    </w:p>
    <w:p w14:paraId="7ED4E7A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lançamento de mais de um período de gozo para o mesmo período aquisitivo de licença prêmio, bem como permitir o lançamento de licença prêmio em gozo e pecúnia para o mesmo período aquisitivo.</w:t>
      </w:r>
    </w:p>
    <w:p w14:paraId="48C75C3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emissão da Certidão de Tempo de Serviço.</w:t>
      </w:r>
    </w:p>
    <w:p w14:paraId="232A6C19"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emissão do relatório de cálculo da média de oitenta por cento (80%) das maiores remunerações.</w:t>
      </w:r>
    </w:p>
    <w:p w14:paraId="2D81D00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registrar os valores de estoque e mensais do COMPREV relacionado a determinado funcionário.</w:t>
      </w:r>
    </w:p>
    <w:p w14:paraId="68175BCF"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realizar reajuste dos níveis salariais, salário base dos funcionários, valor ou referência dos proventos e descontos fixos, valor salarial dos cargos, valor mensal do COMPREV e valor do relacionamento de cargos comissionados.</w:t>
      </w:r>
    </w:p>
    <w:p w14:paraId="632A134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que o reajuste salarial seja cancelado e também que sejam realizados reajustes negativos.</w:t>
      </w:r>
    </w:p>
    <w:p w14:paraId="6032670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e controle de descontos parcelados e empréstimos consignados em folha de pagamento.</w:t>
      </w:r>
    </w:p>
    <w:p w14:paraId="08A76864"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importar empréstimos consignados para desconto em folha de pagamento, conforme layout fornecido pela contratada.</w:t>
      </w:r>
    </w:p>
    <w:p w14:paraId="195C669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web service para integração com empresas de gestão de empréstimos consignados, sem a necessidade de importação ou exportação de arquivos, conforme layout fornecido pela contratada.</w:t>
      </w:r>
    </w:p>
    <w:p w14:paraId="08D7C942"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empresas que fornecem o vale-transporte com código da verba de desconto do vale-transporte em folha de pagamento, bem como possuir cadastro dos roteiros/linhas para os quais serão utilizados o vale-transporte.</w:t>
      </w:r>
    </w:p>
    <w:p w14:paraId="595090C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rotina para cadastro de quantidade de vales-transportes diários ou mensais utilizados pelo funcionário, deve permitir também, ao informar uma quantidade diária de vales-transportes, indicar os dias da semana ou ainda se deve ser calculado automaticamente conforme o horário de trabalho do </w:t>
      </w:r>
      <w:r w:rsidRPr="00680B5B">
        <w:rPr>
          <w:rFonts w:ascii="Times New Roman" w:hAnsi="Times New Roman" w:cs="Times New Roman"/>
          <w:bCs/>
          <w:sz w:val="22"/>
          <w:szCs w:val="22"/>
        </w:rPr>
        <w:lastRenderedPageBreak/>
        <w:t>funcionário.</w:t>
      </w:r>
    </w:p>
    <w:p w14:paraId="02CE73FE"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cadastrar uma quantidade de adicional ou dedução no vale transporte para determinada competência, sem alterar a quantidade padrão recebida pelo funcionário, porém deverá ficar registrado este lançamento.</w:t>
      </w:r>
    </w:p>
    <w:p w14:paraId="45448102"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se o vale-transporte deverá ser pago como provento na folha de pagamento do funcionário.</w:t>
      </w:r>
    </w:p>
    <w:p w14:paraId="70160A3C"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calcular o vale-transporte de cada funcionário, considerando a quantidade indicada para o funcionário por roteiro/linha, calculando o valor máximo de desconto conforme percentual legal, deduzindo da quantidade os casos de férias e afastamentos, devendo indicar também o custo total do vale-transporte, o custo para o funcionário e o custo para a entidade.</w:t>
      </w:r>
    </w:p>
    <w:p w14:paraId="18938ED8"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Gerar automaticamente o valor para desconto do vale-transporte em folha de pagamento.</w:t>
      </w:r>
    </w:p>
    <w:p w14:paraId="6FDBAF6F"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lançamento de afastamentos do funcionário, permitindo indicar no mínimo: motivo (como por exemplo: falta, auxílio doença, licença maternidade, licença sem vencimentos, etc.), data início e final, ato legal, mês/ano de cálculo e observação.</w:t>
      </w:r>
    </w:p>
    <w:p w14:paraId="59E633A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lançamento de abono de faltas já descontadas em folha, permitindo informar o mês/ano que será realizado o ressarcimento e calculando de forma automática em folha de pagamento.</w:t>
      </w:r>
    </w:p>
    <w:p w14:paraId="6F587118"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Calcular automaticamente o adicional por tempo de serviço em folha de pagamento, devendo ainda dispor de relatório que indique os funcionários que obtiveram alteração de percentual no respectivo mês/ano.</w:t>
      </w:r>
    </w:p>
    <w:p w14:paraId="2EF7A759"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cálculo de folha de pagamento dos tipos: mensal, mensal complementar, rescisão, rescisão complementar, férias, adiantamento de 13º salário (1º parcela), 13º salário, diferença de 13º salário e adiantamentos salariais; devendo dispor das opções de cálculo em uma única tela, permitindo filtrar os funcionários por no mínimo: matrícula, nome, cargo, regime, local de trabalho, centro de custo, função e data de admissão.</w:t>
      </w:r>
    </w:p>
    <w:p w14:paraId="6DDBBE19"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consultar os cálculos da folha de pagamento, onde seja possível visualizar detalhadamente o pagamento do funcionário, sem a necessidade de impressão de relatórios.</w:t>
      </w:r>
    </w:p>
    <w:p w14:paraId="2218AAD6"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registro detalhado de histórico de cálculos de pagamentos com informação de data, hora, usuário que fez o cálculo ou o cancelamento, proventos/descontos, valores e referências calculadas.</w:t>
      </w:r>
    </w:p>
    <w:p w14:paraId="275EA0FF"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registro detalhado do cálculo realizado de cada verba de provento e desconto que compõe o pagamento, detalhando a fórmula da verba, e os valores retornados pelo processo de cálculo.</w:t>
      </w:r>
    </w:p>
    <w:p w14:paraId="74531486"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visualizar detalhadamente os proventos e descontos que sofreram incidência para previdência e imposto de renda em cada folha de pagamento calculada.</w:t>
      </w:r>
    </w:p>
    <w:p w14:paraId="32475A3B"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cálculo de rescisões de forma individual, coletiva e permitindo filtrar por data de término de contrato, devendo ser realizados os cálculos de férias indenizadas, proporcionais e de 13º salário automaticamente.</w:t>
      </w:r>
    </w:p>
    <w:p w14:paraId="765D6584"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emissão do Termo de Rescisão de Contrato de Trabalho.</w:t>
      </w:r>
    </w:p>
    <w:p w14:paraId="780C8238"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reintegração de funcionário demitido/exonerado por decisão judicial ou administrativa, reutilizando a mesma matrícula.</w:t>
      </w:r>
    </w:p>
    <w:p w14:paraId="12EC958F"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Gerar automaticamente o pagamento dos valores relativos ao salário-família dos dependentes em folha de pagamento.</w:t>
      </w:r>
    </w:p>
    <w:p w14:paraId="19324221"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fórmula de cálculo diferente para cada provento e desconto por regime, adequando o cálculo da folha de pagamento as necessidades da entidade, indicando ainda a existência de incidência de IRRF.</w:t>
      </w:r>
    </w:p>
    <w:p w14:paraId="381FA1CA"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Permitir configurar incidências de base de previdência e FGTS de cada provento e desconto de forma diferenciada para cada previdência e regime. </w:t>
      </w:r>
    </w:p>
    <w:p w14:paraId="308E85E5"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resumo da folha de pagamento permitindo filtrar por tipo de folha e funcionário, com quebra no mínimo por: regime, grupo de empenho, centro de custo e local de trabalho, exibindo o total de cada provento e desconto, total bruto, total de descontos, total líquido e os encargos patronais (previdências e FGTS).</w:t>
      </w:r>
    </w:p>
    <w:p w14:paraId="66B36EEA"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lançar proventos/descontos variáveis na folha (como por exemplo: horas extras, adicional noturno, etc.), por lançamento coletivo ou individual por funcionário, permitindo ainda indicar observações.</w:t>
      </w:r>
    </w:p>
    <w:p w14:paraId="0CB3073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lançar proventos/descontos fixos para determinado período de tempo (como por exemplo: insalubridade, mensalidade sindical, etc.), com lançamento coletivo ou individual por funcionário, permitindo ainda indicar observações e ato legal.</w:t>
      </w:r>
    </w:p>
    <w:p w14:paraId="4B28744A"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rotina que permita lançar proventos/descontos recebidos acumuladamente pelos </w:t>
      </w:r>
      <w:r w:rsidRPr="00680B5B">
        <w:rPr>
          <w:rFonts w:ascii="Times New Roman" w:hAnsi="Times New Roman" w:cs="Times New Roman"/>
          <w:bCs/>
          <w:sz w:val="22"/>
          <w:szCs w:val="22"/>
        </w:rPr>
        <w:lastRenderedPageBreak/>
        <w:t>funcionários, contendo número do processo e período de referência, para posterior geração na DIRF.</w:t>
      </w:r>
    </w:p>
    <w:p w14:paraId="6A021445"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que apresente um resumo dos valores líquidos da folha por banco, apresentando no mínimo: nome do banco, agência, nome, matrícula, CPF e número da conta.</w:t>
      </w:r>
    </w:p>
    <w:p w14:paraId="6CD08FA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emissão do recibo de pagamento do funcionário, com opções do no mínimo os seguintes filtros: tipo de folha, regime, cargo, banco, centro de custo e local de trabalho.</w:t>
      </w:r>
    </w:p>
    <w:p w14:paraId="1823EBC9"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inserir mensagens de texto em todos os recibos de pagamento ou para apenas determinados funcionários.</w:t>
      </w:r>
    </w:p>
    <w:p w14:paraId="35194A1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empenhamento automático para o Módulo da Contabilidade conforme as configurações realizadas, evitando trabalhos de digitação manual para empenhamento e a exportação/importação de arquivos.</w:t>
      </w:r>
    </w:p>
    <w:p w14:paraId="263B7C64"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emissão da planilha contábil com os valores da folha de pagamento e dos respectivos encargos patronais.</w:t>
      </w:r>
    </w:p>
    <w:p w14:paraId="531FD8BA"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emissão de relatórios auxiliares que detalhem o valor retido e o valor patronal das contribuições previdenciárias de RGPS e RPPS.</w:t>
      </w:r>
    </w:p>
    <w:p w14:paraId="07CA2D9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pensões alimentícias, indicando no mínimo: funcionário instituidor, dependente da pensão, data de início, data final, dados bancários do beneficiário e detalhes para desconto em folha de pagamento; devendo o desconto ocorrer de forma automática na folha de pagamento do funcionário, cessando automaticamente na data final.</w:t>
      </w:r>
    </w:p>
    <w:p w14:paraId="7243C169"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cálculo de desconto de pensão alimentícia para vários dependentes de um mesmo funcionário.</w:t>
      </w:r>
    </w:p>
    <w:p w14:paraId="2C5FC4E5"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consulta do valor calculado de pensão alimentícia.</w:t>
      </w:r>
    </w:p>
    <w:p w14:paraId="71114075"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e emissão de autorização de diárias de viagem para funcionários.</w:t>
      </w:r>
    </w:p>
    <w:p w14:paraId="3DE2BC58"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cálculo do INSS e do IR dos funcionários que acumulam dois cargos, para o correto enquadramento de alíquota conforme a faixa de cálculo e o teto previdenciário.</w:t>
      </w:r>
    </w:p>
    <w:p w14:paraId="3E604EEA"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informar os valores descontados de IR e base de cálculo de IR, bem como os valores descontados de previdência e base de cálculo de previdência, já descontados e apurados em outras empresas para compor o cálculo da folha de pagamento, visando o correto enquadramento nas faixas de desconto dos impostos.</w:t>
      </w:r>
    </w:p>
    <w:p w14:paraId="0FC043C6"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para emissão dos salários de contribuição para o INSS por funcionário.</w:t>
      </w:r>
    </w:p>
    <w:p w14:paraId="5DF4B175"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configuração para calcular automaticamente a diferença entre um cargo comissionado e um cargo efetivo quando um funcionário efetivo ocupa uma vaga.</w:t>
      </w:r>
    </w:p>
    <w:p w14:paraId="0F48CDFE"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e calcular médias para férias, 13º salário e licença prêmio, e que estas médias possam ser calculadas por no mínimo: referência, valor e valor reajustado considerando uma tabela específica.</w:t>
      </w:r>
    </w:p>
    <w:p w14:paraId="77133FBE"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calcular o valor disponível da margem consignável, devendo descontar os empréstimos já existentes e configurar quais outras verbas devem deduzir do valor disponível, podendo ser calculado pelo valor líquido ou bruto da folha de pagamento, ou ainda considerando algumas verbas específicas por meio de uma base de cálculo.</w:t>
      </w:r>
    </w:p>
    <w:p w14:paraId="38815E40"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controlar a emissão das margens consignadas por um serviço no portal por banco, de forma que o funcionário consiga realizar a emissão para outro banco somente depois de determinado período ou mediante liberação manual do funcionário do departamento de recursos humanos.</w:t>
      </w:r>
    </w:p>
    <w:p w14:paraId="56098B66"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calcular a provisão de férias, 13º salário e licença prêmio, permitindo ainda disponibilizar os valores provisionados automaticamente para o Módulo da Contabilidade por meio da contabilização.</w:t>
      </w:r>
    </w:p>
    <w:p w14:paraId="4735B334"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integrar automaticamente as baixas de provisão com o Módulo da Contabilidade juntamente com o empenhamento automático da respectiva folha.</w:t>
      </w:r>
    </w:p>
    <w:p w14:paraId="7228A1FC"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registro detalhado do cálculo realizado de cada verba de provento e desconto que compõe o cálculo de provisão, detalhando a fórmula da verba, e os valores retornados pelo processo.</w:t>
      </w:r>
    </w:p>
    <w:p w14:paraId="1BDB476C"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que ao empenhar a rescisão seja possível automaticamente gerar estorno ou ajustes de saldos de provisão do funcionário.</w:t>
      </w:r>
    </w:p>
    <w:p w14:paraId="464FABE9"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que apresente os saldos de provisão por funcionário por tipo (férias, 13º salário e licença prêmio), permitindo o detalhamento dos proventos/descontos provisionados e baixados, bem como eventuais ajustes e estornos realizados.</w:t>
      </w:r>
    </w:p>
    <w:p w14:paraId="7982F3E4"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importar as diárias do Módulo da Contabilidade, sem necessidade de geração de arquivo texto de exportação/importação, visando lançamento em folha de pagamento.</w:t>
      </w:r>
    </w:p>
    <w:p w14:paraId="2FD36166"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Permitir configurar para que o responsável pelo centro de custo receba via e-mail uma notificação </w:t>
      </w:r>
      <w:r w:rsidRPr="00680B5B">
        <w:rPr>
          <w:rFonts w:ascii="Times New Roman" w:hAnsi="Times New Roman" w:cs="Times New Roman"/>
          <w:bCs/>
          <w:sz w:val="22"/>
          <w:szCs w:val="22"/>
        </w:rPr>
        <w:lastRenderedPageBreak/>
        <w:t>informando que foi realizado cálculo de férias para o funcionário subordinado.</w:t>
      </w:r>
    </w:p>
    <w:p w14:paraId="5B4C4B5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com as informações de quais funcionários possuem dois contratos.</w:t>
      </w:r>
    </w:p>
    <w:p w14:paraId="18F4094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importação de proventos/descontos variáveis, conforme layout fornecido pela contratada.</w:t>
      </w:r>
    </w:p>
    <w:p w14:paraId="651592A2"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importação de proventos/descontos fixos, conforme layout fornecido pela contratada.</w:t>
      </w:r>
    </w:p>
    <w:p w14:paraId="07A72B85"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restrição de acesso (login) de usuários que são funcionários durante o seu período de férias, após sua rescisão, durante seus afastamentos e conforme o seu horário de trabalho, impossibilitando automaticamente o acesso dele ao sistema.</w:t>
      </w:r>
    </w:p>
    <w:p w14:paraId="333D388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dos funcionários cedidos e recebidos, que apresente no mínimo: seu período de cessão, local de cessão e número do ato legal.</w:t>
      </w:r>
    </w:p>
    <w:p w14:paraId="4EAF4BA5"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relacionar ao funcionário uma determinada função gratificada, permitindo indicar uma referência ou percentual e período de recebimento, devendo ainda permitir configurar para calcular o valor automaticamente em folha de pagamento.</w:t>
      </w:r>
    </w:p>
    <w:p w14:paraId="35F5CB4A"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cadastrar funcionários recebidos por disposição que não possuem contrato na entidade, gerando também as informações para o portal da transparência e eSocial.</w:t>
      </w:r>
    </w:p>
    <w:p w14:paraId="3184A14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cálculo de vale-alimentação para os funcionários, conforme configuração e relacionamento dos funcionários com direito.</w:t>
      </w:r>
    </w:p>
    <w:p w14:paraId="482B56D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alterar o código de funcionário (matrícula) para qualquer outro código ainda não existente na entidade.</w:t>
      </w:r>
    </w:p>
    <w:p w14:paraId="41AF453B"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que seja gerada solicitação de acesso automaticamente ao funcionário para o portal de serviços (onde terá a acesso à sua folha de pagamento, relatório de férias, dentre outros) quando realizar seu cadastro como funcionário.</w:t>
      </w:r>
    </w:p>
    <w:p w14:paraId="7BFFBB1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relacionar automaticamente uma função gratificada, para determinados cargos, quando realizado o cadastro do contrato do funcionário.</w:t>
      </w:r>
    </w:p>
    <w:p w14:paraId="1CB8D585"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relacionar automaticamente o nível salarial inicial quando realizado o cadastro do contrato do funcionário.</w:t>
      </w:r>
    </w:p>
    <w:p w14:paraId="79E40E7A"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que no lançamento de proventos e descontos variáveis gere alerta informando se o funcionário que está sendo realizado o lançamento possui cargo comissionado.</w:t>
      </w:r>
    </w:p>
    <w:p w14:paraId="3D0C633E"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para que no lançamento de proventos e descontos variáveis gere alerta se o funcionário que está sendo realizado o lançamento possui função gratificada.</w:t>
      </w:r>
    </w:p>
    <w:p w14:paraId="1F48245B"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liberar emissão do recibo de pagamento em um serviço no portal, por tipo de folha e regime, mesmo sem o mês/ano de cálculo estar completamente encerrado e permitir também configurar uma data futura para liberação das informações mesmo após o encerramento do período.</w:t>
      </w:r>
    </w:p>
    <w:p w14:paraId="2DA780F0"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recadastramento funcional, que permita configurar quais funcionários devem realizar o recadastramento por meio de um serviço no portal, indicando um período e controlando quais funcionários realizaram ou não o recadastramento.</w:t>
      </w:r>
    </w:p>
    <w:p w14:paraId="0E0A54C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que as informações prestadas pelos funcionários a partir do recadastramento sejam atualizadas automaticamente na base de dados mediante o deferimento de um funcionário do departamento de recursos humanos, sendo que esta atualização automática deve estar disponível no mínimo para: nome, data de nascimento, PIS/PASEP, RG, CNH, CTPS, título de eleitor, nome do pai e mãe, grau de instrução, sexo, deficiências, estado civil, contatos (e-mail, telefone e celular) e endereço completo.</w:t>
      </w:r>
    </w:p>
    <w:p w14:paraId="3D6304C0"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controlar a apresentação de documentos de dependentes para direito ao recebimento de salário família, controlando e cessando o pagamento conforme a validade indicada.</w:t>
      </w:r>
    </w:p>
    <w:p w14:paraId="1ABA04E8"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gerar as informações de admissão e rescisão de celetistas necessárias ao CAGED para importação no software do Ministério do Trabalho.</w:t>
      </w:r>
    </w:p>
    <w:p w14:paraId="6D5AF2DF"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as informações e exportar o arquivo para RAIS.</w:t>
      </w:r>
    </w:p>
    <w:p w14:paraId="552456D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funcionários residentes/domiciliados no exterior, informando os respectivos campos em relação à receita federal e tributação, para gerar as informações automaticamente na DIRF.</w:t>
      </w:r>
    </w:p>
    <w:p w14:paraId="6E252DE1"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as informações e exportar o arquivo para DIRF.</w:t>
      </w:r>
    </w:p>
    <w:p w14:paraId="235E0986"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emissão do comprovante de rendimentos do funcionário para declaração de imposto de renda.</w:t>
      </w:r>
    </w:p>
    <w:p w14:paraId="69A02C06"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o arquivo para SEFIP/GFIP.</w:t>
      </w:r>
    </w:p>
    <w:p w14:paraId="40C5D3EC"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geração de arquivos para o tribunal de contas do estado.</w:t>
      </w:r>
    </w:p>
    <w:p w14:paraId="005FD43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Possuir rotina para exportar os arquivos de avaliação atuarial no padrão nacional CADPREV da Secretaria da Previdência (arquivos de: ativos, aposentados, pensionistas, ativos exonerados/falecidos, aposentados falecidos, pensionistas falecidos e dependentes).</w:t>
      </w:r>
    </w:p>
    <w:p w14:paraId="775DD0EB"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importação e análise do arquivo SISOBI, indicando se algum funcionário que esteja ativo no sistema consta no arquivo de óbitos.</w:t>
      </w:r>
    </w:p>
    <w:p w14:paraId="6524C061"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gerar o arquivo MANAD.</w:t>
      </w:r>
    </w:p>
    <w:p w14:paraId="4DF53EF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para configuração e exportação do SIOPE, devendo ainda possuir um relatório que auxilie na conferência das informações.</w:t>
      </w:r>
    </w:p>
    <w:p w14:paraId="547CD7D4"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exportar e importar arquivos da consulta em lote de qualificação cadastral do eSocial.</w:t>
      </w:r>
    </w:p>
    <w:p w14:paraId="5470BAE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consistência de base de dados visando identificar problemas ou faltas de informações exigidas no eSocial, sendo que juntamente com as inconsistências apontadas deve ser descrito uma sugestão de correção.</w:t>
      </w:r>
    </w:p>
    <w:p w14:paraId="03BF166D"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permita ao usuário visualizar as regras estabelecidas pelo sistema para geração de cada um dos eventos e respectivos campos do eSocial, indicando para cada campo a origem da informação no sistema.</w:t>
      </w:r>
    </w:p>
    <w:p w14:paraId="54CBF34B"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que permitam gerar, assinar, enviar e recepcionar retorno de eventos para o ambiente de Produção do eSocial, devendo os eventos estarem disponíveis conforme o início de obrigatoriedade de cada um.</w:t>
      </w:r>
    </w:p>
    <w:p w14:paraId="2F4157B8"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que permitam gerar, assinar, enviar e recepcionar retorno de eventos para o ambiente de Produção Restrita do eSocial, de forma totalmente independente da Produção.</w:t>
      </w:r>
    </w:p>
    <w:p w14:paraId="78CEEEA7"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que permitam gerar, assinar, enviar e recepcionar retorno de eventos do eSocial em base de dados única e sistema único, dispensando qualquer tipo de integrador ou sistema terceiro/externo para realizar qualquer etapa do processo.</w:t>
      </w:r>
    </w:p>
    <w:p w14:paraId="35A68171"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automaticamente a geração dos lotes conforme o usuário solicitar o envio dos eventos, seguindo as regras estabelecidas pelo eSocial, sem que seja necessária a intervenção do usuário neste processo.</w:t>
      </w:r>
    </w:p>
    <w:p w14:paraId="4FC0A0CB"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Manter gravado e disponível ao usuário os arquivos XML trocados com o eSocial, devendo no mínimo estarem disponíveis os arquivos XML assinados dos eventos e dos lotes, bem como o XML dos retornos dos lotes.</w:t>
      </w:r>
    </w:p>
    <w:p w14:paraId="2BE5764C"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relacionar certificados digitais em arquivo (A1) no repositório do sistema, assinando e enviando eventos do eSocial através de qualquer computador por usuário autorizado.</w:t>
      </w:r>
    </w:p>
    <w:p w14:paraId="1CF80054"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processo automático que verifique e processe os retornos dos lotes dos eventos enviados ao eSocial, dispensando a necessidade de o usuário efetuar requisições manualmente.</w:t>
      </w:r>
    </w:p>
    <w:p w14:paraId="71314B43"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processo agendado para geração automática dos eventos de Tabelas e eventos Não Periódicos do eSocial em ambiente de Produção.</w:t>
      </w:r>
    </w:p>
    <w:p w14:paraId="0B2144C0"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configurar e realizar a busca dos autônomos conforme empenhamentos realizados no Módulo da Contabilidade para geração no eSocial.</w:t>
      </w:r>
    </w:p>
    <w:p w14:paraId="16573386" w14:textId="77777777" w:rsidR="00B307DB" w:rsidRPr="00680B5B" w:rsidRDefault="00B307DB" w:rsidP="00F60DF5">
      <w:pPr>
        <w:pStyle w:val="Corpodetexto31"/>
        <w:numPr>
          <w:ilvl w:val="0"/>
          <w:numId w:val="309"/>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relatórios que permitam visualizar os retornos dos eventos Periódicos do eSocial em relação </w:t>
      </w:r>
      <w:r w:rsidRPr="00680B5B">
        <w:rPr>
          <w:rFonts w:ascii="Times New Roman" w:hAnsi="Times New Roman" w:cs="Times New Roman"/>
          <w:bCs/>
          <w:sz w:val="22"/>
          <w:szCs w:val="22"/>
          <w:highlight w:val="white"/>
        </w:rPr>
        <w:t>a Contribuição Social (INSS), FGTS e IRRF.</w:t>
      </w:r>
    </w:p>
    <w:p w14:paraId="2A6050E1" w14:textId="77777777" w:rsidR="00B307DB" w:rsidRPr="00680B5B" w:rsidRDefault="00B307DB" w:rsidP="00B307DB">
      <w:pPr>
        <w:pStyle w:val="Corpodetexto31"/>
        <w:tabs>
          <w:tab w:val="left" w:pos="3448"/>
        </w:tabs>
        <w:ind w:right="-568"/>
        <w:rPr>
          <w:rFonts w:ascii="Times New Roman" w:hAnsi="Times New Roman" w:cs="Times New Roman"/>
          <w:bCs/>
          <w:sz w:val="22"/>
          <w:szCs w:val="22"/>
          <w:highlight w:val="white"/>
        </w:rPr>
      </w:pPr>
    </w:p>
    <w:p w14:paraId="4C0BA03A"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 xml:space="preserve">2.6 MÓDULO: </w:t>
      </w:r>
      <w:r w:rsidRPr="00680B5B">
        <w:rPr>
          <w:rFonts w:ascii="Times New Roman" w:hAnsi="Times New Roman" w:cs="Times New Roman"/>
          <w:b/>
          <w:sz w:val="22"/>
          <w:szCs w:val="22"/>
          <w:highlight w:val="white"/>
        </w:rPr>
        <w:t>PONTO ELETRÔNICO</w:t>
      </w:r>
    </w:p>
    <w:p w14:paraId="750EBEC3" w14:textId="77777777" w:rsidR="00B307DB" w:rsidRPr="00680B5B" w:rsidRDefault="00B307DB" w:rsidP="00B307DB">
      <w:pPr>
        <w:pStyle w:val="Corpodetexto31"/>
        <w:ind w:right="-568"/>
        <w:contextualSpacing/>
        <w:rPr>
          <w:rFonts w:ascii="Times New Roman" w:hAnsi="Times New Roman" w:cs="Times New Roman"/>
          <w:sz w:val="22"/>
          <w:szCs w:val="22"/>
        </w:rPr>
      </w:pPr>
      <w:r w:rsidRPr="00680B5B">
        <w:rPr>
          <w:rFonts w:ascii="Times New Roman" w:hAnsi="Times New Roman" w:cs="Times New Roman"/>
          <w:b/>
          <w:bCs/>
          <w:sz w:val="22"/>
          <w:szCs w:val="22"/>
        </w:rPr>
        <w:t>1.</w:t>
      </w:r>
      <w:r w:rsidRPr="00680B5B">
        <w:rPr>
          <w:rFonts w:ascii="Times New Roman" w:hAnsi="Times New Roman" w:cs="Times New Roman"/>
          <w:bCs/>
          <w:sz w:val="22"/>
          <w:szCs w:val="22"/>
        </w:rPr>
        <w:t xml:space="preserve"> </w:t>
      </w:r>
      <w:r w:rsidRPr="00680B5B">
        <w:rPr>
          <w:rFonts w:ascii="Times New Roman" w:hAnsi="Times New Roman" w:cs="Times New Roman"/>
          <w:bCs/>
          <w:sz w:val="22"/>
          <w:szCs w:val="22"/>
          <w:highlight w:val="white"/>
        </w:rPr>
        <w:t>Permitir importar marcações de ponto via arquivo texto no padrão AFD do Ministério do Trabalho/INMETRO.</w:t>
      </w:r>
    </w:p>
    <w:p w14:paraId="51B93C0B" w14:textId="77777777" w:rsidR="00B307DB" w:rsidRPr="00680B5B" w:rsidRDefault="00B307DB" w:rsidP="00B307DB">
      <w:pPr>
        <w:pStyle w:val="Corpodetexto31"/>
        <w:ind w:right="-568"/>
        <w:contextualSpacing/>
        <w:rPr>
          <w:rFonts w:ascii="Times New Roman" w:hAnsi="Times New Roman" w:cs="Times New Roman"/>
          <w:sz w:val="22"/>
          <w:szCs w:val="22"/>
        </w:rPr>
      </w:pPr>
      <w:r w:rsidRPr="00680B5B">
        <w:rPr>
          <w:rFonts w:ascii="Times New Roman" w:hAnsi="Times New Roman" w:cs="Times New Roman"/>
          <w:b/>
          <w:bCs/>
          <w:sz w:val="22"/>
          <w:szCs w:val="22"/>
        </w:rPr>
        <w:t>2.</w:t>
      </w:r>
      <w:r w:rsidRPr="00680B5B">
        <w:rPr>
          <w:rFonts w:ascii="Times New Roman" w:hAnsi="Times New Roman" w:cs="Times New Roman"/>
          <w:bCs/>
          <w:sz w:val="22"/>
          <w:szCs w:val="22"/>
        </w:rPr>
        <w:t xml:space="preserve"> Permitir realizar configuração do horário noturno padrão (com exceção por regime), minutos de tolerância para considerar como falta na entrada e saída (com exceção por horário e regime), minutos de tolerância diária para desconto de faltas (com exceção por horário e regime), minutos mínimos para considerar como horas extras na entrada e saída (com exceção por horário e regime), minutos mínimos diários para considerar como hora extra (com exceção por horário e regime) e quantidade de minutos para desconsiderar registros de ponto duplicados.</w:t>
      </w:r>
    </w:p>
    <w:p w14:paraId="4A415FEA" w14:textId="77777777" w:rsidR="00B307DB" w:rsidRPr="00680B5B" w:rsidRDefault="00B307DB" w:rsidP="00B307DB">
      <w:pPr>
        <w:pStyle w:val="Corpodetexto31"/>
        <w:ind w:right="-568"/>
        <w:contextualSpacing/>
        <w:rPr>
          <w:rFonts w:ascii="Times New Roman" w:hAnsi="Times New Roman" w:cs="Times New Roman"/>
          <w:sz w:val="22"/>
          <w:szCs w:val="22"/>
        </w:rPr>
      </w:pPr>
      <w:r w:rsidRPr="00680B5B">
        <w:rPr>
          <w:rFonts w:ascii="Times New Roman" w:hAnsi="Times New Roman" w:cs="Times New Roman"/>
          <w:b/>
          <w:bCs/>
          <w:sz w:val="22"/>
          <w:szCs w:val="22"/>
        </w:rPr>
        <w:t>3.</w:t>
      </w:r>
      <w:r w:rsidRPr="00680B5B">
        <w:rPr>
          <w:rFonts w:ascii="Times New Roman" w:hAnsi="Times New Roman" w:cs="Times New Roman"/>
          <w:bCs/>
          <w:sz w:val="22"/>
          <w:szCs w:val="22"/>
        </w:rPr>
        <w:t>Possuir cadastro de feriados e pontos facultativos, permitindo configurar para identificar de forma diferenciada nos lançamentos de ponto do funcionário.</w:t>
      </w:r>
    </w:p>
    <w:p w14:paraId="49097FC1"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4.</w:t>
      </w:r>
      <w:r w:rsidRPr="00680B5B">
        <w:rPr>
          <w:rFonts w:ascii="Times New Roman" w:hAnsi="Times New Roman" w:cs="Times New Roman"/>
          <w:bCs/>
          <w:sz w:val="22"/>
          <w:szCs w:val="22"/>
        </w:rPr>
        <w:t>Possuir rotina de controle de banco de horas dos funcionários, permitindo lançamentos manuais de valores positivos (banco de horas), negativos (folgas/faltas), bem como lançamentos para folha de pagamento (pagamentos e descontos), permitindo ainda relacionar anexos ao respectivo lançamento.</w:t>
      </w:r>
    </w:p>
    <w:p w14:paraId="0C76F099"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5.</w:t>
      </w:r>
      <w:r w:rsidRPr="00680B5B">
        <w:rPr>
          <w:rFonts w:ascii="Times New Roman" w:hAnsi="Times New Roman" w:cs="Times New Roman"/>
          <w:bCs/>
          <w:sz w:val="22"/>
          <w:szCs w:val="22"/>
        </w:rPr>
        <w:t xml:space="preserve">Permitir configurar e controlar tipos de bancos de horas distintos, permitindo o controle dos saldos de </w:t>
      </w:r>
      <w:r w:rsidRPr="00680B5B">
        <w:rPr>
          <w:rFonts w:ascii="Times New Roman" w:hAnsi="Times New Roman" w:cs="Times New Roman"/>
          <w:bCs/>
          <w:sz w:val="22"/>
          <w:szCs w:val="22"/>
        </w:rPr>
        <w:lastRenderedPageBreak/>
        <w:t>cada tipo de banco de horas de forma separada.</w:t>
      </w:r>
    </w:p>
    <w:p w14:paraId="49F8DD1F"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6.</w:t>
      </w:r>
      <w:r w:rsidRPr="00680B5B">
        <w:rPr>
          <w:rFonts w:ascii="Times New Roman" w:hAnsi="Times New Roman" w:cs="Times New Roman"/>
          <w:bCs/>
          <w:sz w:val="22"/>
          <w:szCs w:val="22"/>
        </w:rPr>
        <w:t>Permitir configuração para estorno automático de saldo positivo de banco de horas, permitindo indicar tipo, regime e dias de validade, realizando automaticamente o estorno conforme configurado.</w:t>
      </w:r>
    </w:p>
    <w:p w14:paraId="6B47C94C"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7.</w:t>
      </w:r>
      <w:r w:rsidRPr="00680B5B">
        <w:rPr>
          <w:rFonts w:ascii="Times New Roman" w:hAnsi="Times New Roman" w:cs="Times New Roman"/>
          <w:bCs/>
          <w:sz w:val="22"/>
          <w:szCs w:val="22"/>
        </w:rPr>
        <w:t>Possuir relatório de banco de horas por funcionário com totalizador por tipo de banco.</w:t>
      </w:r>
    </w:p>
    <w:p w14:paraId="3C025D0C"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8.</w:t>
      </w:r>
      <w:r w:rsidRPr="00680B5B">
        <w:rPr>
          <w:rFonts w:ascii="Times New Roman" w:hAnsi="Times New Roman" w:cs="Times New Roman"/>
          <w:bCs/>
          <w:sz w:val="22"/>
          <w:szCs w:val="22"/>
        </w:rPr>
        <w:t>Possuir rotina de controle de banco de dias dos funcionários, permitindo lançamentos manuais de valores positivos (banco de dias), negativos (folgas/faltas), permitindo ainda relacionar anexos ao respectivo lançamento.</w:t>
      </w:r>
    </w:p>
    <w:p w14:paraId="41B879B0"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9.</w:t>
      </w:r>
      <w:r w:rsidRPr="00680B5B">
        <w:rPr>
          <w:rFonts w:ascii="Times New Roman" w:hAnsi="Times New Roman" w:cs="Times New Roman"/>
          <w:bCs/>
          <w:sz w:val="22"/>
          <w:szCs w:val="22"/>
        </w:rPr>
        <w:t>Permitir configurar e controlar tipos de bancos de dias distintos, permitindo o controle dos saldos de cada tipo de banco de dias de forma separada.</w:t>
      </w:r>
    </w:p>
    <w:p w14:paraId="5D213718"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10.</w:t>
      </w:r>
      <w:r w:rsidRPr="00680B5B">
        <w:rPr>
          <w:rFonts w:ascii="Times New Roman" w:hAnsi="Times New Roman" w:cs="Times New Roman"/>
          <w:bCs/>
          <w:sz w:val="22"/>
          <w:szCs w:val="22"/>
        </w:rPr>
        <w:t>Permitir configurar para que folgas lançadas no banco de horas e banco de dias abonem faltas e sejam apresentadas nos lançamentos de ponto do funcionário</w:t>
      </w:r>
    </w:p>
    <w:p w14:paraId="5E4B6B9C"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11.</w:t>
      </w:r>
      <w:r w:rsidRPr="00680B5B">
        <w:rPr>
          <w:rFonts w:ascii="Times New Roman" w:hAnsi="Times New Roman" w:cs="Times New Roman"/>
          <w:bCs/>
          <w:sz w:val="22"/>
          <w:szCs w:val="22"/>
        </w:rPr>
        <w:t>Permitir configurar se as horas trabalhadas além do expediente previsto dependem de autorização, devendo dispor de rotina para lançamento de autorização de realização de horas extras e banco de horas, efetuando o lançamento de ponto conforme configuração e considerando se existe autorização.</w:t>
      </w:r>
    </w:p>
    <w:p w14:paraId="0E6C1BFD"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12.</w:t>
      </w:r>
      <w:r w:rsidRPr="00680B5B">
        <w:rPr>
          <w:rFonts w:ascii="Times New Roman" w:hAnsi="Times New Roman" w:cs="Times New Roman"/>
          <w:bCs/>
          <w:sz w:val="22"/>
          <w:szCs w:val="22"/>
        </w:rPr>
        <w:t>Permitir criar escalas de sobreaviso e permitir relacionar funcionários a determinadas escalas e dias da semana, de forma que no processamento do ponto sejam calculadas as horas mensais de sobreaviso que o funcionário terá direito a receber, devendo também dispor de configuração se as horas efetivamente trabalhadas dentro da escala de sobreaviso deduzem ou não das horas de sobreaviso calculado.</w:t>
      </w:r>
    </w:p>
    <w:p w14:paraId="647A63FE"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13.</w:t>
      </w:r>
      <w:r w:rsidRPr="00680B5B">
        <w:rPr>
          <w:rFonts w:ascii="Times New Roman" w:hAnsi="Times New Roman" w:cs="Times New Roman"/>
          <w:bCs/>
          <w:sz w:val="22"/>
          <w:szCs w:val="22"/>
        </w:rPr>
        <w:t>Permitir configurar um motivo de lançamento de ponto para gerar no espelho de ponto do funcionário um registro nos respectivos dias com batidas ímpares.</w:t>
      </w:r>
    </w:p>
    <w:p w14:paraId="465AF21F"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14.</w:t>
      </w:r>
      <w:r w:rsidRPr="00680B5B">
        <w:rPr>
          <w:rFonts w:ascii="Times New Roman" w:hAnsi="Times New Roman" w:cs="Times New Roman"/>
          <w:bCs/>
          <w:sz w:val="22"/>
          <w:szCs w:val="22"/>
        </w:rPr>
        <w:t>Permitir configurar um motivo de lançamento de ponto para gerar no espelho de ponto do funcionário indicando o total de horas trabalhadas esperadas no respectivo dia.</w:t>
      </w:r>
    </w:p>
    <w:p w14:paraId="2A0769DA"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15.</w:t>
      </w:r>
      <w:r w:rsidRPr="00680B5B">
        <w:rPr>
          <w:rFonts w:ascii="Times New Roman" w:hAnsi="Times New Roman" w:cs="Times New Roman"/>
          <w:bCs/>
          <w:sz w:val="22"/>
          <w:szCs w:val="22"/>
        </w:rPr>
        <w:t>Permitir registrar os períodos de realização de hora atividade para os funcionários visando abono automático durante o processamento do ponto, indicando data início e fim, quantidade de horas e dias da semana.</w:t>
      </w:r>
    </w:p>
    <w:p w14:paraId="79749AD2"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16.</w:t>
      </w:r>
      <w:r w:rsidRPr="00680B5B">
        <w:rPr>
          <w:rFonts w:ascii="Times New Roman" w:hAnsi="Times New Roman" w:cs="Times New Roman"/>
          <w:bCs/>
          <w:sz w:val="22"/>
          <w:szCs w:val="22"/>
        </w:rPr>
        <w:t>Possuir relatório de hora atividade por funcionário, permitindo verificar a quantidade de horas e os dias em que possui hora atividade prevista em determinado período de tempo.</w:t>
      </w:r>
    </w:p>
    <w:p w14:paraId="09646733"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17.</w:t>
      </w:r>
      <w:r w:rsidRPr="00680B5B">
        <w:rPr>
          <w:rFonts w:ascii="Times New Roman" w:hAnsi="Times New Roman" w:cs="Times New Roman"/>
          <w:bCs/>
          <w:sz w:val="22"/>
          <w:szCs w:val="22"/>
        </w:rPr>
        <w:t>Permitir realizar configuração por motivo de lançamento de ponto para gerar lançamentos em folha de pagamento, como horas extras, faltas, adicional noturno, sobreaviso e banco de horas (positivo e negativo).</w:t>
      </w:r>
    </w:p>
    <w:p w14:paraId="6BD7BB35"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18.</w:t>
      </w:r>
      <w:r w:rsidRPr="00680B5B">
        <w:rPr>
          <w:rFonts w:ascii="Times New Roman" w:hAnsi="Times New Roman" w:cs="Times New Roman"/>
          <w:bCs/>
          <w:sz w:val="22"/>
          <w:szCs w:val="22"/>
        </w:rPr>
        <w:t>Possuir rotina para cálculo dos lançamentos de ponto, de forma que os registros de ponto e demais configurações realizadas sejam verificadas e as ocorrências sejam apuradas, dispondo na tela de geração de filtros no mínimo por: data inicial e final do período de apuração, funcionário, regime, centro de custo, local de trabalho e cargo.</w:t>
      </w:r>
    </w:p>
    <w:p w14:paraId="4E35DC7C"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19.</w:t>
      </w:r>
      <w:r w:rsidRPr="00680B5B">
        <w:rPr>
          <w:rFonts w:ascii="Times New Roman" w:hAnsi="Times New Roman" w:cs="Times New Roman"/>
          <w:bCs/>
          <w:sz w:val="22"/>
          <w:szCs w:val="22"/>
        </w:rPr>
        <w:t>Permitir configurar para que o cálculo dos lançamentos de ponto do período corrente seja realizado de forma automática e assíncrona mediante agendamento.</w:t>
      </w:r>
    </w:p>
    <w:p w14:paraId="0358612F"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20.</w:t>
      </w:r>
      <w:r w:rsidRPr="00680B5B">
        <w:rPr>
          <w:rFonts w:ascii="Times New Roman" w:hAnsi="Times New Roman" w:cs="Times New Roman"/>
          <w:bCs/>
          <w:sz w:val="22"/>
          <w:szCs w:val="22"/>
        </w:rPr>
        <w:t>Realizar abono automático, durante o processamento do ponto, de informações já cadastradas em outros Módulos como férias, afastamentos, licenças prêmio em gozo, licença maternidade e atestados, mediante a configuração de motivos de lançamento de ponto.</w:t>
      </w:r>
    </w:p>
    <w:p w14:paraId="7094FD45"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21.</w:t>
      </w:r>
      <w:r w:rsidRPr="00680B5B">
        <w:rPr>
          <w:rFonts w:ascii="Times New Roman" w:hAnsi="Times New Roman" w:cs="Times New Roman"/>
          <w:bCs/>
          <w:sz w:val="22"/>
          <w:szCs w:val="22"/>
        </w:rPr>
        <w:t>Permitir realizar configuração se o horário de trabalho do funcionário permite compensação diária automática, ou seja, apesar do funcionário possuir horário fixo de trabalho esperado é permitido que o mesmo realize compensações no próprio dia, devendo o sistema controlar automaticamente esta compensação.</w:t>
      </w:r>
    </w:p>
    <w:p w14:paraId="1EC53EEC"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22.</w:t>
      </w:r>
      <w:r w:rsidRPr="00680B5B">
        <w:rPr>
          <w:rFonts w:ascii="Times New Roman" w:hAnsi="Times New Roman" w:cs="Times New Roman"/>
          <w:bCs/>
          <w:sz w:val="22"/>
          <w:szCs w:val="22"/>
        </w:rPr>
        <w:t>Permitir cadastro e configuração de diferentes tipos de horários para serem relacionados aos funcionários, devendo dispor no mínimo de horários: semanais (indicando hora de início e final para cada período nos dias da semana), turno (permitindo indicar hora de início, quantidade de horas trabalhadas, horário de intervalo e horas de folga), livre (permitindo indicar a quantidade de horas de trabalho esperada por dia da semana) e mensais (permitindo indicar a quantidade de horas de trabalho esperada por mês).</w:t>
      </w:r>
    </w:p>
    <w:p w14:paraId="100BAB25"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23.</w:t>
      </w:r>
      <w:r w:rsidRPr="00680B5B">
        <w:rPr>
          <w:rFonts w:ascii="Times New Roman" w:hAnsi="Times New Roman" w:cs="Times New Roman"/>
          <w:bCs/>
          <w:sz w:val="22"/>
          <w:szCs w:val="22"/>
        </w:rPr>
        <w:t>Permitir relacionar aos funcionários o horário de trabalho esperado em determinado período, indicando data inicial e final.</w:t>
      </w:r>
    </w:p>
    <w:p w14:paraId="2AB161E4"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24.</w:t>
      </w:r>
      <w:r w:rsidRPr="00680B5B">
        <w:rPr>
          <w:rFonts w:ascii="Times New Roman" w:hAnsi="Times New Roman" w:cs="Times New Roman"/>
          <w:bCs/>
          <w:sz w:val="22"/>
          <w:szCs w:val="22"/>
        </w:rPr>
        <w:t>Possuir serviço no portal que permita realizar registros de ponto manuais mediante login, permitindo relacionar os funcionários autorizados a utilizar este tipo de registro, bem como deve permitir restringir o registro de ponto por configuração de IP.</w:t>
      </w:r>
    </w:p>
    <w:p w14:paraId="72052B30"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25.</w:t>
      </w:r>
      <w:r w:rsidRPr="00680B5B">
        <w:rPr>
          <w:rFonts w:ascii="Times New Roman" w:hAnsi="Times New Roman" w:cs="Times New Roman"/>
          <w:bCs/>
          <w:sz w:val="22"/>
          <w:szCs w:val="22"/>
        </w:rPr>
        <w:t xml:space="preserve">Possuir recurso que permita captura da geolocalização onde foi realizado o registro de ponto pelo </w:t>
      </w:r>
      <w:r w:rsidRPr="00680B5B">
        <w:rPr>
          <w:rFonts w:ascii="Times New Roman" w:hAnsi="Times New Roman" w:cs="Times New Roman"/>
          <w:bCs/>
          <w:sz w:val="22"/>
          <w:szCs w:val="22"/>
        </w:rPr>
        <w:lastRenderedPageBreak/>
        <w:t>serviço no portal, devendo dispor da possibilidade de visualização dos registros de ponto efetuados em uma visualização em mapa.</w:t>
      </w:r>
    </w:p>
    <w:p w14:paraId="4B56B597"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26.</w:t>
      </w:r>
      <w:r w:rsidRPr="00680B5B">
        <w:rPr>
          <w:rFonts w:ascii="Times New Roman" w:hAnsi="Times New Roman" w:cs="Times New Roman"/>
          <w:bCs/>
          <w:sz w:val="22"/>
          <w:szCs w:val="22"/>
        </w:rPr>
        <w:t>Possuir serviço no portal que permita realizar registros de ponto com a utilização de leitor biométrico homologado pela contratada, permitindo relacionar os funcionários autorizados a utilizar este tipo de registro, bem como deve permitir restringir o registro de ponto por configuração de IP.</w:t>
      </w:r>
    </w:p>
    <w:p w14:paraId="58814416"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27.</w:t>
      </w:r>
      <w:r w:rsidRPr="00680B5B">
        <w:rPr>
          <w:rFonts w:ascii="Times New Roman" w:hAnsi="Times New Roman" w:cs="Times New Roman"/>
          <w:bCs/>
          <w:sz w:val="22"/>
          <w:szCs w:val="22"/>
        </w:rPr>
        <w:t>Possuir consulta dos registros de ponto efetuados pelos serviços no portal de forma manual mediante login e por leitura biométrica.</w:t>
      </w:r>
    </w:p>
    <w:p w14:paraId="721DDED9"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28.</w:t>
      </w:r>
      <w:r w:rsidRPr="00680B5B">
        <w:rPr>
          <w:rFonts w:ascii="Times New Roman" w:hAnsi="Times New Roman" w:cs="Times New Roman"/>
          <w:bCs/>
          <w:sz w:val="22"/>
          <w:szCs w:val="22"/>
        </w:rPr>
        <w:t>Possuir consulta dos registros de ponto importados e permitir a realização da manutenção destes registros, porém sem possibilitar a exclusão da marcação originalmente importada, podendo ser apenas ignorada, além de exigir relacionar um motivo para justificar a operação.</w:t>
      </w:r>
    </w:p>
    <w:p w14:paraId="7EFB2962"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29.</w:t>
      </w:r>
      <w:r w:rsidRPr="00680B5B">
        <w:rPr>
          <w:rFonts w:ascii="Times New Roman" w:hAnsi="Times New Roman" w:cs="Times New Roman"/>
          <w:bCs/>
          <w:sz w:val="22"/>
          <w:szCs w:val="22"/>
        </w:rPr>
        <w:t>Permitir realizar a alteração de um registro de ponto importado, porém neste caso deve ser marcado como alterado e manter a informação original registrada separadamente, além de exigir relacionar um motivo para justificar a alteração.</w:t>
      </w:r>
    </w:p>
    <w:p w14:paraId="046F8CDE"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30.</w:t>
      </w:r>
      <w:r w:rsidRPr="00680B5B">
        <w:rPr>
          <w:rFonts w:ascii="Times New Roman" w:hAnsi="Times New Roman" w:cs="Times New Roman"/>
          <w:bCs/>
          <w:sz w:val="22"/>
          <w:szCs w:val="22"/>
        </w:rPr>
        <w:t>Possuir relatório dos lançamentos de ponto apurados em determinado período por funcionário.</w:t>
      </w:r>
    </w:p>
    <w:p w14:paraId="467BC24B"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31.</w:t>
      </w:r>
      <w:r w:rsidRPr="00680B5B">
        <w:rPr>
          <w:rFonts w:ascii="Times New Roman" w:hAnsi="Times New Roman" w:cs="Times New Roman"/>
          <w:bCs/>
          <w:sz w:val="22"/>
          <w:szCs w:val="22"/>
        </w:rPr>
        <w:t>Possuir relatório em formato gráfico dos lançamentos de ponto apurados em determinado período, permitindo ainda a comparação com outros períodos.</w:t>
      </w:r>
    </w:p>
    <w:p w14:paraId="14D98014"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32.</w:t>
      </w:r>
      <w:r w:rsidRPr="00680B5B">
        <w:rPr>
          <w:rFonts w:ascii="Times New Roman" w:hAnsi="Times New Roman" w:cs="Times New Roman"/>
          <w:bCs/>
          <w:sz w:val="22"/>
          <w:szCs w:val="22"/>
        </w:rPr>
        <w:t>Possuir rotina que permita fechar o cálculo de ponto de um determinado funcionário, de um determinado dia ou de um determinado dia de um funcionário, evitando que o processo de cálculo de lançamentos de ponto altere qualquer registro já fechado, impedindo também que novos registros de ponto sejam importados.</w:t>
      </w:r>
    </w:p>
    <w:p w14:paraId="77134805"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33.</w:t>
      </w:r>
      <w:r w:rsidRPr="00680B5B">
        <w:rPr>
          <w:rFonts w:ascii="Times New Roman" w:hAnsi="Times New Roman" w:cs="Times New Roman"/>
          <w:bCs/>
          <w:sz w:val="22"/>
          <w:szCs w:val="22"/>
        </w:rPr>
        <w:t>Possuir rotina para ajustes e conferências do ponto do funcionário permitindo acessar o dia para inserir a marcação faltante, ignorar uma marcação equivocada e efetuar lançamentos de abono manuais.</w:t>
      </w:r>
    </w:p>
    <w:p w14:paraId="39BECFF8"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34.</w:t>
      </w:r>
      <w:r w:rsidRPr="00680B5B">
        <w:rPr>
          <w:rFonts w:ascii="Times New Roman" w:hAnsi="Times New Roman" w:cs="Times New Roman"/>
          <w:bCs/>
          <w:sz w:val="22"/>
          <w:szCs w:val="22"/>
        </w:rPr>
        <w:t>Permitir emitir o espelho de ponto do funcionário, contendo os registros de ponto esperados e efetuados, bem como o detalhamento de todos os lançamentos de ponto calculados em cada dia, devendo ainda identificar os registros de ponto que foram alterados ou inseridos manualmente.</w:t>
      </w:r>
    </w:p>
    <w:p w14:paraId="683D2326"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35.</w:t>
      </w:r>
      <w:r w:rsidRPr="00680B5B">
        <w:rPr>
          <w:rFonts w:ascii="Times New Roman" w:hAnsi="Times New Roman" w:cs="Times New Roman"/>
          <w:bCs/>
          <w:sz w:val="22"/>
          <w:szCs w:val="22"/>
        </w:rPr>
        <w:t>Possuir rotina que permita relacionar os espelhos de ponto dos funcionários como anexos, por meio de digitalização ou upload de arquivos.</w:t>
      </w:r>
    </w:p>
    <w:p w14:paraId="0C7A62A4"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36.</w:t>
      </w:r>
      <w:r w:rsidRPr="00680B5B">
        <w:rPr>
          <w:rFonts w:ascii="Times New Roman" w:hAnsi="Times New Roman" w:cs="Times New Roman"/>
          <w:bCs/>
          <w:sz w:val="22"/>
          <w:szCs w:val="22"/>
        </w:rPr>
        <w:t>Permitir configurar a diferenciação das faltas ocorridas dos atrasos/saídas antecipadas pela quantidade de minutos ou percentual, de modo que sejam efetuados lançamentos no ponto do funcionário com motivos diferentes conforme o caso.</w:t>
      </w:r>
    </w:p>
    <w:p w14:paraId="4E26EE64"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37.</w:t>
      </w:r>
      <w:r w:rsidRPr="00680B5B">
        <w:rPr>
          <w:rFonts w:ascii="Times New Roman" w:hAnsi="Times New Roman" w:cs="Times New Roman"/>
          <w:bCs/>
          <w:sz w:val="22"/>
          <w:szCs w:val="22"/>
        </w:rPr>
        <w:t>Permitir configurar uma quantidade de horas adicionais sem direito a hora extra (como por exemplo, para quando há determinação temporária de turno único), de modo que sejam efetuados lançamentos no ponto do funcionário com motivos diferentes conforme o caso.</w:t>
      </w:r>
    </w:p>
    <w:p w14:paraId="469450BD"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38.</w:t>
      </w:r>
      <w:r w:rsidRPr="00680B5B">
        <w:rPr>
          <w:rFonts w:ascii="Times New Roman" w:hAnsi="Times New Roman" w:cs="Times New Roman"/>
          <w:bCs/>
          <w:sz w:val="22"/>
          <w:szCs w:val="22"/>
        </w:rPr>
        <w:t>Permitir configurar uma quantidade mínima de horas intrajornada por horário, de modo que não serão geradas horas extras no intervalo quando não completar o mínimo estabelecido, devem ser efetuados lançamentos no ponto do funcionário com motivos diferentes conforme o caso.</w:t>
      </w:r>
    </w:p>
    <w:p w14:paraId="42EA3767"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39.</w:t>
      </w:r>
      <w:r w:rsidRPr="00680B5B">
        <w:rPr>
          <w:rFonts w:ascii="Times New Roman" w:hAnsi="Times New Roman" w:cs="Times New Roman"/>
          <w:bCs/>
          <w:sz w:val="22"/>
          <w:szCs w:val="22"/>
        </w:rPr>
        <w:t>Possuir serviço no portal para que o funcionário possa solicitar ajustes no seu ponto, devendo dispor no mínimo de opções para: incluir um registro de ponto informando hora, motivo, justificativa e anexos, e incluir um lançamento de ponto (abono) informando quantidade de horas, motivo, justificativa e anexos.</w:t>
      </w:r>
    </w:p>
    <w:p w14:paraId="2E5C54F8"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bCs/>
          <w:sz w:val="22"/>
          <w:szCs w:val="22"/>
        </w:rPr>
        <w:t>40.</w:t>
      </w:r>
      <w:r w:rsidRPr="00680B5B">
        <w:rPr>
          <w:rFonts w:ascii="Times New Roman" w:hAnsi="Times New Roman" w:cs="Times New Roman"/>
          <w:bCs/>
          <w:sz w:val="22"/>
          <w:szCs w:val="22"/>
        </w:rPr>
        <w:t>P</w:t>
      </w:r>
      <w:r w:rsidRPr="00680B5B">
        <w:rPr>
          <w:rFonts w:ascii="Times New Roman" w:hAnsi="Times New Roman" w:cs="Times New Roman"/>
          <w:bCs/>
          <w:sz w:val="22"/>
          <w:szCs w:val="22"/>
          <w:highlight w:val="white"/>
        </w:rPr>
        <w:t>ossuir rotina que permita análise e deferimento/indeferimento das solicitações de ajustes de ponto efetuadas pelos funcionários</w:t>
      </w:r>
      <w:r w:rsidRPr="00680B5B">
        <w:rPr>
          <w:rFonts w:ascii="Times New Roman" w:hAnsi="Times New Roman" w:cs="Times New Roman"/>
          <w:bCs/>
          <w:sz w:val="22"/>
          <w:szCs w:val="22"/>
        </w:rPr>
        <w:t>, sendo que somente a partir do deferimento o respectivo ajuste ficará disponível para processamento no cálculo do ponto</w:t>
      </w:r>
    </w:p>
    <w:p w14:paraId="27346CD0" w14:textId="77777777" w:rsidR="00B307DB" w:rsidRPr="00680B5B" w:rsidRDefault="00B307DB" w:rsidP="00B307DB">
      <w:pPr>
        <w:pStyle w:val="Corpodetexto31"/>
        <w:tabs>
          <w:tab w:val="left" w:pos="3448"/>
        </w:tabs>
        <w:ind w:right="-568"/>
        <w:rPr>
          <w:rFonts w:ascii="Times New Roman" w:hAnsi="Times New Roman" w:cs="Times New Roman"/>
          <w:bCs/>
          <w:sz w:val="22"/>
          <w:szCs w:val="22"/>
        </w:rPr>
      </w:pPr>
    </w:p>
    <w:p w14:paraId="213F1C50"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2.7 MÓDULO: GESTÃO DE COMPRAS, LICITAÇÕES E CONTRATOS</w:t>
      </w:r>
    </w:p>
    <w:p w14:paraId="0D2DFE1C" w14:textId="77777777" w:rsidR="00B307DB" w:rsidRPr="00680B5B" w:rsidRDefault="00B307DB" w:rsidP="00F60DF5">
      <w:pPr>
        <w:pStyle w:val="Corpodetexto31"/>
        <w:numPr>
          <w:ilvl w:val="0"/>
          <w:numId w:val="310"/>
        </w:numPr>
        <w:ind w:right="-568"/>
        <w:rPr>
          <w:rFonts w:ascii="Times New Roman" w:hAnsi="Times New Roman" w:cs="Times New Roman"/>
          <w:sz w:val="22"/>
          <w:szCs w:val="22"/>
        </w:rPr>
      </w:pPr>
      <w:r w:rsidRPr="00680B5B">
        <w:rPr>
          <w:rFonts w:ascii="Times New Roman" w:eastAsia="Times New Roman" w:hAnsi="Times New Roman" w:cs="Times New Roman"/>
          <w:sz w:val="22"/>
          <w:szCs w:val="22"/>
        </w:rPr>
        <w:t>Possuir</w:t>
      </w:r>
      <w:r w:rsidRPr="00680B5B">
        <w:rPr>
          <w:rFonts w:ascii="Times New Roman" w:eastAsia="Times New Roman" w:hAnsi="Times New Roman" w:cs="Times New Roman"/>
          <w:spacing w:val="-3"/>
          <w:sz w:val="22"/>
          <w:szCs w:val="22"/>
        </w:rPr>
        <w:t xml:space="preserve"> </w:t>
      </w:r>
      <w:r w:rsidRPr="00680B5B">
        <w:rPr>
          <w:rFonts w:ascii="Times New Roman" w:eastAsia="Times New Roman" w:hAnsi="Times New Roman" w:cs="Times New Roman"/>
          <w:sz w:val="22"/>
          <w:szCs w:val="22"/>
        </w:rPr>
        <w:t>plena</w:t>
      </w:r>
      <w:r w:rsidRPr="00680B5B">
        <w:rPr>
          <w:rFonts w:ascii="Times New Roman" w:eastAsia="Times New Roman" w:hAnsi="Times New Roman" w:cs="Times New Roman"/>
          <w:spacing w:val="-3"/>
          <w:sz w:val="22"/>
          <w:szCs w:val="22"/>
        </w:rPr>
        <w:t xml:space="preserve"> </w:t>
      </w:r>
      <w:r w:rsidRPr="00680B5B">
        <w:rPr>
          <w:rFonts w:ascii="Times New Roman" w:eastAsia="Times New Roman" w:hAnsi="Times New Roman" w:cs="Times New Roman"/>
          <w:sz w:val="22"/>
          <w:szCs w:val="22"/>
        </w:rPr>
        <w:t>conformidade</w:t>
      </w:r>
      <w:r w:rsidRPr="00680B5B">
        <w:rPr>
          <w:rFonts w:ascii="Times New Roman" w:eastAsia="Times New Roman" w:hAnsi="Times New Roman" w:cs="Times New Roman"/>
          <w:spacing w:val="-3"/>
          <w:sz w:val="22"/>
          <w:szCs w:val="22"/>
        </w:rPr>
        <w:t xml:space="preserve"> </w:t>
      </w:r>
      <w:r w:rsidRPr="00680B5B">
        <w:rPr>
          <w:rFonts w:ascii="Times New Roman" w:eastAsia="Times New Roman" w:hAnsi="Times New Roman" w:cs="Times New Roman"/>
          <w:sz w:val="22"/>
          <w:szCs w:val="22"/>
        </w:rPr>
        <w:t>com</w:t>
      </w:r>
      <w:r w:rsidRPr="00680B5B">
        <w:rPr>
          <w:rFonts w:ascii="Times New Roman" w:eastAsia="Times New Roman" w:hAnsi="Times New Roman" w:cs="Times New Roman"/>
          <w:spacing w:val="-2"/>
          <w:sz w:val="22"/>
          <w:szCs w:val="22"/>
        </w:rPr>
        <w:t xml:space="preserve"> </w:t>
      </w:r>
      <w:r w:rsidRPr="00680B5B">
        <w:rPr>
          <w:rFonts w:ascii="Times New Roman" w:eastAsia="Times New Roman" w:hAnsi="Times New Roman" w:cs="Times New Roman"/>
          <w:sz w:val="22"/>
          <w:szCs w:val="22"/>
        </w:rPr>
        <w:t>a</w:t>
      </w:r>
      <w:r w:rsidRPr="00680B5B">
        <w:rPr>
          <w:rFonts w:ascii="Times New Roman" w:eastAsia="Times New Roman" w:hAnsi="Times New Roman" w:cs="Times New Roman"/>
          <w:spacing w:val="-5"/>
          <w:sz w:val="22"/>
          <w:szCs w:val="22"/>
        </w:rPr>
        <w:t xml:space="preserve"> </w:t>
      </w:r>
      <w:r w:rsidRPr="00680B5B">
        <w:rPr>
          <w:rFonts w:ascii="Times New Roman" w:eastAsia="Times New Roman" w:hAnsi="Times New Roman" w:cs="Times New Roman"/>
          <w:sz w:val="22"/>
          <w:szCs w:val="22"/>
        </w:rPr>
        <w:t>nova</w:t>
      </w:r>
      <w:r w:rsidRPr="00680B5B">
        <w:rPr>
          <w:rFonts w:ascii="Times New Roman" w:eastAsia="Times New Roman" w:hAnsi="Times New Roman" w:cs="Times New Roman"/>
          <w:spacing w:val="-5"/>
          <w:sz w:val="22"/>
          <w:szCs w:val="22"/>
        </w:rPr>
        <w:t xml:space="preserve"> </w:t>
      </w:r>
      <w:r w:rsidRPr="00680B5B">
        <w:rPr>
          <w:rFonts w:ascii="Times New Roman" w:eastAsia="Times New Roman" w:hAnsi="Times New Roman" w:cs="Times New Roman"/>
          <w:sz w:val="22"/>
          <w:szCs w:val="22"/>
        </w:rPr>
        <w:t>Lei</w:t>
      </w:r>
      <w:r w:rsidRPr="00680B5B">
        <w:rPr>
          <w:rFonts w:ascii="Times New Roman" w:eastAsia="Times New Roman" w:hAnsi="Times New Roman" w:cs="Times New Roman"/>
          <w:spacing w:val="-2"/>
          <w:sz w:val="22"/>
          <w:szCs w:val="22"/>
        </w:rPr>
        <w:t xml:space="preserve"> </w:t>
      </w:r>
      <w:r w:rsidRPr="00680B5B">
        <w:rPr>
          <w:rFonts w:ascii="Times New Roman" w:eastAsia="Times New Roman" w:hAnsi="Times New Roman" w:cs="Times New Roman"/>
          <w:sz w:val="22"/>
          <w:szCs w:val="22"/>
        </w:rPr>
        <w:t>de</w:t>
      </w:r>
      <w:r w:rsidRPr="00680B5B">
        <w:rPr>
          <w:rFonts w:ascii="Times New Roman" w:eastAsia="Times New Roman" w:hAnsi="Times New Roman" w:cs="Times New Roman"/>
          <w:spacing w:val="-5"/>
          <w:sz w:val="22"/>
          <w:szCs w:val="22"/>
        </w:rPr>
        <w:t xml:space="preserve"> </w:t>
      </w:r>
      <w:r w:rsidRPr="00680B5B">
        <w:rPr>
          <w:rFonts w:ascii="Times New Roman" w:eastAsia="Times New Roman" w:hAnsi="Times New Roman" w:cs="Times New Roman"/>
          <w:sz w:val="22"/>
          <w:szCs w:val="22"/>
        </w:rPr>
        <w:t>Licitações</w:t>
      </w:r>
      <w:r w:rsidRPr="00680B5B">
        <w:rPr>
          <w:rFonts w:ascii="Times New Roman" w:eastAsia="Times New Roman" w:hAnsi="Times New Roman" w:cs="Times New Roman"/>
          <w:spacing w:val="-2"/>
          <w:sz w:val="22"/>
          <w:szCs w:val="22"/>
        </w:rPr>
        <w:t xml:space="preserve"> </w:t>
      </w:r>
      <w:r w:rsidRPr="00680B5B">
        <w:rPr>
          <w:rFonts w:ascii="Times New Roman" w:eastAsia="Times New Roman" w:hAnsi="Times New Roman" w:cs="Times New Roman"/>
          <w:sz w:val="22"/>
          <w:szCs w:val="22"/>
        </w:rPr>
        <w:t>Lei</w:t>
      </w:r>
      <w:r w:rsidRPr="00680B5B">
        <w:rPr>
          <w:rFonts w:ascii="Times New Roman" w:eastAsia="Times New Roman" w:hAnsi="Times New Roman" w:cs="Times New Roman"/>
          <w:spacing w:val="-2"/>
          <w:sz w:val="22"/>
          <w:szCs w:val="22"/>
        </w:rPr>
        <w:t xml:space="preserve"> 14.133/2021</w:t>
      </w:r>
    </w:p>
    <w:p w14:paraId="387A31DE"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no cadastro de materiais, contendo um campo para a descrição sucinta e detalhada sem limitação de caracteres, possibilitando organizar os materiais informando a que grupo, classe ou subclasse o material pertence, bem como relacionar uma ou mais unidades de medida;</w:t>
      </w:r>
    </w:p>
    <w:p w14:paraId="42D7E63E"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identificação de materiais/produtos conforme especificações de classificação, exemplo: Consumo / Permanente / Serviços / Obras, de Categoria, exemplo: Perecível / Não perecível / Estocável / Combustível;</w:t>
      </w:r>
    </w:p>
    <w:p w14:paraId="6FA8B52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que o usuário possa configurar no cadastro de produtos campos cadastrais de sua escolha desde campos numéricos, textos ou listagem pré-definida;</w:t>
      </w:r>
    </w:p>
    <w:p w14:paraId="3639C6AC"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relacionamento do produto com marcas pré aprovadas;</w:t>
      </w:r>
    </w:p>
    <w:p w14:paraId="61878EEC"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Possibilitar o relacionamento do produto com seu CATMAT (Catálogo de Materiais do Governo </w:t>
      </w:r>
      <w:r w:rsidRPr="00680B5B">
        <w:rPr>
          <w:rFonts w:ascii="Times New Roman" w:hAnsi="Times New Roman" w:cs="Times New Roman"/>
          <w:bCs/>
          <w:sz w:val="22"/>
          <w:szCs w:val="22"/>
        </w:rPr>
        <w:lastRenderedPageBreak/>
        <w:t>Federal);</w:t>
      </w:r>
    </w:p>
    <w:p w14:paraId="2882D6CB"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anexar imagens de referência para os produtos;</w:t>
      </w:r>
    </w:p>
    <w:p w14:paraId="3E76E22B"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desabilitação de cadastros de produtos obsoletos, de forma a evitar seu uso indevido, porém mantendo todo seu histórico de movimentações;</w:t>
      </w:r>
    </w:p>
    <w:p w14:paraId="71CF5CD7"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relacionamento com produtos e elementos de despesas, impedindo que determinado produto seja comprado com elemento errado ou não relacionado;</w:t>
      </w:r>
    </w:p>
    <w:p w14:paraId="3B29A06A"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através da consulta do material, pesquisar o histórico completo de aquisições, podendo consultar dados como as ordens de compras, fornecedor e valor unitário;</w:t>
      </w:r>
    </w:p>
    <w:p w14:paraId="46FBC32C"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cadastro de rol de itens, criando previamente listas de produtos que poderão ser utilizadas nas demais rotinas do sistema;</w:t>
      </w:r>
    </w:p>
    <w:p w14:paraId="437B3F75"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solicitação de cadastro de produto, disparando a notificação via sistema e/ou por e-mail automaticamente ao setor responsável, após a aprovação o sistema deverá enviar notificação ao solicitante que o produto foi cadastrado e o código utilizado, em caso de reprovação deverá ser enviado notificação para o solicitante com o motivo da rejeição do cadastro do produto;</w:t>
      </w:r>
    </w:p>
    <w:p w14:paraId="6A3E487D"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cadastramento de comissões de licitação: permanente, especial, pregoeiros, leiloeiros e cadastro de fornecedor, informando a portarias ou decreto que as designaram, permitindo informar também os seus membros, atribuições designadas e natureza do cargo;</w:t>
      </w:r>
    </w:p>
    <w:p w14:paraId="726FCD35"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os processos licitatórios, identificando número e ano do processo, objeto, modalidades de licitação e data do processo, bem como dados de requisições de compra, planilhas de preços, procurando, assim, cumprir com o ordenamento determinado no parágrafo único do artigo 4.º da Lei de Licitações e Contratos, que impõe a obrigatoriedade na formalização dos atos administrativos. No caso de dispensa e inexigibilidade possuir relacionamento com o inciso da lei correspondente com o fundamento legal;</w:t>
      </w:r>
    </w:p>
    <w:p w14:paraId="46205660"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Sugerir o número da licitação sequencial por modalidade ou sequencial anual;</w:t>
      </w:r>
    </w:p>
    <w:p w14:paraId="619E7EE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digitação do processo licitatório sem modalidade no sistema podendo escolher a modalidade posteriormente após emissão do parecer jurídico;</w:t>
      </w:r>
    </w:p>
    <w:p w14:paraId="187788EA"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Disponibilizar ao usuário o gerenciamento dos processos através de fluxograma (conhecidos como Workflow), onde todas as decisões deverão estar de acordo com as exigências legais. Nesse fluxo deverá ser possível iniciar, julgar e concluir qualquer tipo de processo licitatório ou dispensável, sem a necessidade de abertura de novos módulos dentro do mesmo sistema. Deve acompanhar em tempo real o andamento do processo, habilitando a próxima etapa após a conclusão da etapa anterior. Essa liberação de etapas deverá ser de fácil visualização, utilização e localização por parte do usuário dentro do sistema. A visualização deverá ser identificada por cores específicas para cada etapa do processo. O Workflow poderá apresentar as possíveis decisões, mostrando o caminho a ser seguido de acordo com a escolha realizada. Em cada fase do Workflow deverá constar um tópico de ajuda, para auxílio e orientação no caso de dúvidas do seu utilizador. Bem como disponibilizar para acompanhamento;</w:t>
      </w:r>
    </w:p>
    <w:p w14:paraId="3CCC2B6F"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anexo de documentos ao cadastro da minuta do edital;</w:t>
      </w:r>
    </w:p>
    <w:p w14:paraId="7FAB2487"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visualização de todos os documentos e anexos da minuta em um único lugar, agrupados por classificação;</w:t>
      </w:r>
    </w:p>
    <w:p w14:paraId="63A53BC3"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 acordo com as etapas do processo de licitação, possibilitar a emissão de documentos como editais, atas de sessões de licitação, aviso de licitação, termo de homologação e adjudicação, parecer contábil, jurídico e relatório de pro</w:t>
      </w:r>
      <w:r w:rsidRPr="00680B5B">
        <w:rPr>
          <w:rFonts w:ascii="Times New Roman" w:hAnsi="Times New Roman" w:cs="Times New Roman"/>
          <w:bCs/>
          <w:sz w:val="22"/>
          <w:szCs w:val="22"/>
          <w:highlight w:val="white"/>
        </w:rPr>
        <w:t>postas e/ou lances. Bem como armazenar esses documentos em banco de dados, possibilitando também o envio de documentos adicionais em substituição ao original emitido;</w:t>
      </w:r>
    </w:p>
    <w:p w14:paraId="54F2974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Permitir o registro do parecer contábil, no processo de licitação, bem como sua impressão;</w:t>
      </w:r>
    </w:p>
    <w:p w14:paraId="79A19CA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Permitir o registro do parecer jurídico e/ou técnico, no processo de licitação;</w:t>
      </w:r>
    </w:p>
    <w:p w14:paraId="4802F500"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Registrar a interposição de recurso ou impugnação do processo de licitação, bem como o seu julgamento, com texto referente ao parecer da comissão e/ou jurídico;</w:t>
      </w:r>
    </w:p>
    <w:p w14:paraId="347DEE7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anulação e/ou revogação do processo de licitação, possibilitando o registro total ou parcial pela quantidade ou valor;</w:t>
      </w:r>
    </w:p>
    <w:p w14:paraId="5E3259E4"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classificação das propostas do pregão presencial conforme critérios de classificação determinados pela Lei Federal no 10.520/2002;</w:t>
      </w:r>
    </w:p>
    <w:p w14:paraId="4CAF7A0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Para as Licitações na modalidade de Pregão Presencial possibilitar a visualização dos lances na tela, de forma prática e ágil, permitir efetuar lances por lote ou item, com opção de desistência/declínio do lance. Permitir que o pregoeiro estipule o valor do lance mínimo durante o cadastro dos itens do pregão ou durante a rodada de lances. Bem como possibilitar que o pregoeiro estipule tempo limite para cada rodada de lance por meio de cronometro;</w:t>
      </w:r>
    </w:p>
    <w:p w14:paraId="02E98EEE"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rotina de negociação do preço, com o fornecedor vencedor ao final da rodada de lances de </w:t>
      </w:r>
      <w:r w:rsidRPr="00680B5B">
        <w:rPr>
          <w:rFonts w:ascii="Times New Roman" w:hAnsi="Times New Roman" w:cs="Times New Roman"/>
          <w:bCs/>
          <w:sz w:val="22"/>
          <w:szCs w:val="22"/>
        </w:rPr>
        <w:lastRenderedPageBreak/>
        <w:t>cada item;</w:t>
      </w:r>
    </w:p>
    <w:p w14:paraId="551CE3E7"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julgamento das propostas em relação a microempresa, empresa de pequeno porte e empresa de médio porte de acordo com os critérios da Lei Complementar 123/2006;</w:t>
      </w:r>
    </w:p>
    <w:p w14:paraId="505FEB8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que possibilite cadastrar os documentos dos fornecedores participantes da licitação;</w:t>
      </w:r>
    </w:p>
    <w:p w14:paraId="0ADBD6B7"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o cadastro das propostas dos participantes, com indicação de valor unitário, valor total. Bem como permitir consultar por fornecedor os quadros comparativos de preços, identificando os vencedores;</w:t>
      </w:r>
    </w:p>
    <w:p w14:paraId="2EC8EC3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da desclassificação do participante, indicando a data e o motivo da desclassificação;</w:t>
      </w:r>
    </w:p>
    <w:p w14:paraId="6D19F91A"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da inabilitação do participante, indicando a data e o motivo da inabilitação. E, nos casos de pregão presencial, caso o vencedor do item seja inabilitado permitir que o pregoeiro já identifique o remanescente e, possibilite selecioná-lo para negociação e indicação de novo vencedor;</w:t>
      </w:r>
    </w:p>
    <w:p w14:paraId="18764A77"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na consulta do processo visualizar dados do processo, como lances (nos casos de pregão presencial), requisição(ões) ao compras, vencedor(es), propostas, itens do processo, participantes, dotações utilizadas, ordens de compras emitidas e, dados sobre a homologação e adjudicação do processo;</w:t>
      </w:r>
    </w:p>
    <w:p w14:paraId="0D137FFD"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gerenciamento de processos de licitações “multientidade”. Onde a Licitação ocorre por uma entidade principal, onde será realizado todo o gerenciamento, desde o seu cadastro até contrato e ordens de compra. E, exista a indicação das entidades participantes, permitindo a geração de contratos individuais por entidade, bem como suas ordens de compras;</w:t>
      </w:r>
    </w:p>
    <w:p w14:paraId="4021CEB3"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fluxo diferenciado para licitações de publicidade possibilitando o cadastro das sessões de abertura de envelopes não identificados e cadastro e julgamento das propostas técnicas, de acordo com a Lei 12.232/10;</w:t>
      </w:r>
    </w:p>
    <w:p w14:paraId="6C036EEF"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cadastrar no sistema a pontuação e índices para os itens das licitações com julgamento por preço e técnica, possibilitando a classificação automática do vencedor de acordo com a pontuação efetuada na soma dos critérios de pontuação;</w:t>
      </w:r>
    </w:p>
    <w:p w14:paraId="5AC3B2B8"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relacionar a comissão de licitação ao processo de licitação, bem como selecionar os membros da comissão que irão realizar o julgamento da licitação;</w:t>
      </w:r>
    </w:p>
    <w:p w14:paraId="20AC2C44"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das publicações das licitações, com indicação da data da publicação e o veículo de publicação;</w:t>
      </w:r>
    </w:p>
    <w:p w14:paraId="082AE401"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realizar a indicação do recurso orçamentário a ser utilizado no processo de licitação, bem como sua respectiva reserva orçamentária. Assim como a cada compra efetuada deverá ser liberado o valor da reserva de acordo com a compra realizada;</w:t>
      </w:r>
    </w:p>
    <w:p w14:paraId="7079AFC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Nos casos de licitações de Registro de Preço, permitir o cadastro dos registros referente a ata de registro de preço, bem como controlar os respectivos registros e, possibilitar a alteração de quantidades, preço e fornecedores, quando necessário;</w:t>
      </w:r>
    </w:p>
    <w:p w14:paraId="07599F6B"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registrar os fiscais/gestores das atas de registro de preço, atribuindo sua função e vigência de gestão;</w:t>
      </w:r>
    </w:p>
    <w:p w14:paraId="144586D8"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integração com o sistema de contabilidade, onde deverá gerar lançamentos referente a reserva de dotação orçamentária no sistema de gestão orçamentária, bloqueando o valor da despesa previsto no processo licitatório ou compra dispensável. Deve também efetuar o desbloqueio automático dos valores reservados e não utilizados após a finalização do processo ou da compra;</w:t>
      </w:r>
    </w:p>
    <w:p w14:paraId="4A52BE1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realizar duplicidade/cópia de processos de licitação já realizados pela entidade, de forma a evitar a realizar o cadastro novamente de dados de processos similares;</w:t>
      </w:r>
    </w:p>
    <w:p w14:paraId="63529BD1"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nos processos que possuem a característica de credenciamento/chamamento a definição de cotas, em licitações do tipo inexigibilidade ou dispensa de licitação;</w:t>
      </w:r>
    </w:p>
    <w:p w14:paraId="7330949D"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disponibilidade de publicação de dados e documentos do processo de licitação na internet, podendo escolher o que deseja ser disponibilizado: Itens, Certidões, Documentos Exigidos, Quadro Comparativo Preços, Vencedores, Contratos, Ordem de Compra, Edital, Anexos, Pareceres, impugnação, Ata de Abertura de Envelope de Documento, Ata de Abertura Envelope de Proposta, Ata do Pregão, Ata de Registro de Preço, Termo de Homologação, Termo de Adjudicação e contratos;</w:t>
      </w:r>
    </w:p>
    <w:p w14:paraId="29C2364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realização de pesquisa preço/planilha de preço para estimativa de valores para novas aquisições;</w:t>
      </w:r>
    </w:p>
    <w:p w14:paraId="1AA8591F"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A partir da pesquisa de preço/planilha de preço, tendo como critério de escolha para base o preço médio, maior preço ou menor preço cotado para o item na coleta de preços, permitir gerar um processo administrativo ou permitir a emissão de ordem de compra, com base no menor preço cotado;</w:t>
      </w:r>
    </w:p>
    <w:p w14:paraId="476FB741"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Possuir rotina para cotação de planilhas de preços on-line, possibilitando os fornecedores digitarem os preços praticados, permitindo fazer o cálculo dos preços médios, mínimos e máximos automaticamente, possibilitando importação desta planilha nos processos licitatórios a fins do cálculo da cotação máxima dos itens a serem licitados;</w:t>
      </w:r>
    </w:p>
    <w:p w14:paraId="23D60CE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integração com o processo digital/protocolo criando automaticamente um processo a partir da digitação de uma requisição e/ou solicitação de compras, podendo acompanhar a movimentação do processo entre os setores da entidade;</w:t>
      </w:r>
    </w:p>
    <w:p w14:paraId="65BA0761"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Gerar de forma automática o compartilhamento dos anexos entre o processo licitatório e o processo digital/protocolo, de forma que possa ser visualizado todos os documentos em um único lugar;</w:t>
      </w:r>
    </w:p>
    <w:p w14:paraId="2CBA120B"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solicitação de compra dos itens homologados da licitação;</w:t>
      </w:r>
    </w:p>
    <w:p w14:paraId="795308DC"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controle das solicitações de compra autorizadas, pendentes e anuladas;</w:t>
      </w:r>
    </w:p>
    <w:p w14:paraId="0187CA1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autorização das solicitações de compras;</w:t>
      </w:r>
    </w:p>
    <w:p w14:paraId="5160E365"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as solicitações de compra por centro de custo, não permitindo que outros usuários acessem ou cadastrem solicitações não pertencentes ao seu centro de custo;</w:t>
      </w:r>
    </w:p>
    <w:p w14:paraId="0D006A05"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avisar através de notificações ou por e-mail sempre que for cadastrada uma nova solicitação de compras, afins de agilizar o processo de compra;</w:t>
      </w:r>
    </w:p>
    <w:p w14:paraId="63EFF5F7"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requisições ao Compras, onde poderá ser realizada uma ordem de compra ou um processo de licitação para esta requisição, onde poderá informar os itens, bem como recursos orçamentários;</w:t>
      </w:r>
    </w:p>
    <w:p w14:paraId="07BBEEC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autorização da requisição ao Compras, onde permita realizar a reserva dos recursos orçamentários da requisição e compras sejam efetuados somente no momento de sua autorização;</w:t>
      </w:r>
    </w:p>
    <w:p w14:paraId="4FC33CC7"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 de licitações informando todos os dados do processo, desde a abertura até a conclusão;</w:t>
      </w:r>
    </w:p>
    <w:p w14:paraId="0FFF6FE5"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gerar a relação mensal de todas as compras feitas, para envio ao TCU, exigida no inciso VI, do Art. 1o da Lei 9755/98;</w:t>
      </w:r>
    </w:p>
    <w:p w14:paraId="55745040"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o cadastro de propostas dos pregões presenciais apenas no valor do lote, sem a necessidade do preenchimento dos subitens do lote, possibilitando o fornecedor vencedor fazer a readequação dos valores dos subitens on-line nas suas dependências. Agilizando, com isso, o cadastro das propostas e início dos lances e posteriormente digitação da readequação pelos usuários;</w:t>
      </w:r>
    </w:p>
    <w:p w14:paraId="6A377998"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escolha dos assinantes de todos os documentos emitidos no sistema, possibilitando escolher os formatos de geração (pdf, html, doc e xls), quantidades de cópias e assinatura eletrônica;</w:t>
      </w:r>
    </w:p>
    <w:p w14:paraId="6D40ADF5"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integração através de web servisse com o sistema de gerenciamento de pregões eletrônicos Compras Públicas, para que seja possível importar os dados (lances, participantes, documentos e atas), automaticamente através de agendamento não necessitando a digitação e nem importação manual de arquivos;</w:t>
      </w:r>
    </w:p>
    <w:p w14:paraId="655E85DD"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exportar os arquivos para a prestação de contas, dos dados referentes a licitações, de acordo com as regras e sistema vigente;</w:t>
      </w:r>
    </w:p>
    <w:p w14:paraId="764264D8"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a situação do processo de licitação, se ela está aberta, anulada (total ou parcial), homologada (parcial ou total), deserta, fracassada, descartada, aguardando julgamento, concluída, suspensa ou revogada. Abrange as seguintes modalidades: Pregão presencial, Registro de preços, Concurso, Leilão, Dispensa, Inexigibilidade, Convite, Tomada de Preços e Concorrência Pública;</w:t>
      </w:r>
    </w:p>
    <w:p w14:paraId="6C23B27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Gerenciar os controles necessários para Registro de Preços, de acordo com art. 40 da Lei 14.133/2021;</w:t>
      </w:r>
    </w:p>
    <w:p w14:paraId="3081A28C"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e emitir solicitações ao compras de compra e serviços para o registro de preço, facilitando assim o controle de entrega das mercadorias licitadas;</w:t>
      </w:r>
    </w:p>
    <w:p w14:paraId="7845945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Criar modelos de edital padrão para o uso do sistema sem ter que criar vários modelos para licitações diferentes;</w:t>
      </w:r>
    </w:p>
    <w:p w14:paraId="2058083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preenchimento online da proposta comercial, sem a necessidade de exportação e importação de arquivos, possibilitando o preenchimento da proposta comercial pelo próprio fornecedor em suas dependências, os dados devem ficar criptografados na base de dados sendo necessária senha para descriptografar e importar as propostas ao sistema, sem necessidade de redigitação;</w:t>
      </w:r>
    </w:p>
    <w:p w14:paraId="6C40450D"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cadastro de plano anual de licitações, onde os planos serão compostos por intenções de licitação;</w:t>
      </w:r>
    </w:p>
    <w:p w14:paraId="78A5F576"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Cada intenção deverá conter uma descrição do objeto a ser licitado, o centro de custo responsável, se a mesma será compartilhada com outros centros de custos e se será possível a inclusão de novos itens;</w:t>
      </w:r>
    </w:p>
    <w:p w14:paraId="11C6A5E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Possuir rotina de adesão a intenção de licitação, onde as demais secretarias podem aderir a participação da intenção;</w:t>
      </w:r>
    </w:p>
    <w:p w14:paraId="0CD685E1"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para definição dos itens da intenção de licitação, podendo informar o produto e sua unidade de medida, de forma que as secretarias que aderirem a intenção, irão informar o quantitativo do item desejado;</w:t>
      </w:r>
    </w:p>
    <w:p w14:paraId="1CDAB3C0"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gerar planilha de preço através dos itens da intenção, de forma a gerar o processo licitatório posteriormente;</w:t>
      </w:r>
    </w:p>
    <w:p w14:paraId="0D2E8A45"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gerar os itens da intenção de licitação através da importação de rol de itens;</w:t>
      </w:r>
    </w:p>
    <w:p w14:paraId="4D7B316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cadastro dos contratos de licitações, bem como o seu gerenciamento, como publicações, seus aditivos e reajustes, permitindo também gerenciar o período de vigência dos contratos;</w:t>
      </w:r>
    </w:p>
    <w:p w14:paraId="0A2379C4"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alerta de término de vigência de contratos;</w:t>
      </w:r>
    </w:p>
    <w:p w14:paraId="0E0307E8"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executar a liberação da diferença reservada entre o valor vencido pelo fornecedor e o valor total estimado, no momento da adjudicação do processo de licitação, disponibilizando assim essa diferença de saldo para outras compras, não necessitando aguardar comprar todo o processo para que seja executada essa liberação da diferença;</w:t>
      </w:r>
    </w:p>
    <w:p w14:paraId="25530F7F"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a rescisão do contrato, informando: motivo, data da rescisão;</w:t>
      </w:r>
    </w:p>
    <w:p w14:paraId="7E864829"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identificação dos contratos aditivos do tipo acréscimo, diminuição, equilíbrio, rescisão ou outros, </w:t>
      </w:r>
      <w:r w:rsidRPr="00680B5B">
        <w:rPr>
          <w:rFonts w:ascii="Times New Roman" w:hAnsi="Times New Roman" w:cs="Times New Roman"/>
          <w:bCs/>
          <w:sz w:val="22"/>
          <w:szCs w:val="22"/>
          <w:highlight w:val="white"/>
        </w:rPr>
        <w:t>e ainda, possibilitar a visualização do tipo de alteração (bilateral ou unilateral);</w:t>
      </w:r>
    </w:p>
    <w:p w14:paraId="008B429C"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eastAsia="Times New Roman" w:hAnsi="Times New Roman" w:cs="Times New Roman"/>
          <w:bCs/>
          <w:sz w:val="22"/>
          <w:szCs w:val="22"/>
          <w:highlight w:val="white"/>
        </w:rPr>
        <w:t>R</w:t>
      </w:r>
      <w:r w:rsidRPr="00680B5B">
        <w:rPr>
          <w:rFonts w:ascii="Times New Roman" w:eastAsia="Times New Roman" w:hAnsi="Times New Roman" w:cs="Times New Roman"/>
          <w:sz w:val="22"/>
          <w:szCs w:val="22"/>
          <w:highlight w:val="white"/>
        </w:rPr>
        <w:t>egistrar os aditivos ou supressões contratuais, realizando o bloqueio caso ultrapasse os limites de</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acréscimos ou supressões</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permitidas</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em</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Lei</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(Art. 124 da</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Lei</w:t>
      </w:r>
      <w:r w:rsidRPr="00680B5B">
        <w:rPr>
          <w:rFonts w:ascii="Times New Roman" w:eastAsia="Times New Roman" w:hAnsi="Times New Roman" w:cs="Times New Roman"/>
          <w:spacing w:val="-1"/>
          <w:sz w:val="22"/>
          <w:szCs w:val="22"/>
          <w:highlight w:val="white"/>
        </w:rPr>
        <w:t xml:space="preserve"> </w:t>
      </w:r>
      <w:r w:rsidRPr="00680B5B">
        <w:rPr>
          <w:rFonts w:ascii="Times New Roman" w:eastAsia="Times New Roman" w:hAnsi="Times New Roman" w:cs="Times New Roman"/>
          <w:sz w:val="22"/>
          <w:szCs w:val="22"/>
          <w:highlight w:val="white"/>
        </w:rPr>
        <w:t>14.133/2021), deduzidos acréscimos de atualização monetária (reajustes);</w:t>
      </w:r>
    </w:p>
    <w:p w14:paraId="79871BEE"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Registrar alteração contratual referente a equilíbrio econômico financeiro;</w:t>
      </w:r>
    </w:p>
    <w:p w14:paraId="4F4781AE"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Permitir registrar apostila ao contrato, para o registro da variação do valor contratual referente a reajuste de preços previstos no contrato, bem como atualizações financeiras, bem como alterações de dotações orçamentarias, de acordo com a Lei 14.133/2021;</w:t>
      </w:r>
    </w:p>
    <w:p w14:paraId="0546DE2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highlight w:val="white"/>
        </w:rPr>
        <w:t>Permitir a definição no contrato e aditivos de gestor/fiscais para fiscalizar a execução do contrato na sua íntegra;</w:t>
      </w:r>
    </w:p>
    <w:p w14:paraId="0AC483BD"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das publicações dos contratos;</w:t>
      </w:r>
    </w:p>
    <w:p w14:paraId="2FFEA4C8"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relatórios para controle de vencimento dos contratos, autorizações de fornecimento e termos aditivos de contratos;</w:t>
      </w:r>
    </w:p>
    <w:p w14:paraId="57044C3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registro de fornecedores, com emissão do Certificado de Registro Cadastral, controlando a sequência do certificado, visualizando os dados cadastrais, o objeto social e permitir a consulta das documentações;</w:t>
      </w:r>
    </w:p>
    <w:p w14:paraId="5AEBF533"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realização do julgamento do fornecedor, onde deverá validar se o fornecedor está em dia com a validade dos documentos obrigatórios definidos no cadastro de documentos, destacando as irregularidades no momento da emissão;</w:t>
      </w:r>
    </w:p>
    <w:p w14:paraId="292A99F8"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no cadastro de fornecedores a suspensão/impeditivos do direito de participar de licitações, controlando a data limite da reabilitação;</w:t>
      </w:r>
    </w:p>
    <w:p w14:paraId="62617CE8"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Controlar a validade dos documentos do fornecedor, com emissão de relatório por fornecedor contendo a relação dos documentos vencidos e a vencer;</w:t>
      </w:r>
    </w:p>
    <w:p w14:paraId="5101CADD"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dos documentos vencidos e a vencer do fornecedor;</w:t>
      </w:r>
    </w:p>
    <w:p w14:paraId="4CD0606B"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do responsável legal/sócios do fornecedor da empresa/fornecedor;</w:t>
      </w:r>
    </w:p>
    <w:p w14:paraId="710FC46E"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cadastro de índices contábeis, como: Ativo Circulante, Ativo Não circulante, Ativo Total, Patrimônio Líquido, Passivo Circulante e Passivo Não Circulante, Índice de Solvência e Capital Social da empresa/fornecedor;</w:t>
      </w:r>
    </w:p>
    <w:p w14:paraId="04EFAED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emissão de atestado de capacidade técnica para o fornecedor, emitindo documento com os produtos/serviços fornecidos para a entidade;</w:t>
      </w:r>
    </w:p>
    <w:p w14:paraId="7A124F54"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controle de validade de documentos do fornecedor durante a emissão de contratos e ordens de compra;</w:t>
      </w:r>
    </w:p>
    <w:p w14:paraId="2B7A4DB1"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relatórios gerenciais do fornecedor, mostrando registros referentes a ordens de compra, licitações, contratos no exercício, consolidado e por processo;</w:t>
      </w:r>
    </w:p>
    <w:p w14:paraId="0E0342AA"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emissão da ordem de compra ou serviços, ordinária, global ou estimativa, seja por meio de processo de licitação ou dispensável;</w:t>
      </w:r>
    </w:p>
    <w:p w14:paraId="2E21328D"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Ao emitir a ordem de compra, possibilitar informar dados referente a data de emissão e vencimento, fornecedor, finalidade, recurso orçamentário, para que essas informações sejam utilizadas na geração dos empenhos com suas parcelas;</w:t>
      </w:r>
    </w:p>
    <w:p w14:paraId="4A9D06F1"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Possibilitar o parcelamento de uma ordem de compra global e/ou estimativa, possibilitando empenhamento das parcelas através de subempenhos;</w:t>
      </w:r>
    </w:p>
    <w:p w14:paraId="05201C7A"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alteração de dados da ordem de compra, como Finalidade/Histórico, Dados de Entrega, Condições de Pagamento, caso não exista empenho na contabilidade;</w:t>
      </w:r>
    </w:p>
    <w:p w14:paraId="3BF12E64"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realização do estorno da ordem de compra, realizando o estorno dos itens. Caso a ordem de compra esteja empenhada, permitir através do estorno do empenho estornar os itens de uma ordem de compra automaticamente sem a necessidade de estornar manualmente a ordem de compra;</w:t>
      </w:r>
    </w:p>
    <w:p w14:paraId="2E8D8367"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informar dados referente retenção na ordem de compra;</w:t>
      </w:r>
    </w:p>
    <w:p w14:paraId="05F6CE6E"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registrar dado referente ao desconto, na ordem de compra;</w:t>
      </w:r>
    </w:p>
    <w:p w14:paraId="6859F46D"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identificação se os produtos da ordem de compra terão consumo imediato a fins de fazer os lançamentos contábeis de saída do estoque já no momento do empenhamento;</w:t>
      </w:r>
    </w:p>
    <w:p w14:paraId="5E02E8B7"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Não permitir efetuar emissão de ordem de compra de licitações de registros de preço, em que ata esteja com a validade vencida;</w:t>
      </w:r>
    </w:p>
    <w:p w14:paraId="30A69CA2"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consultar dados referentes ao recebimento da ordem de compra, visualizando o saldo pendente a ser entregue, contendo as quantidades, os valores e o saldo;</w:t>
      </w:r>
    </w:p>
    <w:p w14:paraId="02D3B8C4"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na consulta da ordem de compra, emitir um extrato de movimentação;</w:t>
      </w:r>
    </w:p>
    <w:p w14:paraId="0F63D660"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consulta on-line de débitos de contribuintes pessoa física/jurídica na emissão de ordem de compra, ou contrato;</w:t>
      </w:r>
    </w:p>
    <w:p w14:paraId="0423E9F0"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exportar os arquivos para a prestação de contas, dos dados referentes aos contratos, de acordo com as regras e sistema vigente;</w:t>
      </w:r>
    </w:p>
    <w:p w14:paraId="70D2441F"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uma rotina que seja possível gerenciar as licitações e contratos relacionados a Lei 13.019/14;</w:t>
      </w:r>
    </w:p>
    <w:p w14:paraId="4D8C5258"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inserir via portal da entidade Manifestação de Interesse Social;</w:t>
      </w:r>
    </w:p>
    <w:p w14:paraId="1B3FE831"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Permite visualizar no Portal da Transparência em menu próprio as Licitações, Contratos e Prestações de Contas referente as parcerias;</w:t>
      </w:r>
    </w:p>
    <w:p w14:paraId="7DBB5AB1"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agenda pública de licitações, a mesma deverá ser disponibilizada no portal da entidade, bem como no portal da transparência, listando os eventos de data e hora de entrega e abertura das propostas. Os registros devem ser gerados de forma automática conforme o cadastro dos processos licitatórios;</w:t>
      </w:r>
    </w:p>
    <w:p w14:paraId="17932FAA" w14:textId="77777777" w:rsidR="00B307DB" w:rsidRPr="00680B5B" w:rsidRDefault="00B307DB" w:rsidP="00F60DF5">
      <w:pPr>
        <w:pStyle w:val="Corpodetexto31"/>
        <w:numPr>
          <w:ilvl w:val="0"/>
          <w:numId w:val="310"/>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No cadastro dos contratos, quando estes forem referentes a concessões de bens imóveis do município, poder relacionar os bens aos itens do contrato, de forma que o setor de patrimônio possa fazer a gerência dos mesmos;</w:t>
      </w:r>
    </w:p>
    <w:p w14:paraId="04984DE0" w14:textId="77777777" w:rsidR="00B307DB" w:rsidRPr="00680B5B" w:rsidRDefault="00B307DB" w:rsidP="00B307DB">
      <w:pPr>
        <w:pStyle w:val="Corpodetexto31"/>
        <w:tabs>
          <w:tab w:val="left" w:pos="3448"/>
        </w:tabs>
        <w:ind w:right="-568"/>
        <w:rPr>
          <w:rFonts w:ascii="Times New Roman" w:hAnsi="Times New Roman" w:cs="Times New Roman"/>
          <w:b/>
          <w:sz w:val="22"/>
          <w:szCs w:val="22"/>
        </w:rPr>
      </w:pPr>
    </w:p>
    <w:p w14:paraId="61F037EE"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2.8 MÓDULO: GESTÃO DE PATRIMÔNIO</w:t>
      </w:r>
    </w:p>
    <w:p w14:paraId="579E9015" w14:textId="77777777" w:rsidR="00B307DB" w:rsidRPr="00680B5B" w:rsidRDefault="00B307DB" w:rsidP="00F60DF5">
      <w:pPr>
        <w:pStyle w:val="Corpodetexto31"/>
        <w:numPr>
          <w:ilvl w:val="0"/>
          <w:numId w:val="311"/>
        </w:numPr>
        <w:ind w:right="-568"/>
        <w:rPr>
          <w:rFonts w:ascii="Times New Roman" w:hAnsi="Times New Roman" w:cs="Times New Roman"/>
          <w:sz w:val="22"/>
          <w:szCs w:val="22"/>
        </w:rPr>
      </w:pPr>
      <w:r w:rsidRPr="00680B5B">
        <w:rPr>
          <w:rFonts w:ascii="Times New Roman" w:hAnsi="Times New Roman" w:cs="Times New Roman"/>
          <w:bCs/>
          <w:sz w:val="22"/>
          <w:szCs w:val="22"/>
        </w:rPr>
        <w:t>Possibilitar o Registros de inventários de bens;</w:t>
      </w:r>
    </w:p>
    <w:p w14:paraId="790A61AC"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geração de etiquetas com códigos de barras;</w:t>
      </w:r>
    </w:p>
    <w:p w14:paraId="1E5200D7"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Cadastrar bens da instituição classificando o seu tipo ao menos em: móveis e imóveis, com a identificação do bem se adquirido, recebido em doação, comodato, permuta e outras incorporações configuráveis pela instituição;</w:t>
      </w:r>
    </w:p>
    <w:p w14:paraId="4AF70D99"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Deverá permitir a inclusão de bens patrimoniais proveniente de empenho da contabilidade ou de ordem de compra, permitindo a importação dos itens sem a necessidade de redigitação dos produtos, fornecedor, valor e conta contábil;</w:t>
      </w:r>
    </w:p>
    <w:p w14:paraId="02D18A17"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Relacionar automaticamente na incorporação do bem a conta contábil (ativo permanente) utilizada no empenhamento para que não tenha diferença nos saldos das contas entre os módulos do patrimônio com o contábil;</w:t>
      </w:r>
    </w:p>
    <w:p w14:paraId="3BAB5039"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controle do saldo dos itens do empenho ou ordem de compra não permitindo incorporar mais de uma vez o mesmo item;</w:t>
      </w:r>
    </w:p>
    <w:p w14:paraId="36317992"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cadastramento de diversos Tipos de bens além do moveis e dos imóveis para ser usado no cadastramento dos mesmos;</w:t>
      </w:r>
    </w:p>
    <w:p w14:paraId="23119EDF"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adicionar no cadastro de bens campos personalizados, de forma que o usuário possa modelar a tela do cadastro de acordo com as necessidades da instituição;</w:t>
      </w:r>
    </w:p>
    <w:p w14:paraId="760899C4"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Relacionar o bem imóvel ao cadastro imobiliário, tornando também disponíveis as informações geridas nesta base cadastral;</w:t>
      </w:r>
    </w:p>
    <w:p w14:paraId="42FFDC5B"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recebimento de bens em grande quantidade a partir do cadastro contínuo;</w:t>
      </w:r>
    </w:p>
    <w:p w14:paraId="6CB5551D"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ao usuário a possibilidade de visualizar somente os bens sob a sua responsabilidade;</w:t>
      </w:r>
    </w:p>
    <w:p w14:paraId="038F335F"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Visualizar no cadastro e permitir o controle do estado de conservação, exemplo: bom, ótimo, regular;</w:t>
      </w:r>
    </w:p>
    <w:p w14:paraId="27B2847A"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Visualizar no cadastro e permitir o controle da situação em que o bem se encontra com relação ao seu estado, exemplo: empréstimo, locação, manutenções preventivas e corretivas;</w:t>
      </w:r>
    </w:p>
    <w:p w14:paraId="0691024F"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O sistema deverá possuir através de consulta dos bens patrimoniais, uma rotina onde seja possível visualizar todos os bens que já atingiram o valor residual;</w:t>
      </w:r>
    </w:p>
    <w:p w14:paraId="041236D7"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consulta aos bens por critérios como código de identificação, localização, responsável, código do produto, descrição;</w:t>
      </w:r>
    </w:p>
    <w:p w14:paraId="49CE9B0A"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controle e a manutenção de todos os bens que compõem o patrimônio da instituição, permitindo de maneira rápida seu cadastramento, classificação, movimentação, localização e baixa;</w:t>
      </w:r>
    </w:p>
    <w:p w14:paraId="161EACAC"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cadastro de comissões, com indicação do texto jurídico que designou, indicação dos membros responsáveis, com o objetivo de realizar registros de reavaliação, depreciação, inventário;</w:t>
      </w:r>
    </w:p>
    <w:p w14:paraId="31D2F463"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o controle da situação e do estado de conservação do bem patrimonial através do registro dos inventários realizados;</w:t>
      </w:r>
    </w:p>
    <w:p w14:paraId="04F652C2"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Efetuar atualizações de inventário através de escolhas em grupos, exemplo: repartição, responsável, conta contábil, grupo, classe;</w:t>
      </w:r>
    </w:p>
    <w:p w14:paraId="78D19951"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através da rotina de inventário de bens, a transferência automática do bem quando o mesmo está alocado fisicamente em departamento incorreto;</w:t>
      </w:r>
    </w:p>
    <w:p w14:paraId="1BF3A526"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alimentação do sistema com as informações dos inventários dos bens patrimoniais, informando seu estado e localização atual (no momento do inventário);</w:t>
      </w:r>
    </w:p>
    <w:p w14:paraId="6D136BDB"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relatórios de inconsistência no momento que o bem está com status em inventário, desde que não esteja em seu lugar de origem;</w:t>
      </w:r>
    </w:p>
    <w:p w14:paraId="1D1DB496"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Emitir relatórios dos bens em inventário, com termo de abertura e fechamento;</w:t>
      </w:r>
    </w:p>
    <w:p w14:paraId="17A59412"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Registrar todo tipo de movimentação ocorrida com um bem patrimonial, seja física, por exemplo: transferência ou financeira: agregação, reavaliação, depreciação;</w:t>
      </w:r>
    </w:p>
    <w:p w14:paraId="462E2525"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consulta do histórico de cada bem patrimonial, permitindo a visualização de todas as movimentações, físicas e financeiras, inventário, anexos (fotos e/ou documentos);</w:t>
      </w:r>
    </w:p>
    <w:p w14:paraId="7353D587"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consultar e vincular ao cadastro de bens o número do empenho ou da ordem de compra;</w:t>
      </w:r>
    </w:p>
    <w:p w14:paraId="72339B1E"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registrar a depreciação e a reavaliação dos bens individualmente bem como, demonstrar um histórico com o valor contábil atual, valor referente a alteração, seja ela a menor ou a maior;</w:t>
      </w:r>
    </w:p>
    <w:p w14:paraId="40D2D080"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controlar todo o patrimônio por unidade gestora;</w:t>
      </w:r>
    </w:p>
    <w:p w14:paraId="7295890D"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transferência de bens de uma entidade para outra, realizando a baixa automática na entidade de origem e incorporação na entidade de destino, sem a necessidade de cadastro manual, possibilitando fazer o estorno da transferência entre entidades;</w:t>
      </w:r>
    </w:p>
    <w:p w14:paraId="6DB7ADA8"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rotinas de reavaliação e depreciação de acordo com as orientações das NBCASP - Normas Brasileiras de Contabilidade Aplicadas ao Setor Público;</w:t>
      </w:r>
    </w:p>
    <w:p w14:paraId="3A8E02A3"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inclusão de motivos de baixa do bem de acordo com a necessidade da instituição;</w:t>
      </w:r>
    </w:p>
    <w:p w14:paraId="750803C0"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nas consultas a impressão de relatórios operacionais a partir dos dados fornecidos pelo usuário;</w:t>
      </w:r>
    </w:p>
    <w:p w14:paraId="4F84C31A"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Ter integração com os sistemas de Contabilidade Pública, Compras, Frota, Tributário;</w:t>
      </w:r>
    </w:p>
    <w:p w14:paraId="333D9B15"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Deverá possuir rotina para solicitação de transferência dos bens patrimoniais, disparando notificações para a pessoa responsável, para avisar que existem solicitações de transferências pendentes;</w:t>
      </w:r>
    </w:p>
    <w:p w14:paraId="5D7337EA"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Possibilitar a emissão de relatórios por situação, repartição, espécie, localização e data de aquisição;</w:t>
      </w:r>
    </w:p>
    <w:p w14:paraId="2834EA32"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consulta dos lançamentos contábeis através do gerenciamento do bem patrimonial;</w:t>
      </w:r>
    </w:p>
    <w:p w14:paraId="11094002"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impressão e registro do termo de responsabilidade para bens patrimoniais, individuais, setoriais ou por responsável;</w:t>
      </w:r>
    </w:p>
    <w:p w14:paraId="2AE936EA"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a impressão do termo de baixa patrimonial;</w:t>
      </w:r>
    </w:p>
    <w:p w14:paraId="4FEC6C99"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de virada mensal, onde deverá efetuar o cálculo automático da depreciação, para os bens que estiverem cadastrados com data de início da depreciação, dentro do mês corrente;</w:t>
      </w:r>
    </w:p>
    <w:p w14:paraId="3C0F0F43"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o estorno da virada mensal;</w:t>
      </w:r>
    </w:p>
    <w:p w14:paraId="28C94379"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Deverá emitir relatórios estatísticos para consulta e gerenciamento das informações patrimoniais, permitindo diversos tipos de agrupamento das informações. Ex: Conta Contábil, Tipo do Bem, Responsável e Centro de Custo;</w:t>
      </w:r>
    </w:p>
    <w:p w14:paraId="4C2E5365"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relatório das manutenções previstas e realizadas para os bens patrimoniais;</w:t>
      </w:r>
    </w:p>
    <w:p w14:paraId="28422CC0"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realizar avaliações patrimoniais a partir de fórmulas previamente cadastradas, podendo ser editadas pelo próprio usuário;</w:t>
      </w:r>
    </w:p>
    <w:p w14:paraId="0DBB7A2D"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integrada com os módulos de Contratos e Tributário, para controle das concessões de bens imóveis;</w:t>
      </w:r>
    </w:p>
    <w:p w14:paraId="6C4ABB34"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lastRenderedPageBreak/>
        <w:t>Permitir visualizar todos os contratos de concessões de bens imóveis do município, bem como fazer a gerência dos itens/bens;</w:t>
      </w:r>
    </w:p>
    <w:p w14:paraId="09FCB633"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De acordo com a matrícula do imóvel, vinculada ao bem móvel, e o concessionário do bem, poder registrar no módulo de receitas diversas o pagamento das taxas de concessão/aluguel;</w:t>
      </w:r>
    </w:p>
    <w:p w14:paraId="3EE68331"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Permitir, por dentro do módulo de patrimônio, consultar a situação dos pagamentos referentes a concessão do imóvel;</w:t>
      </w:r>
    </w:p>
    <w:p w14:paraId="2C43BF46"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Possuir rotina integrada com o cadastro imobiliário para realizar a unificação de bens, buscando os registros de matrículas unificadas no cadastro imobiliário, baixando os bens referentes as matrículas antigas e gerando um novo bem de acordo com a nova matrícula;</w:t>
      </w:r>
    </w:p>
    <w:p w14:paraId="3E0DBD6B" w14:textId="77777777" w:rsidR="00B307DB" w:rsidRPr="00680B5B" w:rsidRDefault="00B307DB" w:rsidP="00F60DF5">
      <w:pPr>
        <w:pStyle w:val="Corpodetexto31"/>
        <w:numPr>
          <w:ilvl w:val="0"/>
          <w:numId w:val="311"/>
        </w:numPr>
        <w:ind w:left="0" w:right="-568" w:firstLine="0"/>
        <w:rPr>
          <w:rFonts w:ascii="Times New Roman" w:hAnsi="Times New Roman" w:cs="Times New Roman"/>
          <w:sz w:val="22"/>
          <w:szCs w:val="22"/>
        </w:rPr>
      </w:pPr>
      <w:r w:rsidRPr="00680B5B">
        <w:rPr>
          <w:rFonts w:ascii="Times New Roman" w:hAnsi="Times New Roman" w:cs="Times New Roman"/>
          <w:bCs/>
          <w:sz w:val="22"/>
          <w:szCs w:val="22"/>
        </w:rPr>
        <w:t xml:space="preserve">Possuir rotina integrada com o cadastro imobiliário para realizar a subdivisão de bens, buscando os bens as matrículas que foram desmembradas no cadastro tributário e as novas matrículas geradas, baixando assim o </w:t>
      </w:r>
      <w:r w:rsidRPr="00680B5B">
        <w:rPr>
          <w:rFonts w:ascii="Times New Roman" w:hAnsi="Times New Roman" w:cs="Times New Roman"/>
          <w:bCs/>
          <w:sz w:val="22"/>
          <w:szCs w:val="22"/>
          <w:highlight w:val="white"/>
        </w:rPr>
        <w:t>bem antigo e gerando os novos bens de acordo com a nova matrícula;</w:t>
      </w:r>
    </w:p>
    <w:p w14:paraId="3028754F" w14:textId="77777777" w:rsidR="00B307DB" w:rsidRPr="00680B5B" w:rsidRDefault="00B307DB" w:rsidP="00B307DB">
      <w:pPr>
        <w:pStyle w:val="Corpodetexto31"/>
        <w:tabs>
          <w:tab w:val="left" w:pos="3448"/>
        </w:tabs>
        <w:ind w:right="-568"/>
        <w:rPr>
          <w:rFonts w:ascii="Times New Roman" w:hAnsi="Times New Roman" w:cs="Times New Roman"/>
          <w:b/>
          <w:sz w:val="22"/>
          <w:szCs w:val="22"/>
          <w:highlight w:val="white"/>
        </w:rPr>
      </w:pPr>
    </w:p>
    <w:p w14:paraId="1B291D76"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 xml:space="preserve">2.9 MÓDULO: </w:t>
      </w:r>
      <w:r w:rsidRPr="00680B5B">
        <w:rPr>
          <w:rFonts w:ascii="Times New Roman" w:hAnsi="Times New Roman" w:cs="Times New Roman"/>
          <w:b/>
          <w:sz w:val="22"/>
          <w:szCs w:val="22"/>
          <w:highlight w:val="white"/>
        </w:rPr>
        <w:t>GESTÃO DE FROTA</w:t>
      </w:r>
    </w:p>
    <w:p w14:paraId="135BEF78"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w:t>
      </w:r>
      <w:r w:rsidRPr="00680B5B">
        <w:rPr>
          <w:rFonts w:ascii="Times New Roman" w:hAnsi="Times New Roman" w:cs="Times New Roman"/>
          <w:bCs/>
          <w:sz w:val="22"/>
          <w:szCs w:val="22"/>
        </w:rPr>
        <w:t>Cadastro de registros de veículos e seus dados relevantes tais como: data de aquisição, descrição, RENAVAN, espécie do veículo, ano, cor, tipo de combustível, modelo, marca, centro de custo, capacidade do tanque e dados de seguro;</w:t>
      </w:r>
    </w:p>
    <w:p w14:paraId="48FE7987"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w:t>
      </w:r>
      <w:r w:rsidRPr="00680B5B">
        <w:rPr>
          <w:rFonts w:ascii="Times New Roman" w:hAnsi="Times New Roman" w:cs="Times New Roman"/>
          <w:bCs/>
          <w:sz w:val="22"/>
          <w:szCs w:val="22"/>
        </w:rPr>
        <w:t>Possuir registros de Ocorrências/Avaria do veículo;</w:t>
      </w:r>
    </w:p>
    <w:p w14:paraId="65890CF4"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w:t>
      </w:r>
      <w:r w:rsidRPr="00680B5B">
        <w:rPr>
          <w:rFonts w:ascii="Times New Roman" w:hAnsi="Times New Roman" w:cs="Times New Roman"/>
          <w:bCs/>
          <w:sz w:val="22"/>
          <w:szCs w:val="22"/>
        </w:rPr>
        <w:t>Controlar os débitos dos veículos, tais como: licenciamento, seguro obrigatório, multas e etc;</w:t>
      </w:r>
    </w:p>
    <w:p w14:paraId="55C2CF78"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w:t>
      </w:r>
      <w:r w:rsidRPr="00680B5B">
        <w:rPr>
          <w:rFonts w:ascii="Times New Roman" w:hAnsi="Times New Roman" w:cs="Times New Roman"/>
          <w:bCs/>
          <w:sz w:val="22"/>
          <w:szCs w:val="22"/>
        </w:rPr>
        <w:t>Possuir identificação da bateria, marca da bateria, registro de trocas de bateria;</w:t>
      </w:r>
    </w:p>
    <w:p w14:paraId="2D9E1ED6"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5.</w:t>
      </w:r>
      <w:r w:rsidRPr="00680B5B">
        <w:rPr>
          <w:rFonts w:ascii="Times New Roman" w:hAnsi="Times New Roman" w:cs="Times New Roman"/>
          <w:bCs/>
          <w:sz w:val="22"/>
          <w:szCs w:val="22"/>
        </w:rPr>
        <w:t>Permitir lançamento e emissão de autorização de Abastecimento;</w:t>
      </w:r>
    </w:p>
    <w:p w14:paraId="2611D554"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6.</w:t>
      </w:r>
      <w:r w:rsidRPr="00680B5B">
        <w:rPr>
          <w:rFonts w:ascii="Times New Roman" w:hAnsi="Times New Roman" w:cs="Times New Roman"/>
          <w:bCs/>
          <w:sz w:val="22"/>
          <w:szCs w:val="22"/>
        </w:rPr>
        <w:t>Possuir autorização de Abastecimento e Ordem de Serviço;</w:t>
      </w:r>
    </w:p>
    <w:p w14:paraId="1531CC56"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7.</w:t>
      </w:r>
      <w:r w:rsidRPr="00680B5B">
        <w:rPr>
          <w:rFonts w:ascii="Times New Roman" w:hAnsi="Times New Roman" w:cs="Times New Roman"/>
          <w:bCs/>
          <w:sz w:val="22"/>
          <w:szCs w:val="22"/>
        </w:rPr>
        <w:t>Possuir agenda por veículo, departamento e motorista, registrando no sistema todas as informações sobre o motivo e a finalidade do agendamento;</w:t>
      </w:r>
    </w:p>
    <w:p w14:paraId="3278CA65"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8.</w:t>
      </w:r>
      <w:r w:rsidRPr="00680B5B">
        <w:rPr>
          <w:rFonts w:ascii="Times New Roman" w:hAnsi="Times New Roman" w:cs="Times New Roman"/>
          <w:bCs/>
          <w:sz w:val="22"/>
          <w:szCs w:val="22"/>
        </w:rPr>
        <w:t>Possuir o registro de entrada e saída de veículos do pátio (movimentação da garagem), controlando horários, quilometragem, e quais Motoristas estão em posse dos veículos;</w:t>
      </w:r>
    </w:p>
    <w:p w14:paraId="5EF965A6"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9.</w:t>
      </w:r>
      <w:r w:rsidRPr="00680B5B">
        <w:rPr>
          <w:rFonts w:ascii="Times New Roman" w:hAnsi="Times New Roman" w:cs="Times New Roman"/>
          <w:bCs/>
          <w:sz w:val="22"/>
          <w:szCs w:val="22"/>
        </w:rPr>
        <w:t>Gerenciar e controlar gastos referentes a frota de veículos, máquinas e equipamentos;</w:t>
      </w:r>
    </w:p>
    <w:p w14:paraId="20BD6CCB"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10.</w:t>
      </w:r>
      <w:r w:rsidRPr="00680B5B">
        <w:rPr>
          <w:rFonts w:ascii="Times New Roman" w:hAnsi="Times New Roman" w:cs="Times New Roman"/>
          <w:bCs/>
          <w:sz w:val="22"/>
          <w:szCs w:val="22"/>
        </w:rPr>
        <w:t>Manter integração com o cadastro de bens patrimoniais de forma a não duplicar dados relativos aos veículos, máquinas e equipamentos considerados como integrantes do patrimônio. Alterações efetuadas no cadastro patrimonial, a exemplo da transferência de centro de custo (setor/departamento) deverão refletir imediatamente nos dados destes;</w:t>
      </w:r>
    </w:p>
    <w:p w14:paraId="1E037945"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11.</w:t>
      </w:r>
      <w:r w:rsidRPr="00680B5B">
        <w:rPr>
          <w:rFonts w:ascii="Times New Roman" w:hAnsi="Times New Roman" w:cs="Times New Roman"/>
          <w:bCs/>
          <w:sz w:val="22"/>
          <w:szCs w:val="22"/>
        </w:rPr>
        <w:t>Possuir rotina para inclusão de anexos ao cadastro do veículo, onde seja possível anexar, fotos, documentos do veículo, multas, pagamentos e demais arquivos que sejam pertinentes ao cadastro. Que seja ao menos nas seguintes extensões: png, bmp, jpg, gif, doc, docx, ppt, pptx, xls, xlsx, pdf, odt, ods, dwg;12.Possibilitar a emissão/impressão de autorizações de abastecimento para preenchimento manual, ou por uma ordem já cadastrada no sistema;</w:t>
      </w:r>
    </w:p>
    <w:p w14:paraId="06501786"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12.</w:t>
      </w:r>
      <w:r w:rsidRPr="00680B5B">
        <w:rPr>
          <w:rFonts w:ascii="Times New Roman" w:hAnsi="Times New Roman" w:cs="Times New Roman"/>
          <w:bCs/>
          <w:sz w:val="22"/>
          <w:szCs w:val="22"/>
        </w:rPr>
        <w:t>Permitir o cadastramento das autorizações para serviços ou abastecimento;</w:t>
      </w:r>
    </w:p>
    <w:p w14:paraId="49A31FC9"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13.</w:t>
      </w:r>
      <w:r w:rsidRPr="00680B5B">
        <w:rPr>
          <w:rFonts w:ascii="Times New Roman" w:hAnsi="Times New Roman" w:cs="Times New Roman"/>
          <w:bCs/>
          <w:sz w:val="22"/>
          <w:szCs w:val="22"/>
        </w:rPr>
        <w:t>Permitir o lançamento da despesa a partir da autorização de serviço;</w:t>
      </w:r>
    </w:p>
    <w:p w14:paraId="12072D07"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14.</w:t>
      </w:r>
      <w:r w:rsidRPr="00680B5B">
        <w:rPr>
          <w:rFonts w:ascii="Times New Roman" w:hAnsi="Times New Roman" w:cs="Times New Roman"/>
          <w:bCs/>
          <w:sz w:val="22"/>
          <w:szCs w:val="22"/>
        </w:rPr>
        <w:t>Permitir o lançamento de despesas através de um registro referente a ordem de compra dispensável ou de licitação;</w:t>
      </w:r>
    </w:p>
    <w:p w14:paraId="38571233"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15.</w:t>
      </w:r>
      <w:r w:rsidRPr="00680B5B">
        <w:rPr>
          <w:rFonts w:ascii="Times New Roman" w:hAnsi="Times New Roman" w:cs="Times New Roman"/>
          <w:bCs/>
          <w:sz w:val="22"/>
          <w:szCs w:val="22"/>
        </w:rPr>
        <w:t>Permitir o controle de troca de pneus possibilitando o lançamento automático da despesa;</w:t>
      </w:r>
    </w:p>
    <w:p w14:paraId="7F621241"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16.</w:t>
      </w:r>
      <w:r w:rsidRPr="00680B5B">
        <w:rPr>
          <w:rFonts w:ascii="Times New Roman" w:hAnsi="Times New Roman" w:cs="Times New Roman"/>
          <w:bCs/>
          <w:sz w:val="22"/>
          <w:szCs w:val="22"/>
        </w:rPr>
        <w:t>Gerenciar as manutenções realizadas no veículo, revisões, lubrificações, trocas de óleo e de pneu e etc., em dependências próprias ou de terceiros;</w:t>
      </w:r>
    </w:p>
    <w:p w14:paraId="70633EBF"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17.</w:t>
      </w:r>
      <w:r w:rsidRPr="00680B5B">
        <w:rPr>
          <w:rFonts w:ascii="Times New Roman" w:hAnsi="Times New Roman" w:cs="Times New Roman"/>
          <w:bCs/>
          <w:sz w:val="22"/>
          <w:szCs w:val="22"/>
        </w:rPr>
        <w:t>No cadastro do veículo, poder vincular marca/modelo conforme tabela FIPE (Fundação Instituto de Pesquisas Econômicas);</w:t>
      </w:r>
    </w:p>
    <w:p w14:paraId="2A6B1E66"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18.</w:t>
      </w:r>
      <w:r w:rsidRPr="00680B5B">
        <w:rPr>
          <w:rFonts w:ascii="Times New Roman" w:hAnsi="Times New Roman" w:cs="Times New Roman"/>
          <w:bCs/>
          <w:sz w:val="22"/>
          <w:szCs w:val="22"/>
        </w:rPr>
        <w:t>Permitir o controle das obrigações dos veículos, como seguros e licenciamento;</w:t>
      </w:r>
    </w:p>
    <w:p w14:paraId="6A79F004"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19.</w:t>
      </w:r>
      <w:r w:rsidRPr="00680B5B">
        <w:rPr>
          <w:rFonts w:ascii="Times New Roman" w:hAnsi="Times New Roman" w:cs="Times New Roman"/>
          <w:bCs/>
          <w:sz w:val="22"/>
          <w:szCs w:val="22"/>
        </w:rPr>
        <w:t>Possuir tabela com todos os tipos de infração, conforme CTB (Código de Trânsito Brasileiro);</w:t>
      </w:r>
    </w:p>
    <w:p w14:paraId="62F9B5CC"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20.</w:t>
      </w:r>
      <w:r w:rsidRPr="00680B5B">
        <w:rPr>
          <w:rFonts w:ascii="Times New Roman" w:hAnsi="Times New Roman" w:cs="Times New Roman"/>
          <w:bCs/>
          <w:sz w:val="22"/>
          <w:szCs w:val="22"/>
        </w:rPr>
        <w:t>Possuir um gerenciador de multas de trânsito, possibilitando informar a cidade da ocorrência da infração, infração de acordo com CTB (Código de Trânsito Brasileiro), motorista, data de vencimento;</w:t>
      </w:r>
    </w:p>
    <w:p w14:paraId="20C045FA"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21.</w:t>
      </w:r>
      <w:r w:rsidRPr="00680B5B">
        <w:rPr>
          <w:rFonts w:ascii="Times New Roman" w:hAnsi="Times New Roman" w:cs="Times New Roman"/>
          <w:bCs/>
          <w:sz w:val="22"/>
          <w:szCs w:val="22"/>
        </w:rPr>
        <w:t>Possuir uma consulta de multas, para que seja acessada a qualquer momento pelo usuário;</w:t>
      </w:r>
    </w:p>
    <w:p w14:paraId="0B494CC2"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22.</w:t>
      </w:r>
      <w:r w:rsidRPr="00680B5B">
        <w:rPr>
          <w:rFonts w:ascii="Times New Roman" w:hAnsi="Times New Roman" w:cs="Times New Roman"/>
          <w:bCs/>
          <w:sz w:val="22"/>
          <w:szCs w:val="22"/>
        </w:rPr>
        <w:t>Possibilitar o registro de dados referente aos pagamentos da referida multa informada;</w:t>
      </w:r>
    </w:p>
    <w:p w14:paraId="16126627"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23.</w:t>
      </w:r>
      <w:r w:rsidRPr="00680B5B">
        <w:rPr>
          <w:rFonts w:ascii="Times New Roman" w:hAnsi="Times New Roman" w:cs="Times New Roman"/>
          <w:bCs/>
          <w:sz w:val="22"/>
          <w:szCs w:val="22"/>
        </w:rPr>
        <w:t>Controlar o deslocamento dos veículos registrando data e hora de partida e chegada e a quilometragem percorrida, com emissão de planilhas para preenchimento e acompanhamento;</w:t>
      </w:r>
    </w:p>
    <w:p w14:paraId="5AE59812"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24.</w:t>
      </w:r>
      <w:r w:rsidRPr="00680B5B">
        <w:rPr>
          <w:rFonts w:ascii="Times New Roman" w:hAnsi="Times New Roman" w:cs="Times New Roman"/>
          <w:bCs/>
          <w:sz w:val="22"/>
          <w:szCs w:val="22"/>
        </w:rPr>
        <w:t>Permitir o agendamento de viagens, serviços e consertos para cada veículo da frota;</w:t>
      </w:r>
    </w:p>
    <w:p w14:paraId="3507C355"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25</w:t>
      </w:r>
      <w:r w:rsidRPr="00680B5B">
        <w:rPr>
          <w:rFonts w:ascii="Times New Roman" w:hAnsi="Times New Roman" w:cs="Times New Roman"/>
          <w:bCs/>
          <w:sz w:val="22"/>
          <w:szCs w:val="22"/>
        </w:rPr>
        <w:t>Permitir o cadastro de rotas para os veículos e máquinas, bem como possibilitar o controle das rotas fixas para de cada veículo;</w:t>
      </w:r>
    </w:p>
    <w:p w14:paraId="05DD50B9"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lastRenderedPageBreak/>
        <w:t>26.</w:t>
      </w:r>
      <w:r w:rsidRPr="00680B5B">
        <w:rPr>
          <w:rFonts w:ascii="Times New Roman" w:hAnsi="Times New Roman" w:cs="Times New Roman"/>
          <w:bCs/>
          <w:sz w:val="22"/>
          <w:szCs w:val="22"/>
        </w:rPr>
        <w:t>Possibilitar consultas para as manutenções e taxas (licenciamento, seguro obrigatório, seguro facultativo), bem como consultar as manutenções previstas e realizadas;</w:t>
      </w:r>
    </w:p>
    <w:p w14:paraId="166E8F91"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27.</w:t>
      </w:r>
      <w:r w:rsidRPr="00680B5B">
        <w:rPr>
          <w:rFonts w:ascii="Times New Roman" w:hAnsi="Times New Roman" w:cs="Times New Roman"/>
          <w:bCs/>
          <w:sz w:val="22"/>
          <w:szCs w:val="22"/>
        </w:rPr>
        <w:t>Oferecer a guarita da garagem, a possibilidade de registrar as entradas e saídas dos veículos, bem como consulta dos respectivos registros;</w:t>
      </w:r>
    </w:p>
    <w:p w14:paraId="2A8676A8"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28.</w:t>
      </w:r>
      <w:r w:rsidRPr="00680B5B">
        <w:rPr>
          <w:rFonts w:ascii="Times New Roman" w:hAnsi="Times New Roman" w:cs="Times New Roman"/>
          <w:bCs/>
          <w:sz w:val="22"/>
          <w:szCs w:val="22"/>
        </w:rPr>
        <w:t>Permitir o controle do seguro facultativo do veículo;</w:t>
      </w:r>
    </w:p>
    <w:p w14:paraId="0382E1BA"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29.</w:t>
      </w:r>
      <w:r w:rsidRPr="00680B5B">
        <w:rPr>
          <w:rFonts w:ascii="Times New Roman" w:hAnsi="Times New Roman" w:cs="Times New Roman"/>
          <w:bCs/>
          <w:sz w:val="22"/>
          <w:szCs w:val="22"/>
        </w:rPr>
        <w:t>Possuir rotina de validação da carteira de motorista, não permitir a utilização de motoristas com a CNH vencida, bem como não permitir a utilização de funcionário como motorista sem que o mesmo possua CNH registrada no cadastro;</w:t>
      </w:r>
    </w:p>
    <w:p w14:paraId="4F1A561D"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30.</w:t>
      </w:r>
      <w:r w:rsidRPr="00680B5B">
        <w:rPr>
          <w:rFonts w:ascii="Times New Roman" w:hAnsi="Times New Roman" w:cs="Times New Roman"/>
          <w:bCs/>
          <w:sz w:val="22"/>
          <w:szCs w:val="22"/>
        </w:rPr>
        <w:t>Possuir cadastro de motoristas, integrado com o setor de recursos humanos, possibilitando definir se o motorista e terceirizado, cadastro da CNH (categoria, número e data de validade);</w:t>
      </w:r>
    </w:p>
    <w:p w14:paraId="4066838E"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31.</w:t>
      </w:r>
      <w:r w:rsidRPr="00680B5B">
        <w:rPr>
          <w:rFonts w:ascii="Times New Roman" w:hAnsi="Times New Roman" w:cs="Times New Roman"/>
          <w:bCs/>
          <w:sz w:val="22"/>
          <w:szCs w:val="22"/>
        </w:rPr>
        <w:t>Possibilitar controlar se o motorista relacionado a saída de um veículo atingiu os 20 pontos necessários para suspensão da CNH;</w:t>
      </w:r>
    </w:p>
    <w:p w14:paraId="37D1C371"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32.</w:t>
      </w:r>
      <w:r w:rsidRPr="00680B5B">
        <w:rPr>
          <w:rFonts w:ascii="Times New Roman" w:hAnsi="Times New Roman" w:cs="Times New Roman"/>
          <w:bCs/>
          <w:sz w:val="22"/>
          <w:szCs w:val="22"/>
        </w:rPr>
        <w:t>Permitir controlar os veículos por hodômetro, horímetro e sem marcador;</w:t>
      </w:r>
    </w:p>
    <w:p w14:paraId="05438C43"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33.</w:t>
      </w:r>
      <w:r w:rsidRPr="00680B5B">
        <w:rPr>
          <w:rFonts w:ascii="Times New Roman" w:hAnsi="Times New Roman" w:cs="Times New Roman"/>
          <w:bCs/>
          <w:sz w:val="22"/>
          <w:szCs w:val="22"/>
        </w:rPr>
        <w:t>Permitir configurar o lançamento de máquinas, com campos diferenciados, sendo obrigatórios ou não, conforme a necessidade do maquinário;</w:t>
      </w:r>
    </w:p>
    <w:p w14:paraId="0B68A163"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34.</w:t>
      </w:r>
      <w:r w:rsidRPr="00680B5B">
        <w:rPr>
          <w:rFonts w:ascii="Times New Roman" w:hAnsi="Times New Roman" w:cs="Times New Roman"/>
          <w:bCs/>
          <w:sz w:val="22"/>
          <w:szCs w:val="22"/>
        </w:rPr>
        <w:t>Possibilitar trabalhar com privilégio de visualização de veículos por repartição, onde o usuário logado poderá somente dar manutenção nos veículos da sua repartição;</w:t>
      </w:r>
    </w:p>
    <w:p w14:paraId="48040B89"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35.</w:t>
      </w:r>
      <w:r w:rsidRPr="00680B5B">
        <w:rPr>
          <w:rFonts w:ascii="Times New Roman" w:hAnsi="Times New Roman" w:cs="Times New Roman"/>
          <w:bCs/>
          <w:sz w:val="22"/>
          <w:szCs w:val="22"/>
        </w:rPr>
        <w:t>Quando o abastecimento for externo, permitir que o próprio frentista do posto através de privilégios no sistema, efetue o lançamento do abastecimento mediante apresentação da autorização de abastecimento emitida pelo órgão responsável;</w:t>
      </w:r>
    </w:p>
    <w:p w14:paraId="5E3B65ED"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36.</w:t>
      </w:r>
      <w:r w:rsidRPr="00680B5B">
        <w:rPr>
          <w:rFonts w:ascii="Times New Roman" w:hAnsi="Times New Roman" w:cs="Times New Roman"/>
          <w:bCs/>
          <w:sz w:val="22"/>
          <w:szCs w:val="22"/>
        </w:rPr>
        <w:t>Possuir cadastro de destinos, para os veículos e máquinas;</w:t>
      </w:r>
    </w:p>
    <w:p w14:paraId="27C2292A"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37.</w:t>
      </w:r>
      <w:r w:rsidRPr="00680B5B">
        <w:rPr>
          <w:rFonts w:ascii="Times New Roman" w:hAnsi="Times New Roman" w:cs="Times New Roman"/>
          <w:bCs/>
          <w:sz w:val="22"/>
          <w:szCs w:val="22"/>
        </w:rPr>
        <w:t>Permitir o cadastro de períodos de utilização do veículo e máquinas, mediante agenda, para registrar obrigações para os veículos;</w:t>
      </w:r>
    </w:p>
    <w:p w14:paraId="5EB1F198"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38.</w:t>
      </w:r>
      <w:r w:rsidRPr="00680B5B">
        <w:rPr>
          <w:rFonts w:ascii="Times New Roman" w:hAnsi="Times New Roman" w:cs="Times New Roman"/>
          <w:bCs/>
          <w:sz w:val="22"/>
          <w:szCs w:val="22"/>
        </w:rPr>
        <w:t>Possuir consulta ao combustível disponível proveniente de licitação;</w:t>
      </w:r>
    </w:p>
    <w:p w14:paraId="6B8E3D0B"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39.</w:t>
      </w:r>
      <w:r w:rsidRPr="00680B5B">
        <w:rPr>
          <w:rFonts w:ascii="Times New Roman" w:hAnsi="Times New Roman" w:cs="Times New Roman"/>
          <w:bCs/>
          <w:sz w:val="22"/>
          <w:szCs w:val="22"/>
        </w:rPr>
        <w:t>Permitir controle de estoque próprio de combustível, identificando as despesas se oriundas de estoque próprio ou de terceiros;</w:t>
      </w:r>
    </w:p>
    <w:p w14:paraId="4AC8AD41"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40.</w:t>
      </w:r>
      <w:r w:rsidRPr="00680B5B">
        <w:rPr>
          <w:rFonts w:ascii="Times New Roman" w:hAnsi="Times New Roman" w:cs="Times New Roman"/>
          <w:bCs/>
          <w:sz w:val="22"/>
          <w:szCs w:val="22"/>
        </w:rPr>
        <w:t>Deverá permitir a consulta dos modelos de veículos;</w:t>
      </w:r>
    </w:p>
    <w:p w14:paraId="0FAB83F0"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41.</w:t>
      </w:r>
      <w:r w:rsidRPr="00680B5B">
        <w:rPr>
          <w:rFonts w:ascii="Times New Roman" w:hAnsi="Times New Roman" w:cs="Times New Roman"/>
          <w:bCs/>
          <w:sz w:val="22"/>
          <w:szCs w:val="22"/>
        </w:rPr>
        <w:t>Emitir relatórios de despesas por diversos agrupamentos: repartição, período, veículo e fornecedor;</w:t>
      </w:r>
    </w:p>
    <w:p w14:paraId="41F14230"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42.</w:t>
      </w:r>
      <w:r w:rsidRPr="00680B5B">
        <w:rPr>
          <w:rFonts w:ascii="Times New Roman" w:hAnsi="Times New Roman" w:cs="Times New Roman"/>
          <w:bCs/>
          <w:sz w:val="22"/>
          <w:szCs w:val="22"/>
        </w:rPr>
        <w:t>Possuir um relatório de processos, onde seja possível imprimir todas as informações de um ou diversos veículos, conforme os filtros selecionados no momento da impressão;</w:t>
      </w:r>
    </w:p>
    <w:p w14:paraId="5F850786"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43.</w:t>
      </w:r>
      <w:r w:rsidRPr="00680B5B">
        <w:rPr>
          <w:rFonts w:ascii="Times New Roman" w:hAnsi="Times New Roman" w:cs="Times New Roman"/>
          <w:bCs/>
          <w:sz w:val="22"/>
          <w:szCs w:val="22"/>
        </w:rPr>
        <w:t>Permitir controlar o consumo de combustível e média por veículo, emitindo relatório com o status de consumo: alto, normal, baixo;</w:t>
      </w:r>
    </w:p>
    <w:p w14:paraId="0D7E8297"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44.</w:t>
      </w:r>
      <w:r w:rsidRPr="00680B5B">
        <w:rPr>
          <w:rFonts w:ascii="Times New Roman" w:hAnsi="Times New Roman" w:cs="Times New Roman"/>
          <w:bCs/>
          <w:sz w:val="22"/>
          <w:szCs w:val="22"/>
        </w:rPr>
        <w:t>Permitir o registro da localização (coordenada geográfica), no registro das ocorrências dos veículos;</w:t>
      </w:r>
    </w:p>
    <w:p w14:paraId="49648557"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45.</w:t>
      </w:r>
      <w:r w:rsidRPr="00680B5B">
        <w:rPr>
          <w:rFonts w:ascii="Times New Roman" w:hAnsi="Times New Roman" w:cs="Times New Roman"/>
          <w:bCs/>
          <w:sz w:val="22"/>
          <w:szCs w:val="22"/>
        </w:rPr>
        <w:t>Permitir registrar um sinistro a partir de uma ocorrência do veículo;</w:t>
      </w:r>
    </w:p>
    <w:p w14:paraId="305C3412"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46.</w:t>
      </w:r>
      <w:r w:rsidRPr="00680B5B">
        <w:rPr>
          <w:rFonts w:ascii="Times New Roman" w:hAnsi="Times New Roman" w:cs="Times New Roman"/>
          <w:bCs/>
          <w:sz w:val="22"/>
          <w:szCs w:val="22"/>
        </w:rPr>
        <w:t>Permitir registrar a responsabilidade do sinistro, se próprio, de terceiros ou outros;</w:t>
      </w:r>
    </w:p>
    <w:p w14:paraId="5C466BBB"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47.</w:t>
      </w:r>
      <w:r w:rsidRPr="00680B5B">
        <w:rPr>
          <w:rFonts w:ascii="Times New Roman" w:hAnsi="Times New Roman" w:cs="Times New Roman"/>
          <w:bCs/>
          <w:sz w:val="22"/>
          <w:szCs w:val="22"/>
        </w:rPr>
        <w:t>Permitir vincular a seguradora no cadastro do sinistro, apresentando automaticamente o número a apólice do seguro;</w:t>
      </w:r>
    </w:p>
    <w:p w14:paraId="149FD2EE"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48.</w:t>
      </w:r>
      <w:r w:rsidRPr="00680B5B">
        <w:rPr>
          <w:rFonts w:ascii="Times New Roman" w:hAnsi="Times New Roman" w:cs="Times New Roman"/>
          <w:bCs/>
          <w:sz w:val="22"/>
          <w:szCs w:val="22"/>
        </w:rPr>
        <w:t>No gerenciamento do sinistro permitir identificar a oficina a qual o veículo foi encaminhado;</w:t>
      </w:r>
    </w:p>
    <w:p w14:paraId="526BC0D0" w14:textId="77777777" w:rsidR="00B307DB" w:rsidRPr="00680B5B" w:rsidRDefault="00B307DB" w:rsidP="00B307DB">
      <w:pPr>
        <w:pStyle w:val="Corpodetexto31"/>
        <w:tabs>
          <w:tab w:val="left" w:pos="3448"/>
        </w:tabs>
        <w:ind w:right="-568"/>
        <w:rPr>
          <w:rFonts w:ascii="Times New Roman" w:hAnsi="Times New Roman" w:cs="Times New Roman"/>
          <w:sz w:val="22"/>
          <w:szCs w:val="22"/>
        </w:rPr>
      </w:pPr>
      <w:r w:rsidRPr="00680B5B">
        <w:rPr>
          <w:rFonts w:ascii="Times New Roman" w:hAnsi="Times New Roman" w:cs="Times New Roman"/>
          <w:b/>
          <w:bCs/>
          <w:sz w:val="22"/>
          <w:szCs w:val="22"/>
        </w:rPr>
        <w:t>49.</w:t>
      </w:r>
      <w:r w:rsidRPr="00680B5B">
        <w:rPr>
          <w:rFonts w:ascii="Times New Roman" w:hAnsi="Times New Roman" w:cs="Times New Roman"/>
          <w:bCs/>
          <w:sz w:val="22"/>
          <w:szCs w:val="22"/>
        </w:rPr>
        <w:t xml:space="preserve">Permitir informar </w:t>
      </w:r>
      <w:r w:rsidRPr="00680B5B">
        <w:rPr>
          <w:rFonts w:ascii="Times New Roman" w:hAnsi="Times New Roman" w:cs="Times New Roman"/>
          <w:bCs/>
          <w:sz w:val="22"/>
          <w:szCs w:val="22"/>
          <w:highlight w:val="white"/>
        </w:rPr>
        <w:t>as partes envolvidas no sinistro, registrando veículo envolvido, proprietário e condutor;</w:t>
      </w:r>
    </w:p>
    <w:p w14:paraId="0AD0C8ED" w14:textId="77777777" w:rsidR="00B307DB" w:rsidRPr="00680B5B" w:rsidRDefault="00B307DB" w:rsidP="00B307DB">
      <w:pPr>
        <w:pStyle w:val="Corpodetexto31"/>
        <w:tabs>
          <w:tab w:val="left" w:pos="3448"/>
        </w:tabs>
        <w:ind w:right="-568"/>
        <w:rPr>
          <w:rFonts w:ascii="Times New Roman" w:hAnsi="Times New Roman" w:cs="Times New Roman"/>
          <w:bCs/>
          <w:sz w:val="22"/>
          <w:szCs w:val="22"/>
          <w:highlight w:val="white"/>
        </w:rPr>
      </w:pPr>
    </w:p>
    <w:p w14:paraId="06B8EC04"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 xml:space="preserve">2.10 MÓDULO: </w:t>
      </w:r>
      <w:r w:rsidRPr="00680B5B">
        <w:rPr>
          <w:rFonts w:ascii="Times New Roman" w:hAnsi="Times New Roman" w:cs="Times New Roman"/>
          <w:b/>
          <w:sz w:val="22"/>
          <w:szCs w:val="22"/>
          <w:highlight w:val="white"/>
        </w:rPr>
        <w:t>GESTÃO DE ALMOXARIFADO</w:t>
      </w:r>
    </w:p>
    <w:p w14:paraId="7F43069A" w14:textId="77777777" w:rsidR="00B307DB" w:rsidRPr="00680B5B" w:rsidRDefault="00B307DB" w:rsidP="00F60DF5">
      <w:pPr>
        <w:pStyle w:val="PargrafodaLista"/>
        <w:numPr>
          <w:ilvl w:val="0"/>
          <w:numId w:val="312"/>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Possibilitar o controle de toda movimentação do estoque, sendo entrada, saída e transferência de materiais. Realizando a atualização do estoque de acordo com cada movimentação realizada.</w:t>
      </w:r>
    </w:p>
    <w:p w14:paraId="49614824" w14:textId="77777777" w:rsidR="00B307DB" w:rsidRPr="00680B5B" w:rsidRDefault="00B307DB" w:rsidP="00F60DF5">
      <w:pPr>
        <w:pStyle w:val="PargrafodaLista"/>
        <w:numPr>
          <w:ilvl w:val="0"/>
          <w:numId w:val="312"/>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 xml:space="preserve">Possuir gerenciamento automático nas saídas através de requisições ao almoxarifado, anulando as quantidades que não possui estoque e sugerindo as quantidades disponíveis em </w:t>
      </w:r>
      <w:r w:rsidRPr="00680B5B">
        <w:rPr>
          <w:rFonts w:ascii="Times New Roman" w:hAnsi="Times New Roman" w:cs="Times New Roman"/>
          <w:spacing w:val="-2"/>
          <w:highlight w:val="white"/>
        </w:rPr>
        <w:t>estoque.</w:t>
      </w:r>
    </w:p>
    <w:p w14:paraId="34197335" w14:textId="77777777" w:rsidR="00B307DB" w:rsidRPr="00680B5B" w:rsidRDefault="00B307DB" w:rsidP="00F60DF5">
      <w:pPr>
        <w:pStyle w:val="PargrafodaLista"/>
        <w:numPr>
          <w:ilvl w:val="0"/>
          <w:numId w:val="312"/>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w:t>
      </w:r>
      <w:r w:rsidRPr="00680B5B">
        <w:rPr>
          <w:rFonts w:ascii="Times New Roman" w:hAnsi="Times New Roman" w:cs="Times New Roman"/>
          <w:spacing w:val="-4"/>
          <w:highlight w:val="white"/>
        </w:rPr>
        <w:t xml:space="preserve"> </w:t>
      </w:r>
      <w:r w:rsidRPr="00680B5B">
        <w:rPr>
          <w:rFonts w:ascii="Times New Roman" w:hAnsi="Times New Roman" w:cs="Times New Roman"/>
          <w:highlight w:val="white"/>
        </w:rPr>
        <w:t>informar</w:t>
      </w:r>
      <w:r w:rsidRPr="00680B5B">
        <w:rPr>
          <w:rFonts w:ascii="Times New Roman" w:hAnsi="Times New Roman" w:cs="Times New Roman"/>
          <w:spacing w:val="-3"/>
          <w:highlight w:val="white"/>
        </w:rPr>
        <w:t xml:space="preserve"> </w:t>
      </w:r>
      <w:r w:rsidRPr="00680B5B">
        <w:rPr>
          <w:rFonts w:ascii="Times New Roman" w:hAnsi="Times New Roman" w:cs="Times New Roman"/>
          <w:highlight w:val="white"/>
        </w:rPr>
        <w:t>p</w:t>
      </w:r>
      <w:r w:rsidRPr="00680B5B">
        <w:rPr>
          <w:rFonts w:ascii="Times New Roman" w:hAnsi="Times New Roman" w:cs="Times New Roman"/>
        </w:rPr>
        <w:t>ara</w:t>
      </w:r>
      <w:r w:rsidRPr="00680B5B">
        <w:rPr>
          <w:rFonts w:ascii="Times New Roman" w:hAnsi="Times New Roman" w:cs="Times New Roman"/>
          <w:spacing w:val="-5"/>
        </w:rPr>
        <w:t xml:space="preserve"> </w:t>
      </w:r>
      <w:r w:rsidRPr="00680B5B">
        <w:rPr>
          <w:rFonts w:ascii="Times New Roman" w:hAnsi="Times New Roman" w:cs="Times New Roman"/>
        </w:rPr>
        <w:t>controle</w:t>
      </w:r>
      <w:r w:rsidRPr="00680B5B">
        <w:rPr>
          <w:rFonts w:ascii="Times New Roman" w:hAnsi="Times New Roman" w:cs="Times New Roman"/>
          <w:spacing w:val="-3"/>
        </w:rPr>
        <w:t xml:space="preserve"> </w:t>
      </w:r>
      <w:r w:rsidRPr="00680B5B">
        <w:rPr>
          <w:rFonts w:ascii="Times New Roman" w:hAnsi="Times New Roman" w:cs="Times New Roman"/>
        </w:rPr>
        <w:t>os</w:t>
      </w:r>
      <w:r w:rsidRPr="00680B5B">
        <w:rPr>
          <w:rFonts w:ascii="Times New Roman" w:hAnsi="Times New Roman" w:cs="Times New Roman"/>
          <w:spacing w:val="-3"/>
        </w:rPr>
        <w:t xml:space="preserve"> </w:t>
      </w:r>
      <w:r w:rsidRPr="00680B5B">
        <w:rPr>
          <w:rFonts w:ascii="Times New Roman" w:hAnsi="Times New Roman" w:cs="Times New Roman"/>
        </w:rPr>
        <w:t>limites</w:t>
      </w:r>
      <w:r w:rsidRPr="00680B5B">
        <w:rPr>
          <w:rFonts w:ascii="Times New Roman" w:hAnsi="Times New Roman" w:cs="Times New Roman"/>
          <w:spacing w:val="-3"/>
        </w:rPr>
        <w:t xml:space="preserve"> </w:t>
      </w:r>
      <w:r w:rsidRPr="00680B5B">
        <w:rPr>
          <w:rFonts w:ascii="Times New Roman" w:hAnsi="Times New Roman" w:cs="Times New Roman"/>
        </w:rPr>
        <w:t>mínimos</w:t>
      </w:r>
      <w:r w:rsidRPr="00680B5B">
        <w:rPr>
          <w:rFonts w:ascii="Times New Roman" w:hAnsi="Times New Roman" w:cs="Times New Roman"/>
          <w:spacing w:val="-2"/>
        </w:rPr>
        <w:t xml:space="preserve"> </w:t>
      </w:r>
      <w:r w:rsidRPr="00680B5B">
        <w:rPr>
          <w:rFonts w:ascii="Times New Roman" w:hAnsi="Times New Roman" w:cs="Times New Roman"/>
        </w:rPr>
        <w:t>de</w:t>
      </w:r>
      <w:r w:rsidRPr="00680B5B">
        <w:rPr>
          <w:rFonts w:ascii="Times New Roman" w:hAnsi="Times New Roman" w:cs="Times New Roman"/>
          <w:spacing w:val="-3"/>
        </w:rPr>
        <w:t xml:space="preserve"> </w:t>
      </w:r>
      <w:r w:rsidRPr="00680B5B">
        <w:rPr>
          <w:rFonts w:ascii="Times New Roman" w:hAnsi="Times New Roman" w:cs="Times New Roman"/>
        </w:rPr>
        <w:t>saldo</w:t>
      </w:r>
      <w:r w:rsidRPr="00680B5B">
        <w:rPr>
          <w:rFonts w:ascii="Times New Roman" w:hAnsi="Times New Roman" w:cs="Times New Roman"/>
          <w:spacing w:val="-4"/>
        </w:rPr>
        <w:t xml:space="preserve"> </w:t>
      </w:r>
      <w:r w:rsidRPr="00680B5B">
        <w:rPr>
          <w:rFonts w:ascii="Times New Roman" w:hAnsi="Times New Roman" w:cs="Times New Roman"/>
        </w:rPr>
        <w:t>físico</w:t>
      </w:r>
      <w:r w:rsidRPr="00680B5B">
        <w:rPr>
          <w:rFonts w:ascii="Times New Roman" w:hAnsi="Times New Roman" w:cs="Times New Roman"/>
          <w:spacing w:val="-3"/>
        </w:rPr>
        <w:t xml:space="preserve"> </w:t>
      </w:r>
      <w:r w:rsidRPr="00680B5B">
        <w:rPr>
          <w:rFonts w:ascii="Times New Roman" w:hAnsi="Times New Roman" w:cs="Times New Roman"/>
        </w:rPr>
        <w:t>de</w:t>
      </w:r>
      <w:r w:rsidRPr="00680B5B">
        <w:rPr>
          <w:rFonts w:ascii="Times New Roman" w:hAnsi="Times New Roman" w:cs="Times New Roman"/>
          <w:spacing w:val="-4"/>
        </w:rPr>
        <w:t xml:space="preserve"> </w:t>
      </w:r>
      <w:r w:rsidRPr="00680B5B">
        <w:rPr>
          <w:rFonts w:ascii="Times New Roman" w:hAnsi="Times New Roman" w:cs="Times New Roman"/>
          <w:spacing w:val="-2"/>
        </w:rPr>
        <w:t>estoque.</w:t>
      </w:r>
    </w:p>
    <w:p w14:paraId="4F6581D5" w14:textId="77777777" w:rsidR="00B307DB" w:rsidRPr="00680B5B" w:rsidRDefault="00B307DB" w:rsidP="00F60DF5">
      <w:pPr>
        <w:pStyle w:val="PargrafodaLista"/>
        <w:numPr>
          <w:ilvl w:val="0"/>
          <w:numId w:val="312"/>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seja estipulado limites de materiais mediante controle de cotas de consumo, para poder delimitar ao departamento a quantidade limite que ele poderá requisitar ao almoxarifado mensalmente.</w:t>
      </w:r>
    </w:p>
    <w:p w14:paraId="0432B075" w14:textId="77777777" w:rsidR="00B307DB" w:rsidRPr="00680B5B" w:rsidRDefault="00B307DB" w:rsidP="00F60DF5">
      <w:pPr>
        <w:pStyle w:val="PargrafodaLista"/>
        <w:numPr>
          <w:ilvl w:val="0"/>
          <w:numId w:val="312"/>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consultar as últimas aquisições, com informação ao preço das últimas compras, para estimativa de custo.</w:t>
      </w:r>
    </w:p>
    <w:p w14:paraId="27A83772" w14:textId="77777777" w:rsidR="00B307DB" w:rsidRPr="00680B5B" w:rsidRDefault="00B307DB" w:rsidP="00F60DF5">
      <w:pPr>
        <w:pStyle w:val="PargrafodaLista"/>
        <w:numPr>
          <w:ilvl w:val="0"/>
          <w:numId w:val="312"/>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consultar e gerenciar a necessidade de reposição de materiais, possibilitando a realização do pedido ao Compras por meio de requisição ao Compras.</w:t>
      </w:r>
    </w:p>
    <w:p w14:paraId="7B63DA11" w14:textId="77777777" w:rsidR="00B307DB" w:rsidRPr="00680B5B" w:rsidRDefault="00B307DB" w:rsidP="00F60DF5">
      <w:pPr>
        <w:pStyle w:val="PargrafodaLista"/>
        <w:numPr>
          <w:ilvl w:val="0"/>
          <w:numId w:val="312"/>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integração com o sistema de compra para realização de entradas de materiais importando dados oriundos de ordens de compra ou realizar entradas por meio de informações</w:t>
      </w:r>
      <w:r w:rsidRPr="00680B5B">
        <w:rPr>
          <w:rFonts w:ascii="Times New Roman" w:hAnsi="Times New Roman" w:cs="Times New Roman"/>
          <w:spacing w:val="40"/>
        </w:rPr>
        <w:t xml:space="preserve"> </w:t>
      </w:r>
      <w:r w:rsidRPr="00680B5B">
        <w:rPr>
          <w:rFonts w:ascii="Times New Roman" w:hAnsi="Times New Roman" w:cs="Times New Roman"/>
        </w:rPr>
        <w:t>de notas fiscais acesso ao centro de custos, materiais e fornecedores.</w:t>
      </w:r>
    </w:p>
    <w:p w14:paraId="40B1AD38" w14:textId="77777777" w:rsidR="00B307DB" w:rsidRPr="00680B5B" w:rsidRDefault="00B307DB" w:rsidP="00F60DF5">
      <w:pPr>
        <w:pStyle w:val="PargrafodaLista"/>
        <w:numPr>
          <w:ilvl w:val="0"/>
          <w:numId w:val="312"/>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realizar requisições/pedidos de materiais ao responsável do almoxarifado, bem como realizar o controle de pendências dos respectivos pedidos para fornecimento de materiais.</w:t>
      </w:r>
    </w:p>
    <w:p w14:paraId="7B4F1EAC" w14:textId="77777777" w:rsidR="00B307DB" w:rsidRPr="00680B5B" w:rsidRDefault="00B307DB" w:rsidP="00F60DF5">
      <w:pPr>
        <w:pStyle w:val="PargrafodaLista"/>
        <w:numPr>
          <w:ilvl w:val="0"/>
          <w:numId w:val="312"/>
        </w:numPr>
        <w:tabs>
          <w:tab w:val="left" w:pos="700"/>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controle efetivo sobre as requisições/pedidos de materiais, permitindo atendimento parcial de requisições e mantendo o controle sobre o saldo não atendido das requisições.</w:t>
      </w:r>
    </w:p>
    <w:p w14:paraId="2558AAD1" w14:textId="77777777" w:rsidR="00B307DB" w:rsidRPr="00680B5B" w:rsidRDefault="00B307DB" w:rsidP="00F60DF5">
      <w:pPr>
        <w:pStyle w:val="PargrafodaLista"/>
        <w:numPr>
          <w:ilvl w:val="0"/>
          <w:numId w:val="312"/>
        </w:numPr>
        <w:tabs>
          <w:tab w:val="left" w:pos="8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Utilizar centros de custo (setores/departamentos) na distribuição de matérias, através das requisições/pedidos de materiais e/ou saídas de materiais para controle do consumo.</w:t>
      </w:r>
    </w:p>
    <w:p w14:paraId="559DD0FE" w14:textId="77777777" w:rsidR="00B307DB" w:rsidRPr="00680B5B" w:rsidRDefault="00B307DB" w:rsidP="00F60DF5">
      <w:pPr>
        <w:pStyle w:val="PargrafodaLista"/>
        <w:numPr>
          <w:ilvl w:val="0"/>
          <w:numId w:val="312"/>
        </w:numPr>
        <w:tabs>
          <w:tab w:val="left" w:pos="8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Efetuar cálculo automático do preço médio dos materiais, bem como a sua atualização a cada entrada de produto em estoque.</w:t>
      </w:r>
    </w:p>
    <w:p w14:paraId="22677B8A" w14:textId="77777777" w:rsidR="00B307DB" w:rsidRPr="00680B5B" w:rsidRDefault="00B307DB" w:rsidP="00F60DF5">
      <w:pPr>
        <w:pStyle w:val="PargrafodaLista"/>
        <w:numPr>
          <w:ilvl w:val="0"/>
          <w:numId w:val="312"/>
        </w:numPr>
        <w:tabs>
          <w:tab w:val="left" w:pos="8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w:t>
      </w:r>
      <w:r w:rsidRPr="00680B5B">
        <w:rPr>
          <w:rFonts w:ascii="Times New Roman" w:hAnsi="Times New Roman" w:cs="Times New Roman"/>
          <w:spacing w:val="-2"/>
        </w:rPr>
        <w:t xml:space="preserve"> </w:t>
      </w:r>
      <w:r w:rsidRPr="00680B5B">
        <w:rPr>
          <w:rFonts w:ascii="Times New Roman" w:hAnsi="Times New Roman" w:cs="Times New Roman"/>
        </w:rPr>
        <w:t>abertura e o</w:t>
      </w:r>
      <w:r w:rsidRPr="00680B5B">
        <w:rPr>
          <w:rFonts w:ascii="Times New Roman" w:hAnsi="Times New Roman" w:cs="Times New Roman"/>
          <w:spacing w:val="-1"/>
        </w:rPr>
        <w:t xml:space="preserve"> </w:t>
      </w:r>
      <w:r w:rsidRPr="00680B5B">
        <w:rPr>
          <w:rFonts w:ascii="Times New Roman" w:hAnsi="Times New Roman" w:cs="Times New Roman"/>
        </w:rPr>
        <w:t>fechamento de inventários. Não</w:t>
      </w:r>
      <w:r w:rsidRPr="00680B5B">
        <w:rPr>
          <w:rFonts w:ascii="Times New Roman" w:hAnsi="Times New Roman" w:cs="Times New Roman"/>
          <w:spacing w:val="-1"/>
        </w:rPr>
        <w:t xml:space="preserve"> </w:t>
      </w:r>
      <w:r w:rsidRPr="00680B5B">
        <w:rPr>
          <w:rFonts w:ascii="Times New Roman" w:hAnsi="Times New Roman" w:cs="Times New Roman"/>
        </w:rPr>
        <w:t>permitindo a movimentação, seja de entrada ou saída de materiais quando o estoque e/ou produto estiverem em inventário. Sua movimentação somente poderá ocorrer após a conclusão do inventário.</w:t>
      </w:r>
    </w:p>
    <w:p w14:paraId="76FB19BF" w14:textId="77777777" w:rsidR="00B307DB" w:rsidRPr="00680B5B" w:rsidRDefault="00B307DB" w:rsidP="00F60DF5">
      <w:pPr>
        <w:pStyle w:val="PargrafodaLista"/>
        <w:numPr>
          <w:ilvl w:val="0"/>
          <w:numId w:val="312"/>
        </w:numPr>
        <w:tabs>
          <w:tab w:val="left" w:pos="8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que permita que o responsável pelo almoxarifado realize bloqueios por depósito,</w:t>
      </w:r>
      <w:r w:rsidRPr="00680B5B">
        <w:rPr>
          <w:rFonts w:ascii="Times New Roman" w:hAnsi="Times New Roman" w:cs="Times New Roman"/>
          <w:spacing w:val="58"/>
        </w:rPr>
        <w:t xml:space="preserve"> </w:t>
      </w:r>
      <w:r w:rsidRPr="00680B5B">
        <w:rPr>
          <w:rFonts w:ascii="Times New Roman" w:hAnsi="Times New Roman" w:cs="Times New Roman"/>
        </w:rPr>
        <w:t>por</w:t>
      </w:r>
      <w:r w:rsidRPr="00680B5B">
        <w:rPr>
          <w:rFonts w:ascii="Times New Roman" w:hAnsi="Times New Roman" w:cs="Times New Roman"/>
          <w:spacing w:val="58"/>
        </w:rPr>
        <w:t xml:space="preserve"> </w:t>
      </w:r>
      <w:r w:rsidRPr="00680B5B">
        <w:rPr>
          <w:rFonts w:ascii="Times New Roman" w:hAnsi="Times New Roman" w:cs="Times New Roman"/>
        </w:rPr>
        <w:t>produto</w:t>
      </w:r>
      <w:r w:rsidRPr="00680B5B">
        <w:rPr>
          <w:rFonts w:ascii="Times New Roman" w:hAnsi="Times New Roman" w:cs="Times New Roman"/>
          <w:spacing w:val="60"/>
        </w:rPr>
        <w:t xml:space="preserve"> </w:t>
      </w:r>
      <w:r w:rsidRPr="00680B5B">
        <w:rPr>
          <w:rFonts w:ascii="Times New Roman" w:hAnsi="Times New Roman" w:cs="Times New Roman"/>
        </w:rPr>
        <w:t>ou</w:t>
      </w:r>
      <w:r w:rsidRPr="00680B5B">
        <w:rPr>
          <w:rFonts w:ascii="Times New Roman" w:hAnsi="Times New Roman" w:cs="Times New Roman"/>
          <w:spacing w:val="58"/>
        </w:rPr>
        <w:t xml:space="preserve"> </w:t>
      </w:r>
      <w:r w:rsidRPr="00680B5B">
        <w:rPr>
          <w:rFonts w:ascii="Times New Roman" w:hAnsi="Times New Roman" w:cs="Times New Roman"/>
        </w:rPr>
        <w:t>por</w:t>
      </w:r>
      <w:r w:rsidRPr="00680B5B">
        <w:rPr>
          <w:rFonts w:ascii="Times New Roman" w:hAnsi="Times New Roman" w:cs="Times New Roman"/>
          <w:spacing w:val="58"/>
        </w:rPr>
        <w:t xml:space="preserve"> </w:t>
      </w:r>
      <w:r w:rsidRPr="00680B5B">
        <w:rPr>
          <w:rFonts w:ascii="Times New Roman" w:hAnsi="Times New Roman" w:cs="Times New Roman"/>
        </w:rPr>
        <w:t>produto</w:t>
      </w:r>
      <w:r w:rsidRPr="00680B5B">
        <w:rPr>
          <w:rFonts w:ascii="Times New Roman" w:hAnsi="Times New Roman" w:cs="Times New Roman"/>
          <w:spacing w:val="58"/>
        </w:rPr>
        <w:t xml:space="preserve"> </w:t>
      </w:r>
      <w:r w:rsidRPr="00680B5B">
        <w:rPr>
          <w:rFonts w:ascii="Times New Roman" w:hAnsi="Times New Roman" w:cs="Times New Roman"/>
        </w:rPr>
        <w:t>do</w:t>
      </w:r>
      <w:r w:rsidRPr="00680B5B">
        <w:rPr>
          <w:rFonts w:ascii="Times New Roman" w:hAnsi="Times New Roman" w:cs="Times New Roman"/>
          <w:spacing w:val="58"/>
        </w:rPr>
        <w:t xml:space="preserve"> </w:t>
      </w:r>
      <w:r w:rsidRPr="00680B5B">
        <w:rPr>
          <w:rFonts w:ascii="Times New Roman" w:hAnsi="Times New Roman" w:cs="Times New Roman"/>
        </w:rPr>
        <w:t>depósito,</w:t>
      </w:r>
      <w:r w:rsidRPr="00680B5B">
        <w:rPr>
          <w:rFonts w:ascii="Times New Roman" w:hAnsi="Times New Roman" w:cs="Times New Roman"/>
          <w:spacing w:val="60"/>
        </w:rPr>
        <w:t xml:space="preserve"> </w:t>
      </w:r>
      <w:r w:rsidRPr="00680B5B">
        <w:rPr>
          <w:rFonts w:ascii="Times New Roman" w:hAnsi="Times New Roman" w:cs="Times New Roman"/>
        </w:rPr>
        <w:t>a</w:t>
      </w:r>
      <w:r w:rsidRPr="00680B5B">
        <w:rPr>
          <w:rFonts w:ascii="Times New Roman" w:hAnsi="Times New Roman" w:cs="Times New Roman"/>
          <w:spacing w:val="58"/>
        </w:rPr>
        <w:t xml:space="preserve"> </w:t>
      </w:r>
      <w:r w:rsidRPr="00680B5B">
        <w:rPr>
          <w:rFonts w:ascii="Times New Roman" w:hAnsi="Times New Roman" w:cs="Times New Roman"/>
        </w:rPr>
        <w:t>fim</w:t>
      </w:r>
      <w:r w:rsidRPr="00680B5B">
        <w:rPr>
          <w:rFonts w:ascii="Times New Roman" w:hAnsi="Times New Roman" w:cs="Times New Roman"/>
          <w:spacing w:val="59"/>
        </w:rPr>
        <w:t xml:space="preserve"> </w:t>
      </w:r>
      <w:r w:rsidRPr="00680B5B">
        <w:rPr>
          <w:rFonts w:ascii="Times New Roman" w:hAnsi="Times New Roman" w:cs="Times New Roman"/>
        </w:rPr>
        <w:t>de</w:t>
      </w:r>
      <w:r w:rsidRPr="00680B5B">
        <w:rPr>
          <w:rFonts w:ascii="Times New Roman" w:hAnsi="Times New Roman" w:cs="Times New Roman"/>
          <w:spacing w:val="58"/>
        </w:rPr>
        <w:t xml:space="preserve"> </w:t>
      </w:r>
      <w:r w:rsidRPr="00680B5B">
        <w:rPr>
          <w:rFonts w:ascii="Times New Roman" w:hAnsi="Times New Roman" w:cs="Times New Roman"/>
        </w:rPr>
        <w:t>não</w:t>
      </w:r>
      <w:r w:rsidRPr="00680B5B">
        <w:rPr>
          <w:rFonts w:ascii="Times New Roman" w:hAnsi="Times New Roman" w:cs="Times New Roman"/>
          <w:spacing w:val="58"/>
        </w:rPr>
        <w:t xml:space="preserve"> </w:t>
      </w:r>
      <w:r w:rsidRPr="00680B5B">
        <w:rPr>
          <w:rFonts w:ascii="Times New Roman" w:hAnsi="Times New Roman" w:cs="Times New Roman"/>
        </w:rPr>
        <w:t>permitir</w:t>
      </w:r>
      <w:r w:rsidRPr="00680B5B">
        <w:rPr>
          <w:rFonts w:ascii="Times New Roman" w:hAnsi="Times New Roman" w:cs="Times New Roman"/>
          <w:spacing w:val="62"/>
        </w:rPr>
        <w:t xml:space="preserve"> </w:t>
      </w:r>
      <w:r w:rsidRPr="00680B5B">
        <w:rPr>
          <w:rFonts w:ascii="Times New Roman" w:hAnsi="Times New Roman" w:cs="Times New Roman"/>
        </w:rPr>
        <w:t>nenhum</w:t>
      </w:r>
      <w:r w:rsidRPr="00680B5B">
        <w:rPr>
          <w:rFonts w:ascii="Times New Roman" w:hAnsi="Times New Roman" w:cs="Times New Roman"/>
          <w:spacing w:val="57"/>
        </w:rPr>
        <w:t xml:space="preserve"> </w:t>
      </w:r>
      <w:r w:rsidRPr="00680B5B">
        <w:rPr>
          <w:rFonts w:ascii="Times New Roman" w:hAnsi="Times New Roman" w:cs="Times New Roman"/>
        </w:rPr>
        <w:t>tipo</w:t>
      </w:r>
      <w:r w:rsidRPr="00680B5B">
        <w:rPr>
          <w:rFonts w:ascii="Times New Roman" w:hAnsi="Times New Roman" w:cs="Times New Roman"/>
          <w:spacing w:val="60"/>
        </w:rPr>
        <w:t xml:space="preserve"> </w:t>
      </w:r>
      <w:r w:rsidRPr="00680B5B">
        <w:rPr>
          <w:rFonts w:ascii="Times New Roman" w:hAnsi="Times New Roman" w:cs="Times New Roman"/>
        </w:rPr>
        <w:t>de movimentação</w:t>
      </w:r>
      <w:r w:rsidRPr="00680B5B">
        <w:rPr>
          <w:rFonts w:ascii="Times New Roman" w:hAnsi="Times New Roman" w:cs="Times New Roman"/>
          <w:spacing w:val="-8"/>
        </w:rPr>
        <w:t xml:space="preserve"> </w:t>
      </w:r>
      <w:r w:rsidRPr="00680B5B">
        <w:rPr>
          <w:rFonts w:ascii="Times New Roman" w:hAnsi="Times New Roman" w:cs="Times New Roman"/>
          <w:spacing w:val="-2"/>
        </w:rPr>
        <w:t>(entrada/saída).</w:t>
      </w:r>
    </w:p>
    <w:p w14:paraId="1A17B292" w14:textId="77777777" w:rsidR="00B307DB" w:rsidRPr="00680B5B" w:rsidRDefault="00B307DB" w:rsidP="00F60DF5">
      <w:pPr>
        <w:pStyle w:val="PargrafodaLista"/>
        <w:numPr>
          <w:ilvl w:val="0"/>
          <w:numId w:val="312"/>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a possibilidade de consulta rápida dos dados referente ao vencimento do estoque, possibilitando ao menos a consulta dos vencidos, vencimentos em 30 dias.</w:t>
      </w:r>
    </w:p>
    <w:p w14:paraId="1A2A3A06" w14:textId="77777777" w:rsidR="00B307DB" w:rsidRPr="00680B5B" w:rsidRDefault="00B307DB" w:rsidP="00F60DF5">
      <w:pPr>
        <w:pStyle w:val="PargrafodaLista"/>
        <w:numPr>
          <w:ilvl w:val="0"/>
          <w:numId w:val="312"/>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integração com</w:t>
      </w:r>
      <w:r w:rsidRPr="00680B5B">
        <w:rPr>
          <w:rFonts w:ascii="Times New Roman" w:hAnsi="Times New Roman" w:cs="Times New Roman"/>
          <w:spacing w:val="-1"/>
        </w:rPr>
        <w:t xml:space="preserve"> </w:t>
      </w:r>
      <w:r w:rsidRPr="00680B5B">
        <w:rPr>
          <w:rFonts w:ascii="Times New Roman" w:hAnsi="Times New Roman" w:cs="Times New Roman"/>
        </w:rPr>
        <w:t>a</w:t>
      </w:r>
      <w:r w:rsidRPr="00680B5B">
        <w:rPr>
          <w:rFonts w:ascii="Times New Roman" w:hAnsi="Times New Roman" w:cs="Times New Roman"/>
          <w:spacing w:val="-3"/>
        </w:rPr>
        <w:t xml:space="preserve"> </w:t>
      </w:r>
      <w:r w:rsidRPr="00680B5B">
        <w:rPr>
          <w:rFonts w:ascii="Times New Roman" w:hAnsi="Times New Roman" w:cs="Times New Roman"/>
        </w:rPr>
        <w:t>contabilidade, para</w:t>
      </w:r>
      <w:r w:rsidRPr="00680B5B">
        <w:rPr>
          <w:rFonts w:ascii="Times New Roman" w:hAnsi="Times New Roman" w:cs="Times New Roman"/>
          <w:spacing w:val="-3"/>
        </w:rPr>
        <w:t xml:space="preserve"> </w:t>
      </w:r>
      <w:r w:rsidRPr="00680B5B">
        <w:rPr>
          <w:rFonts w:ascii="Times New Roman" w:hAnsi="Times New Roman" w:cs="Times New Roman"/>
        </w:rPr>
        <w:t>disponibilizar os</w:t>
      </w:r>
      <w:r w:rsidRPr="00680B5B">
        <w:rPr>
          <w:rFonts w:ascii="Times New Roman" w:hAnsi="Times New Roman" w:cs="Times New Roman"/>
          <w:spacing w:val="-1"/>
        </w:rPr>
        <w:t xml:space="preserve"> </w:t>
      </w:r>
      <w:r w:rsidRPr="00680B5B">
        <w:rPr>
          <w:rFonts w:ascii="Times New Roman" w:hAnsi="Times New Roman" w:cs="Times New Roman"/>
        </w:rPr>
        <w:t>dados</w:t>
      </w:r>
      <w:r w:rsidRPr="00680B5B">
        <w:rPr>
          <w:rFonts w:ascii="Times New Roman" w:hAnsi="Times New Roman" w:cs="Times New Roman"/>
          <w:spacing w:val="-1"/>
        </w:rPr>
        <w:t xml:space="preserve"> </w:t>
      </w:r>
      <w:r w:rsidRPr="00680B5B">
        <w:rPr>
          <w:rFonts w:ascii="Times New Roman" w:hAnsi="Times New Roman" w:cs="Times New Roman"/>
        </w:rPr>
        <w:t>referentes a</w:t>
      </w:r>
      <w:r w:rsidRPr="00680B5B">
        <w:rPr>
          <w:rFonts w:ascii="Times New Roman" w:hAnsi="Times New Roman" w:cs="Times New Roman"/>
          <w:spacing w:val="-1"/>
        </w:rPr>
        <w:t xml:space="preserve"> </w:t>
      </w:r>
      <w:r w:rsidRPr="00680B5B">
        <w:rPr>
          <w:rFonts w:ascii="Times New Roman" w:hAnsi="Times New Roman" w:cs="Times New Roman"/>
        </w:rPr>
        <w:t>entradas e saídas de materiais para serem contabilizadas pelo departamento de contabilidade.</w:t>
      </w:r>
    </w:p>
    <w:p w14:paraId="6100A762" w14:textId="77777777" w:rsidR="00B307DB" w:rsidRPr="00680B5B" w:rsidRDefault="00B307DB" w:rsidP="00F60DF5">
      <w:pPr>
        <w:pStyle w:val="PargrafodaLista"/>
        <w:numPr>
          <w:ilvl w:val="0"/>
          <w:numId w:val="312"/>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Possibilitara</w:t>
      </w:r>
      <w:r w:rsidRPr="00680B5B">
        <w:rPr>
          <w:rFonts w:ascii="Times New Roman" w:hAnsi="Times New Roman" w:cs="Times New Roman"/>
          <w:spacing w:val="80"/>
        </w:rPr>
        <w:t xml:space="preserve"> </w:t>
      </w:r>
      <w:r w:rsidRPr="00680B5B">
        <w:rPr>
          <w:rFonts w:ascii="Times New Roman" w:hAnsi="Times New Roman" w:cs="Times New Roman"/>
        </w:rPr>
        <w:t>emissão</w:t>
      </w:r>
      <w:r w:rsidRPr="00680B5B">
        <w:rPr>
          <w:rFonts w:ascii="Times New Roman" w:hAnsi="Times New Roman" w:cs="Times New Roman"/>
          <w:spacing w:val="80"/>
        </w:rPr>
        <w:t xml:space="preserve"> </w:t>
      </w:r>
      <w:r w:rsidRPr="00680B5B">
        <w:rPr>
          <w:rFonts w:ascii="Times New Roman" w:hAnsi="Times New Roman" w:cs="Times New Roman"/>
        </w:rPr>
        <w:t>de</w:t>
      </w:r>
      <w:r w:rsidRPr="00680B5B">
        <w:rPr>
          <w:rFonts w:ascii="Times New Roman" w:hAnsi="Times New Roman" w:cs="Times New Roman"/>
          <w:spacing w:val="80"/>
        </w:rPr>
        <w:t xml:space="preserve"> </w:t>
      </w:r>
      <w:r w:rsidRPr="00680B5B">
        <w:rPr>
          <w:rFonts w:ascii="Times New Roman" w:hAnsi="Times New Roman" w:cs="Times New Roman"/>
        </w:rPr>
        <w:t>relatório</w:t>
      </w:r>
      <w:r w:rsidRPr="00680B5B">
        <w:rPr>
          <w:rFonts w:ascii="Times New Roman" w:hAnsi="Times New Roman" w:cs="Times New Roman"/>
          <w:spacing w:val="80"/>
        </w:rPr>
        <w:t xml:space="preserve"> </w:t>
      </w:r>
      <w:r w:rsidRPr="00680B5B">
        <w:rPr>
          <w:rFonts w:ascii="Times New Roman" w:hAnsi="Times New Roman" w:cs="Times New Roman"/>
        </w:rPr>
        <w:t>da</w:t>
      </w:r>
      <w:r w:rsidRPr="00680B5B">
        <w:rPr>
          <w:rFonts w:ascii="Times New Roman" w:hAnsi="Times New Roman" w:cs="Times New Roman"/>
          <w:spacing w:val="80"/>
        </w:rPr>
        <w:t xml:space="preserve"> </w:t>
      </w:r>
      <w:r w:rsidRPr="00680B5B">
        <w:rPr>
          <w:rFonts w:ascii="Times New Roman" w:hAnsi="Times New Roman" w:cs="Times New Roman"/>
        </w:rPr>
        <w:t>ficha</w:t>
      </w:r>
      <w:r w:rsidRPr="00680B5B">
        <w:rPr>
          <w:rFonts w:ascii="Times New Roman" w:hAnsi="Times New Roman" w:cs="Times New Roman"/>
          <w:spacing w:val="80"/>
        </w:rPr>
        <w:t xml:space="preserve"> </w:t>
      </w:r>
      <w:r w:rsidRPr="00680B5B">
        <w:rPr>
          <w:rFonts w:ascii="Times New Roman" w:hAnsi="Times New Roman" w:cs="Times New Roman"/>
        </w:rPr>
        <w:t>de</w:t>
      </w:r>
      <w:r w:rsidRPr="00680B5B">
        <w:rPr>
          <w:rFonts w:ascii="Times New Roman" w:hAnsi="Times New Roman" w:cs="Times New Roman"/>
          <w:spacing w:val="80"/>
        </w:rPr>
        <w:t xml:space="preserve"> </w:t>
      </w:r>
      <w:r w:rsidRPr="00680B5B">
        <w:rPr>
          <w:rFonts w:ascii="Times New Roman" w:hAnsi="Times New Roman" w:cs="Times New Roman"/>
        </w:rPr>
        <w:t>controle</w:t>
      </w:r>
      <w:r w:rsidRPr="00680B5B">
        <w:rPr>
          <w:rFonts w:ascii="Times New Roman" w:hAnsi="Times New Roman" w:cs="Times New Roman"/>
          <w:spacing w:val="80"/>
        </w:rPr>
        <w:t xml:space="preserve"> </w:t>
      </w:r>
      <w:r w:rsidRPr="00680B5B">
        <w:rPr>
          <w:rFonts w:ascii="Times New Roman" w:hAnsi="Times New Roman" w:cs="Times New Roman"/>
        </w:rPr>
        <w:t>de</w:t>
      </w:r>
      <w:r w:rsidRPr="00680B5B">
        <w:rPr>
          <w:rFonts w:ascii="Times New Roman" w:hAnsi="Times New Roman" w:cs="Times New Roman"/>
          <w:spacing w:val="80"/>
        </w:rPr>
        <w:t xml:space="preserve"> </w:t>
      </w:r>
      <w:r w:rsidRPr="00680B5B">
        <w:rPr>
          <w:rFonts w:ascii="Times New Roman" w:hAnsi="Times New Roman" w:cs="Times New Roman"/>
        </w:rPr>
        <w:t>estoque,</w:t>
      </w:r>
      <w:r w:rsidRPr="00680B5B">
        <w:rPr>
          <w:rFonts w:ascii="Times New Roman" w:hAnsi="Times New Roman" w:cs="Times New Roman"/>
          <w:spacing w:val="80"/>
        </w:rPr>
        <w:t xml:space="preserve"> </w:t>
      </w:r>
      <w:r w:rsidRPr="00680B5B">
        <w:rPr>
          <w:rFonts w:ascii="Times New Roman" w:hAnsi="Times New Roman" w:cs="Times New Roman"/>
        </w:rPr>
        <w:t>mostrando</w:t>
      </w:r>
      <w:r w:rsidRPr="00680B5B">
        <w:rPr>
          <w:rFonts w:ascii="Times New Roman" w:hAnsi="Times New Roman" w:cs="Times New Roman"/>
          <w:spacing w:val="80"/>
        </w:rPr>
        <w:t xml:space="preserve"> </w:t>
      </w:r>
      <w:r w:rsidRPr="00680B5B">
        <w:rPr>
          <w:rFonts w:ascii="Times New Roman" w:hAnsi="Times New Roman" w:cs="Times New Roman"/>
        </w:rPr>
        <w:t>as movimentações por material e período com saldo anterior ao período (analítico/sintético).</w:t>
      </w:r>
    </w:p>
    <w:p w14:paraId="71224512" w14:textId="77777777" w:rsidR="00B307DB" w:rsidRPr="00680B5B" w:rsidRDefault="00B307DB" w:rsidP="00F60DF5">
      <w:pPr>
        <w:pStyle w:val="PargrafodaLista"/>
        <w:numPr>
          <w:ilvl w:val="0"/>
          <w:numId w:val="312"/>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w:t>
      </w:r>
      <w:r w:rsidRPr="00680B5B">
        <w:rPr>
          <w:rFonts w:ascii="Times New Roman" w:hAnsi="Times New Roman" w:cs="Times New Roman"/>
          <w:spacing w:val="29"/>
        </w:rPr>
        <w:t xml:space="preserve"> </w:t>
      </w:r>
      <w:r w:rsidRPr="00680B5B">
        <w:rPr>
          <w:rFonts w:ascii="Times New Roman" w:hAnsi="Times New Roman" w:cs="Times New Roman"/>
        </w:rPr>
        <w:t>a</w:t>
      </w:r>
      <w:r w:rsidRPr="00680B5B">
        <w:rPr>
          <w:rFonts w:ascii="Times New Roman" w:hAnsi="Times New Roman" w:cs="Times New Roman"/>
          <w:spacing w:val="27"/>
        </w:rPr>
        <w:t xml:space="preserve"> </w:t>
      </w:r>
      <w:r w:rsidRPr="00680B5B">
        <w:rPr>
          <w:rFonts w:ascii="Times New Roman" w:hAnsi="Times New Roman" w:cs="Times New Roman"/>
        </w:rPr>
        <w:t>emissão</w:t>
      </w:r>
      <w:r w:rsidRPr="00680B5B">
        <w:rPr>
          <w:rFonts w:ascii="Times New Roman" w:hAnsi="Times New Roman" w:cs="Times New Roman"/>
          <w:spacing w:val="27"/>
        </w:rPr>
        <w:t xml:space="preserve"> </w:t>
      </w:r>
      <w:r w:rsidRPr="00680B5B">
        <w:rPr>
          <w:rFonts w:ascii="Times New Roman" w:hAnsi="Times New Roman" w:cs="Times New Roman"/>
        </w:rPr>
        <w:t>de</w:t>
      </w:r>
      <w:r w:rsidRPr="00680B5B">
        <w:rPr>
          <w:rFonts w:ascii="Times New Roman" w:hAnsi="Times New Roman" w:cs="Times New Roman"/>
          <w:spacing w:val="25"/>
        </w:rPr>
        <w:t xml:space="preserve"> </w:t>
      </w:r>
      <w:r w:rsidRPr="00680B5B">
        <w:rPr>
          <w:rFonts w:ascii="Times New Roman" w:hAnsi="Times New Roman" w:cs="Times New Roman"/>
        </w:rPr>
        <w:t>relatórios</w:t>
      </w:r>
      <w:r w:rsidRPr="00680B5B">
        <w:rPr>
          <w:rFonts w:ascii="Times New Roman" w:hAnsi="Times New Roman" w:cs="Times New Roman"/>
          <w:spacing w:val="30"/>
        </w:rPr>
        <w:t xml:space="preserve"> </w:t>
      </w:r>
      <w:r w:rsidRPr="00680B5B">
        <w:rPr>
          <w:rFonts w:ascii="Times New Roman" w:hAnsi="Times New Roman" w:cs="Times New Roman"/>
        </w:rPr>
        <w:t>de</w:t>
      </w:r>
      <w:r w:rsidRPr="00680B5B">
        <w:rPr>
          <w:rFonts w:ascii="Times New Roman" w:hAnsi="Times New Roman" w:cs="Times New Roman"/>
          <w:spacing w:val="27"/>
        </w:rPr>
        <w:t xml:space="preserve"> </w:t>
      </w:r>
      <w:r w:rsidRPr="00680B5B">
        <w:rPr>
          <w:rFonts w:ascii="Times New Roman" w:hAnsi="Times New Roman" w:cs="Times New Roman"/>
        </w:rPr>
        <w:t>entradas</w:t>
      </w:r>
      <w:r w:rsidRPr="00680B5B">
        <w:rPr>
          <w:rFonts w:ascii="Times New Roman" w:hAnsi="Times New Roman" w:cs="Times New Roman"/>
          <w:spacing w:val="28"/>
        </w:rPr>
        <w:t xml:space="preserve"> </w:t>
      </w:r>
      <w:r w:rsidRPr="00680B5B">
        <w:rPr>
          <w:rFonts w:ascii="Times New Roman" w:hAnsi="Times New Roman" w:cs="Times New Roman"/>
        </w:rPr>
        <w:t>e</w:t>
      </w:r>
      <w:r w:rsidRPr="00680B5B">
        <w:rPr>
          <w:rFonts w:ascii="Times New Roman" w:hAnsi="Times New Roman" w:cs="Times New Roman"/>
          <w:spacing w:val="27"/>
        </w:rPr>
        <w:t xml:space="preserve"> </w:t>
      </w:r>
      <w:r w:rsidRPr="00680B5B">
        <w:rPr>
          <w:rFonts w:ascii="Times New Roman" w:hAnsi="Times New Roman" w:cs="Times New Roman"/>
        </w:rPr>
        <w:t>saídas</w:t>
      </w:r>
      <w:r w:rsidRPr="00680B5B">
        <w:rPr>
          <w:rFonts w:ascii="Times New Roman" w:hAnsi="Times New Roman" w:cs="Times New Roman"/>
          <w:spacing w:val="26"/>
        </w:rPr>
        <w:t xml:space="preserve"> </w:t>
      </w:r>
      <w:r w:rsidRPr="00680B5B">
        <w:rPr>
          <w:rFonts w:ascii="Times New Roman" w:hAnsi="Times New Roman" w:cs="Times New Roman"/>
        </w:rPr>
        <w:t>de</w:t>
      </w:r>
      <w:r w:rsidRPr="00680B5B">
        <w:rPr>
          <w:rFonts w:ascii="Times New Roman" w:hAnsi="Times New Roman" w:cs="Times New Roman"/>
          <w:spacing w:val="27"/>
        </w:rPr>
        <w:t xml:space="preserve"> </w:t>
      </w:r>
      <w:r w:rsidRPr="00680B5B">
        <w:rPr>
          <w:rFonts w:ascii="Times New Roman" w:hAnsi="Times New Roman" w:cs="Times New Roman"/>
        </w:rPr>
        <w:t>materiais</w:t>
      </w:r>
      <w:r w:rsidRPr="00680B5B">
        <w:rPr>
          <w:rFonts w:ascii="Times New Roman" w:hAnsi="Times New Roman" w:cs="Times New Roman"/>
          <w:spacing w:val="28"/>
        </w:rPr>
        <w:t xml:space="preserve"> </w:t>
      </w:r>
      <w:r w:rsidRPr="00680B5B">
        <w:rPr>
          <w:rFonts w:ascii="Times New Roman" w:hAnsi="Times New Roman" w:cs="Times New Roman"/>
        </w:rPr>
        <w:t>por</w:t>
      </w:r>
      <w:r w:rsidRPr="00680B5B">
        <w:rPr>
          <w:rFonts w:ascii="Times New Roman" w:hAnsi="Times New Roman" w:cs="Times New Roman"/>
          <w:spacing w:val="27"/>
        </w:rPr>
        <w:t xml:space="preserve"> </w:t>
      </w:r>
      <w:r w:rsidRPr="00680B5B">
        <w:rPr>
          <w:rFonts w:ascii="Times New Roman" w:hAnsi="Times New Roman" w:cs="Times New Roman"/>
        </w:rPr>
        <w:t>produto,</w:t>
      </w:r>
      <w:r w:rsidRPr="00680B5B">
        <w:rPr>
          <w:rFonts w:ascii="Times New Roman" w:hAnsi="Times New Roman" w:cs="Times New Roman"/>
          <w:spacing w:val="27"/>
        </w:rPr>
        <w:t xml:space="preserve"> </w:t>
      </w:r>
      <w:r w:rsidRPr="00680B5B">
        <w:rPr>
          <w:rFonts w:ascii="Times New Roman" w:hAnsi="Times New Roman" w:cs="Times New Roman"/>
        </w:rPr>
        <w:t>nota fiscal e setor.</w:t>
      </w:r>
    </w:p>
    <w:p w14:paraId="4AC0C803" w14:textId="77777777" w:rsidR="00B307DB" w:rsidRPr="00680B5B" w:rsidRDefault="00B307DB" w:rsidP="00F60DF5">
      <w:pPr>
        <w:pStyle w:val="PargrafodaLista"/>
        <w:numPr>
          <w:ilvl w:val="0"/>
          <w:numId w:val="312"/>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w:t>
      </w:r>
      <w:r w:rsidRPr="00680B5B">
        <w:rPr>
          <w:rFonts w:ascii="Times New Roman" w:hAnsi="Times New Roman" w:cs="Times New Roman"/>
          <w:spacing w:val="40"/>
        </w:rPr>
        <w:t xml:space="preserve"> </w:t>
      </w:r>
      <w:r w:rsidRPr="00680B5B">
        <w:rPr>
          <w:rFonts w:ascii="Times New Roman" w:hAnsi="Times New Roman" w:cs="Times New Roman"/>
        </w:rPr>
        <w:t>a</w:t>
      </w:r>
      <w:r w:rsidRPr="00680B5B">
        <w:rPr>
          <w:rFonts w:ascii="Times New Roman" w:hAnsi="Times New Roman" w:cs="Times New Roman"/>
          <w:spacing w:val="40"/>
        </w:rPr>
        <w:t xml:space="preserve"> </w:t>
      </w:r>
      <w:r w:rsidRPr="00680B5B">
        <w:rPr>
          <w:rFonts w:ascii="Times New Roman" w:hAnsi="Times New Roman" w:cs="Times New Roman"/>
        </w:rPr>
        <w:t>emissão</w:t>
      </w:r>
      <w:r w:rsidRPr="00680B5B">
        <w:rPr>
          <w:rFonts w:ascii="Times New Roman" w:hAnsi="Times New Roman" w:cs="Times New Roman"/>
          <w:spacing w:val="40"/>
        </w:rPr>
        <w:t xml:space="preserve"> </w:t>
      </w:r>
      <w:r w:rsidRPr="00680B5B">
        <w:rPr>
          <w:rFonts w:ascii="Times New Roman" w:hAnsi="Times New Roman" w:cs="Times New Roman"/>
        </w:rPr>
        <w:t>de</w:t>
      </w:r>
      <w:r w:rsidRPr="00680B5B">
        <w:rPr>
          <w:rFonts w:ascii="Times New Roman" w:hAnsi="Times New Roman" w:cs="Times New Roman"/>
          <w:spacing w:val="40"/>
        </w:rPr>
        <w:t xml:space="preserve"> </w:t>
      </w:r>
      <w:r w:rsidRPr="00680B5B">
        <w:rPr>
          <w:rFonts w:ascii="Times New Roman" w:hAnsi="Times New Roman" w:cs="Times New Roman"/>
        </w:rPr>
        <w:t>relatório</w:t>
      </w:r>
      <w:r w:rsidRPr="00680B5B">
        <w:rPr>
          <w:rFonts w:ascii="Times New Roman" w:hAnsi="Times New Roman" w:cs="Times New Roman"/>
          <w:spacing w:val="40"/>
        </w:rPr>
        <w:t xml:space="preserve"> </w:t>
      </w:r>
      <w:r w:rsidRPr="00680B5B">
        <w:rPr>
          <w:rFonts w:ascii="Times New Roman" w:hAnsi="Times New Roman" w:cs="Times New Roman"/>
        </w:rPr>
        <w:t>financeiro</w:t>
      </w:r>
      <w:r w:rsidRPr="00680B5B">
        <w:rPr>
          <w:rFonts w:ascii="Times New Roman" w:hAnsi="Times New Roman" w:cs="Times New Roman"/>
          <w:spacing w:val="40"/>
        </w:rPr>
        <w:t xml:space="preserve"> </w:t>
      </w:r>
      <w:r w:rsidRPr="00680B5B">
        <w:rPr>
          <w:rFonts w:ascii="Times New Roman" w:hAnsi="Times New Roman" w:cs="Times New Roman"/>
        </w:rPr>
        <w:t>do</w:t>
      </w:r>
      <w:r w:rsidRPr="00680B5B">
        <w:rPr>
          <w:rFonts w:ascii="Times New Roman" w:hAnsi="Times New Roman" w:cs="Times New Roman"/>
          <w:spacing w:val="40"/>
        </w:rPr>
        <w:t xml:space="preserve"> </w:t>
      </w:r>
      <w:r w:rsidRPr="00680B5B">
        <w:rPr>
          <w:rFonts w:ascii="Times New Roman" w:hAnsi="Times New Roman" w:cs="Times New Roman"/>
        </w:rPr>
        <w:t>depósito</w:t>
      </w:r>
      <w:r w:rsidRPr="00680B5B">
        <w:rPr>
          <w:rFonts w:ascii="Times New Roman" w:hAnsi="Times New Roman" w:cs="Times New Roman"/>
          <w:spacing w:val="40"/>
        </w:rPr>
        <w:t xml:space="preserve"> </w:t>
      </w:r>
      <w:r w:rsidRPr="00680B5B">
        <w:rPr>
          <w:rFonts w:ascii="Times New Roman" w:hAnsi="Times New Roman" w:cs="Times New Roman"/>
        </w:rPr>
        <w:t>de</w:t>
      </w:r>
      <w:r w:rsidRPr="00680B5B">
        <w:rPr>
          <w:rFonts w:ascii="Times New Roman" w:hAnsi="Times New Roman" w:cs="Times New Roman"/>
          <w:spacing w:val="40"/>
        </w:rPr>
        <w:t xml:space="preserve"> </w:t>
      </w:r>
      <w:r w:rsidRPr="00680B5B">
        <w:rPr>
          <w:rFonts w:ascii="Times New Roman" w:hAnsi="Times New Roman" w:cs="Times New Roman"/>
        </w:rPr>
        <w:t>estoque</w:t>
      </w:r>
      <w:r w:rsidRPr="00680B5B">
        <w:rPr>
          <w:rFonts w:ascii="Times New Roman" w:hAnsi="Times New Roman" w:cs="Times New Roman"/>
          <w:spacing w:val="40"/>
        </w:rPr>
        <w:t xml:space="preserve"> </w:t>
      </w:r>
      <w:r w:rsidRPr="00680B5B">
        <w:rPr>
          <w:rFonts w:ascii="Times New Roman" w:hAnsi="Times New Roman" w:cs="Times New Roman"/>
        </w:rPr>
        <w:t>mostrando</w:t>
      </w:r>
      <w:r w:rsidRPr="00680B5B">
        <w:rPr>
          <w:rFonts w:ascii="Times New Roman" w:hAnsi="Times New Roman" w:cs="Times New Roman"/>
          <w:spacing w:val="40"/>
        </w:rPr>
        <w:t xml:space="preserve"> </w:t>
      </w:r>
      <w:r w:rsidRPr="00680B5B">
        <w:rPr>
          <w:rFonts w:ascii="Times New Roman" w:hAnsi="Times New Roman" w:cs="Times New Roman"/>
        </w:rPr>
        <w:t>os</w:t>
      </w:r>
      <w:r w:rsidRPr="00680B5B">
        <w:rPr>
          <w:rFonts w:ascii="Times New Roman" w:hAnsi="Times New Roman" w:cs="Times New Roman"/>
          <w:spacing w:val="80"/>
        </w:rPr>
        <w:t xml:space="preserve"> </w:t>
      </w:r>
      <w:r w:rsidRPr="00680B5B">
        <w:rPr>
          <w:rFonts w:ascii="Times New Roman" w:hAnsi="Times New Roman" w:cs="Times New Roman"/>
        </w:rPr>
        <w:t>movimentos de entradas, saídas e saldo atual por período.</w:t>
      </w:r>
    </w:p>
    <w:p w14:paraId="60C5FA52" w14:textId="77777777" w:rsidR="00B307DB" w:rsidRPr="00680B5B" w:rsidRDefault="00B307DB" w:rsidP="00F60DF5">
      <w:pPr>
        <w:pStyle w:val="PargrafodaLista"/>
        <w:numPr>
          <w:ilvl w:val="0"/>
          <w:numId w:val="312"/>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um resumo anual das entradas e saídas, mostrando o saldo financeiro mês a mês</w:t>
      </w:r>
      <w:r w:rsidRPr="00680B5B">
        <w:rPr>
          <w:rFonts w:ascii="Times New Roman" w:hAnsi="Times New Roman" w:cs="Times New Roman"/>
          <w:spacing w:val="40"/>
        </w:rPr>
        <w:t xml:space="preserve"> </w:t>
      </w:r>
      <w:r w:rsidRPr="00680B5B">
        <w:rPr>
          <w:rFonts w:ascii="Times New Roman" w:hAnsi="Times New Roman" w:cs="Times New Roman"/>
        </w:rPr>
        <w:t>por estoque e o resultado final no ano.</w:t>
      </w:r>
    </w:p>
    <w:p w14:paraId="262116D3" w14:textId="77777777" w:rsidR="00B307DB" w:rsidRPr="00680B5B" w:rsidRDefault="00B307DB" w:rsidP="00F60DF5">
      <w:pPr>
        <w:pStyle w:val="PargrafodaLista"/>
        <w:numPr>
          <w:ilvl w:val="0"/>
          <w:numId w:val="312"/>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relatórios de controle de</w:t>
      </w:r>
      <w:r w:rsidRPr="00680B5B">
        <w:rPr>
          <w:rFonts w:ascii="Times New Roman" w:hAnsi="Times New Roman" w:cs="Times New Roman"/>
          <w:spacing w:val="-3"/>
        </w:rPr>
        <w:t xml:space="preserve"> </w:t>
      </w:r>
      <w:r w:rsidRPr="00680B5B">
        <w:rPr>
          <w:rFonts w:ascii="Times New Roman" w:hAnsi="Times New Roman" w:cs="Times New Roman"/>
        </w:rPr>
        <w:t>validade de lotes de materiais, possibilitando seleção por: almoxarifado/deposito; período; materiais vencidos; materiais a vencer.</w:t>
      </w:r>
    </w:p>
    <w:p w14:paraId="5E7559DE" w14:textId="77777777" w:rsidR="00B307DB" w:rsidRPr="00680B5B" w:rsidRDefault="00B307DB" w:rsidP="00F60DF5">
      <w:pPr>
        <w:pStyle w:val="PargrafodaLista"/>
        <w:numPr>
          <w:ilvl w:val="0"/>
          <w:numId w:val="312"/>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40"/>
        </w:rPr>
        <w:t xml:space="preserve"> </w:t>
      </w:r>
      <w:r w:rsidRPr="00680B5B">
        <w:rPr>
          <w:rFonts w:ascii="Times New Roman" w:hAnsi="Times New Roman" w:cs="Times New Roman"/>
        </w:rPr>
        <w:t>o</w:t>
      </w:r>
      <w:r w:rsidRPr="00680B5B">
        <w:rPr>
          <w:rFonts w:ascii="Times New Roman" w:hAnsi="Times New Roman" w:cs="Times New Roman"/>
          <w:spacing w:val="40"/>
        </w:rPr>
        <w:t xml:space="preserve"> </w:t>
      </w:r>
      <w:r w:rsidRPr="00680B5B">
        <w:rPr>
          <w:rFonts w:ascii="Times New Roman" w:hAnsi="Times New Roman" w:cs="Times New Roman"/>
        </w:rPr>
        <w:t>gerenciamento</w:t>
      </w:r>
      <w:r w:rsidRPr="00680B5B">
        <w:rPr>
          <w:rFonts w:ascii="Times New Roman" w:hAnsi="Times New Roman" w:cs="Times New Roman"/>
          <w:spacing w:val="40"/>
        </w:rPr>
        <w:t xml:space="preserve"> </w:t>
      </w:r>
      <w:r w:rsidRPr="00680B5B">
        <w:rPr>
          <w:rFonts w:ascii="Times New Roman" w:hAnsi="Times New Roman" w:cs="Times New Roman"/>
        </w:rPr>
        <w:t>integrado</w:t>
      </w:r>
      <w:r w:rsidRPr="00680B5B">
        <w:rPr>
          <w:rFonts w:ascii="Times New Roman" w:hAnsi="Times New Roman" w:cs="Times New Roman"/>
          <w:spacing w:val="40"/>
        </w:rPr>
        <w:t xml:space="preserve"> </w:t>
      </w:r>
      <w:r w:rsidRPr="00680B5B">
        <w:rPr>
          <w:rFonts w:ascii="Times New Roman" w:hAnsi="Times New Roman" w:cs="Times New Roman"/>
        </w:rPr>
        <w:t>dos</w:t>
      </w:r>
      <w:r w:rsidRPr="00680B5B">
        <w:rPr>
          <w:rFonts w:ascii="Times New Roman" w:hAnsi="Times New Roman" w:cs="Times New Roman"/>
          <w:spacing w:val="40"/>
        </w:rPr>
        <w:t xml:space="preserve"> </w:t>
      </w:r>
      <w:r w:rsidRPr="00680B5B">
        <w:rPr>
          <w:rFonts w:ascii="Times New Roman" w:hAnsi="Times New Roman" w:cs="Times New Roman"/>
        </w:rPr>
        <w:t>estoques</w:t>
      </w:r>
      <w:r w:rsidRPr="00680B5B">
        <w:rPr>
          <w:rFonts w:ascii="Times New Roman" w:hAnsi="Times New Roman" w:cs="Times New Roman"/>
          <w:spacing w:val="40"/>
        </w:rPr>
        <w:t xml:space="preserve"> </w:t>
      </w:r>
      <w:r w:rsidRPr="00680B5B">
        <w:rPr>
          <w:rFonts w:ascii="Times New Roman" w:hAnsi="Times New Roman" w:cs="Times New Roman"/>
        </w:rPr>
        <w:t>de</w:t>
      </w:r>
      <w:r w:rsidRPr="00680B5B">
        <w:rPr>
          <w:rFonts w:ascii="Times New Roman" w:hAnsi="Times New Roman" w:cs="Times New Roman"/>
          <w:spacing w:val="40"/>
        </w:rPr>
        <w:t xml:space="preserve"> </w:t>
      </w:r>
      <w:r w:rsidRPr="00680B5B">
        <w:rPr>
          <w:rFonts w:ascii="Times New Roman" w:hAnsi="Times New Roman" w:cs="Times New Roman"/>
        </w:rPr>
        <w:t>materiais</w:t>
      </w:r>
      <w:r w:rsidRPr="00680B5B">
        <w:rPr>
          <w:rFonts w:ascii="Times New Roman" w:hAnsi="Times New Roman" w:cs="Times New Roman"/>
          <w:spacing w:val="40"/>
        </w:rPr>
        <w:t xml:space="preserve"> </w:t>
      </w:r>
      <w:r w:rsidRPr="00680B5B">
        <w:rPr>
          <w:rFonts w:ascii="Times New Roman" w:hAnsi="Times New Roman" w:cs="Times New Roman"/>
        </w:rPr>
        <w:t>existentes</w:t>
      </w:r>
      <w:r w:rsidRPr="00680B5B">
        <w:rPr>
          <w:rFonts w:ascii="Times New Roman" w:hAnsi="Times New Roman" w:cs="Times New Roman"/>
          <w:spacing w:val="40"/>
        </w:rPr>
        <w:t xml:space="preserve"> </w:t>
      </w:r>
      <w:r w:rsidRPr="00680B5B">
        <w:rPr>
          <w:rFonts w:ascii="Times New Roman" w:hAnsi="Times New Roman" w:cs="Times New Roman"/>
        </w:rPr>
        <w:t>nos</w:t>
      </w:r>
      <w:r w:rsidRPr="00680B5B">
        <w:rPr>
          <w:rFonts w:ascii="Times New Roman" w:hAnsi="Times New Roman" w:cs="Times New Roman"/>
          <w:spacing w:val="40"/>
        </w:rPr>
        <w:t xml:space="preserve"> </w:t>
      </w:r>
      <w:r w:rsidRPr="00680B5B">
        <w:rPr>
          <w:rFonts w:ascii="Times New Roman" w:hAnsi="Times New Roman" w:cs="Times New Roman"/>
        </w:rPr>
        <w:t xml:space="preserve">diversos </w:t>
      </w:r>
      <w:r w:rsidRPr="00680B5B">
        <w:rPr>
          <w:rFonts w:ascii="Times New Roman" w:hAnsi="Times New Roman" w:cs="Times New Roman"/>
          <w:spacing w:val="-2"/>
        </w:rPr>
        <w:t>almoxarifados/depósitos.</w:t>
      </w:r>
    </w:p>
    <w:p w14:paraId="570582D9" w14:textId="77777777" w:rsidR="00B307DB" w:rsidRPr="00680B5B" w:rsidRDefault="00B307DB" w:rsidP="00F60DF5">
      <w:pPr>
        <w:pStyle w:val="PargrafodaLista"/>
        <w:numPr>
          <w:ilvl w:val="0"/>
          <w:numId w:val="312"/>
        </w:numPr>
        <w:tabs>
          <w:tab w:val="left" w:pos="169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w:t>
      </w:r>
      <w:r w:rsidRPr="00680B5B">
        <w:rPr>
          <w:rFonts w:ascii="Times New Roman" w:hAnsi="Times New Roman" w:cs="Times New Roman"/>
          <w:spacing w:val="36"/>
        </w:rPr>
        <w:t xml:space="preserve"> </w:t>
      </w:r>
      <w:r w:rsidRPr="00680B5B">
        <w:rPr>
          <w:rFonts w:ascii="Times New Roman" w:hAnsi="Times New Roman" w:cs="Times New Roman"/>
        </w:rPr>
        <w:t>registro</w:t>
      </w:r>
      <w:r w:rsidRPr="00680B5B">
        <w:rPr>
          <w:rFonts w:ascii="Times New Roman" w:hAnsi="Times New Roman" w:cs="Times New Roman"/>
          <w:spacing w:val="34"/>
        </w:rPr>
        <w:t xml:space="preserve"> </w:t>
      </w:r>
      <w:r w:rsidRPr="00680B5B">
        <w:rPr>
          <w:rFonts w:ascii="Times New Roman" w:hAnsi="Times New Roman" w:cs="Times New Roman"/>
        </w:rPr>
        <w:t>do</w:t>
      </w:r>
      <w:r w:rsidRPr="00680B5B">
        <w:rPr>
          <w:rFonts w:ascii="Times New Roman" w:hAnsi="Times New Roman" w:cs="Times New Roman"/>
          <w:spacing w:val="34"/>
        </w:rPr>
        <w:t xml:space="preserve"> </w:t>
      </w:r>
      <w:r w:rsidRPr="00680B5B">
        <w:rPr>
          <w:rFonts w:ascii="Times New Roman" w:hAnsi="Times New Roman" w:cs="Times New Roman"/>
        </w:rPr>
        <w:t>ano</w:t>
      </w:r>
      <w:r w:rsidRPr="00680B5B">
        <w:rPr>
          <w:rFonts w:ascii="Times New Roman" w:hAnsi="Times New Roman" w:cs="Times New Roman"/>
          <w:spacing w:val="36"/>
        </w:rPr>
        <w:t xml:space="preserve"> </w:t>
      </w:r>
      <w:r w:rsidRPr="00680B5B">
        <w:rPr>
          <w:rFonts w:ascii="Times New Roman" w:hAnsi="Times New Roman" w:cs="Times New Roman"/>
        </w:rPr>
        <w:t>e</w:t>
      </w:r>
      <w:r w:rsidRPr="00680B5B">
        <w:rPr>
          <w:rFonts w:ascii="Times New Roman" w:hAnsi="Times New Roman" w:cs="Times New Roman"/>
          <w:spacing w:val="34"/>
        </w:rPr>
        <w:t xml:space="preserve"> </w:t>
      </w:r>
      <w:r w:rsidRPr="00680B5B">
        <w:rPr>
          <w:rFonts w:ascii="Times New Roman" w:hAnsi="Times New Roman" w:cs="Times New Roman"/>
        </w:rPr>
        <w:t>mês,</w:t>
      </w:r>
      <w:r w:rsidRPr="00680B5B">
        <w:rPr>
          <w:rFonts w:ascii="Times New Roman" w:hAnsi="Times New Roman" w:cs="Times New Roman"/>
          <w:spacing w:val="34"/>
        </w:rPr>
        <w:t xml:space="preserve"> </w:t>
      </w:r>
      <w:r w:rsidRPr="00680B5B">
        <w:rPr>
          <w:rFonts w:ascii="Times New Roman" w:hAnsi="Times New Roman" w:cs="Times New Roman"/>
        </w:rPr>
        <w:t>bem</w:t>
      </w:r>
      <w:r w:rsidRPr="00680B5B">
        <w:rPr>
          <w:rFonts w:ascii="Times New Roman" w:hAnsi="Times New Roman" w:cs="Times New Roman"/>
          <w:spacing w:val="35"/>
        </w:rPr>
        <w:t xml:space="preserve"> </w:t>
      </w:r>
      <w:r w:rsidRPr="00680B5B">
        <w:rPr>
          <w:rFonts w:ascii="Times New Roman" w:hAnsi="Times New Roman" w:cs="Times New Roman"/>
        </w:rPr>
        <w:t>rotina</w:t>
      </w:r>
      <w:r w:rsidRPr="00680B5B">
        <w:rPr>
          <w:rFonts w:ascii="Times New Roman" w:hAnsi="Times New Roman" w:cs="Times New Roman"/>
          <w:spacing w:val="35"/>
        </w:rPr>
        <w:t xml:space="preserve"> </w:t>
      </w:r>
      <w:r w:rsidRPr="00680B5B">
        <w:rPr>
          <w:rFonts w:ascii="Times New Roman" w:hAnsi="Times New Roman" w:cs="Times New Roman"/>
        </w:rPr>
        <w:t>de</w:t>
      </w:r>
      <w:r w:rsidRPr="00680B5B">
        <w:rPr>
          <w:rFonts w:ascii="Times New Roman" w:hAnsi="Times New Roman" w:cs="Times New Roman"/>
          <w:spacing w:val="34"/>
        </w:rPr>
        <w:t xml:space="preserve"> </w:t>
      </w:r>
      <w:r w:rsidRPr="00680B5B">
        <w:rPr>
          <w:rFonts w:ascii="Times New Roman" w:hAnsi="Times New Roman" w:cs="Times New Roman"/>
        </w:rPr>
        <w:t>virada</w:t>
      </w:r>
      <w:r w:rsidRPr="00680B5B">
        <w:rPr>
          <w:rFonts w:ascii="Times New Roman" w:hAnsi="Times New Roman" w:cs="Times New Roman"/>
          <w:spacing w:val="35"/>
        </w:rPr>
        <w:t xml:space="preserve"> </w:t>
      </w:r>
      <w:r w:rsidRPr="00680B5B">
        <w:rPr>
          <w:rFonts w:ascii="Times New Roman" w:hAnsi="Times New Roman" w:cs="Times New Roman"/>
        </w:rPr>
        <w:t>mensal</w:t>
      </w:r>
      <w:r w:rsidRPr="00680B5B">
        <w:rPr>
          <w:rFonts w:ascii="Times New Roman" w:hAnsi="Times New Roman" w:cs="Times New Roman"/>
          <w:spacing w:val="33"/>
        </w:rPr>
        <w:t xml:space="preserve"> </w:t>
      </w:r>
      <w:r w:rsidRPr="00680B5B">
        <w:rPr>
          <w:rFonts w:ascii="Times New Roman" w:hAnsi="Times New Roman" w:cs="Times New Roman"/>
        </w:rPr>
        <w:t>para</w:t>
      </w:r>
      <w:r w:rsidRPr="00680B5B">
        <w:rPr>
          <w:rFonts w:ascii="Times New Roman" w:hAnsi="Times New Roman" w:cs="Times New Roman"/>
          <w:spacing w:val="35"/>
        </w:rPr>
        <w:t xml:space="preserve"> </w:t>
      </w:r>
      <w:r w:rsidRPr="00680B5B">
        <w:rPr>
          <w:rFonts w:ascii="Times New Roman" w:hAnsi="Times New Roman" w:cs="Times New Roman"/>
        </w:rPr>
        <w:t>que</w:t>
      </w:r>
      <w:r w:rsidRPr="00680B5B">
        <w:rPr>
          <w:rFonts w:ascii="Times New Roman" w:hAnsi="Times New Roman" w:cs="Times New Roman"/>
          <w:spacing w:val="34"/>
        </w:rPr>
        <w:t xml:space="preserve"> </w:t>
      </w:r>
      <w:r w:rsidRPr="00680B5B">
        <w:rPr>
          <w:rFonts w:ascii="Times New Roman" w:hAnsi="Times New Roman" w:cs="Times New Roman"/>
        </w:rPr>
        <w:t>seja</w:t>
      </w:r>
      <w:r w:rsidRPr="00680B5B">
        <w:rPr>
          <w:rFonts w:ascii="Times New Roman" w:hAnsi="Times New Roman" w:cs="Times New Roman"/>
          <w:spacing w:val="35"/>
        </w:rPr>
        <w:t xml:space="preserve"> </w:t>
      </w:r>
      <w:r w:rsidRPr="00680B5B">
        <w:rPr>
          <w:rFonts w:ascii="Times New Roman" w:hAnsi="Times New Roman" w:cs="Times New Roman"/>
        </w:rPr>
        <w:t>realizada</w:t>
      </w:r>
      <w:r w:rsidRPr="00680B5B">
        <w:rPr>
          <w:rFonts w:ascii="Times New Roman" w:hAnsi="Times New Roman" w:cs="Times New Roman"/>
          <w:spacing w:val="37"/>
        </w:rPr>
        <w:t xml:space="preserve"> </w:t>
      </w:r>
      <w:r w:rsidRPr="00680B5B">
        <w:rPr>
          <w:rFonts w:ascii="Times New Roman" w:hAnsi="Times New Roman" w:cs="Times New Roman"/>
        </w:rPr>
        <w:t>a atualização do mês e ano do almoxarifado.</w:t>
      </w:r>
    </w:p>
    <w:p w14:paraId="09799993" w14:textId="77777777" w:rsidR="00B307DB" w:rsidRPr="00680B5B" w:rsidRDefault="00B307DB" w:rsidP="00B307DB">
      <w:pPr>
        <w:pStyle w:val="Corpodetexto31"/>
        <w:ind w:right="-568"/>
        <w:rPr>
          <w:rFonts w:ascii="Times New Roman" w:hAnsi="Times New Roman" w:cs="Times New Roman"/>
          <w:b/>
          <w:bCs/>
          <w:sz w:val="22"/>
          <w:szCs w:val="22"/>
          <w:highlight w:val="yellow"/>
        </w:rPr>
      </w:pPr>
    </w:p>
    <w:p w14:paraId="19054E9B"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2.11  MÓDULO: GESTÃO DE FISCALIZAÇÃO FAZENDÁRIA</w:t>
      </w:r>
    </w:p>
    <w:p w14:paraId="7BA55E9B" w14:textId="77777777" w:rsidR="00B307DB" w:rsidRPr="00680B5B" w:rsidRDefault="00B307DB" w:rsidP="00F60DF5">
      <w:pPr>
        <w:pStyle w:val="TableParagraph"/>
        <w:numPr>
          <w:ilvl w:val="0"/>
          <w:numId w:val="313"/>
        </w:numPr>
        <w:tabs>
          <w:tab w:val="clear" w:pos="720"/>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Gerenciar autorização de impressão de notas fiscais com rotinas de: inclusão, alteração, consulta, cancelamento, estorno de cancelamento e impressão da</w:t>
      </w:r>
      <w:r w:rsidRPr="00680B5B">
        <w:rPr>
          <w:rFonts w:ascii="Times New Roman" w:hAnsi="Times New Roman" w:cs="Times New Roman"/>
          <w:spacing w:val="-9"/>
        </w:rPr>
        <w:t xml:space="preserve"> </w:t>
      </w:r>
      <w:r w:rsidRPr="00680B5B">
        <w:rPr>
          <w:rFonts w:ascii="Times New Roman" w:hAnsi="Times New Roman" w:cs="Times New Roman"/>
        </w:rPr>
        <w:t>AIDF;</w:t>
      </w:r>
    </w:p>
    <w:p w14:paraId="122B5965"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Consentir a emissão de autorizações para incineração de Notas Fiscais, com controle da numeração das mesmas, conforme solicitações de AIDFs emitidas;</w:t>
      </w:r>
    </w:p>
    <w:p w14:paraId="24113F8D"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Lançar por estimativa fiscal ou arbitramento o ISSQN, conforme cálculos </w:t>
      </w:r>
      <w:r w:rsidRPr="00680B5B">
        <w:rPr>
          <w:rFonts w:ascii="Times New Roman" w:hAnsi="Times New Roman" w:cs="Times New Roman"/>
          <w:spacing w:val="-4"/>
        </w:rPr>
        <w:t>pré-</w:t>
      </w:r>
      <w:r w:rsidRPr="00680B5B">
        <w:rPr>
          <w:rFonts w:ascii="Times New Roman" w:hAnsi="Times New Roman" w:cs="Times New Roman"/>
        </w:rPr>
        <w:t>configuráveis previstos na legislação tributária</w:t>
      </w:r>
      <w:r w:rsidRPr="00680B5B">
        <w:rPr>
          <w:rFonts w:ascii="Times New Roman" w:hAnsi="Times New Roman" w:cs="Times New Roman"/>
          <w:spacing w:val="-1"/>
        </w:rPr>
        <w:t xml:space="preserve"> </w:t>
      </w:r>
      <w:r w:rsidRPr="00680B5B">
        <w:rPr>
          <w:rFonts w:ascii="Times New Roman" w:hAnsi="Times New Roman" w:cs="Times New Roman"/>
        </w:rPr>
        <w:t>municipal;</w:t>
      </w:r>
    </w:p>
    <w:p w14:paraId="44BFBF1E"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Controlar infrações permitindo efetuar o cadastro por ano, com a opção de cadastrar os percentuais de penalidade, definir o tributo para lançamento do débito e penalidade diferenciada para reincidentes;</w:t>
      </w:r>
    </w:p>
    <w:p w14:paraId="0B13B2E6"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Personalizar parâmetros de estimativa fiscal e arbitramento, informando os dados e a fórmula de cálculo, que </w:t>
      </w:r>
      <w:r w:rsidRPr="00680B5B">
        <w:rPr>
          <w:rFonts w:ascii="Times New Roman" w:hAnsi="Times New Roman" w:cs="Times New Roman"/>
          <w:spacing w:val="-3"/>
        </w:rPr>
        <w:t xml:space="preserve">serão </w:t>
      </w:r>
      <w:r w:rsidRPr="00680B5B">
        <w:rPr>
          <w:rFonts w:ascii="Times New Roman" w:hAnsi="Times New Roman" w:cs="Times New Roman"/>
        </w:rPr>
        <w:t xml:space="preserve">utilizados/solicitados no preenchimento do cadastramento da estimativa </w:t>
      </w:r>
      <w:r w:rsidRPr="00680B5B">
        <w:rPr>
          <w:rFonts w:ascii="Times New Roman" w:hAnsi="Times New Roman" w:cs="Times New Roman"/>
          <w:spacing w:val="-7"/>
        </w:rPr>
        <w:t xml:space="preserve">ou </w:t>
      </w:r>
      <w:r w:rsidRPr="00680B5B">
        <w:rPr>
          <w:rFonts w:ascii="Times New Roman" w:hAnsi="Times New Roman" w:cs="Times New Roman"/>
        </w:rPr>
        <w:t>arbitramento;</w:t>
      </w:r>
    </w:p>
    <w:p w14:paraId="0DC2E299"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balancetes contábeis e do Plano Geral de Contas Comentado (PGCC) por subtítulo contábil no padrão ABRASF em arquivos “TXT”, para homologação das contas contábeis na ação fiscal;</w:t>
      </w:r>
    </w:p>
    <w:p w14:paraId="087BAE2C"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na homologação da ação fiscal das instituições financeiras, mesmo após a importação do PGCC e do balancete analítico no padrão ABRASF, poder alterar a conta de tributação e da conta COSIF;</w:t>
      </w:r>
    </w:p>
    <w:p w14:paraId="0BD5965E"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Cruzar informações por competência entre o balancete analítico no padrão ABRASF importado na homologação da ação fiscal com o valor pago na escrituração fiscal, para cobrança de diferença apurada;</w:t>
      </w:r>
    </w:p>
    <w:p w14:paraId="1BF65976"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inconsistências entre apuração mensal e demonstrativo contábil;</w:t>
      </w:r>
    </w:p>
    <w:p w14:paraId="54D2B804"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relatório de declarantes que não entregaram a declaração.</w:t>
      </w:r>
    </w:p>
    <w:p w14:paraId="32EA5B7A"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relatório das declarações fiscais entregues pelos contribuintes enquadradas como “sem movimento”;</w:t>
      </w:r>
    </w:p>
    <w:p w14:paraId="63C431FB"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lastRenderedPageBreak/>
        <w:t>Controlar valores lançados de ISSQN de empresas optantes pelo simples nacional (como prestadores e como tomadores de serviços);</w:t>
      </w:r>
    </w:p>
    <w:p w14:paraId="78BE6224"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as opções de parcelamento de Notificações e Autos de Infração, podendo os juros ser simples ou compostos, o valor mínimo da parcela aceita pela legislação tributária, com opção do valor da entrada e quantidade máxima de</w:t>
      </w:r>
      <w:r w:rsidRPr="00680B5B">
        <w:rPr>
          <w:rFonts w:ascii="Times New Roman" w:hAnsi="Times New Roman" w:cs="Times New Roman"/>
          <w:spacing w:val="-5"/>
        </w:rPr>
        <w:t xml:space="preserve"> </w:t>
      </w:r>
      <w:r w:rsidRPr="00680B5B">
        <w:rPr>
          <w:rFonts w:ascii="Times New Roman" w:hAnsi="Times New Roman" w:cs="Times New Roman"/>
        </w:rPr>
        <w:t>parcelas;</w:t>
      </w:r>
    </w:p>
    <w:p w14:paraId="3AC7F7DD"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Gerenciar percentuais para descontos a serem aplicados em relação aos Autos de Infração e Notificações apuradas;</w:t>
      </w:r>
    </w:p>
    <w:p w14:paraId="247CABA2"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Cadastrar novo procedimento fiscal, alterar ou cancelar, mesmo que em processo de fiscalização. Habilitar opção de estornar cancelamento;</w:t>
      </w:r>
    </w:p>
    <w:p w14:paraId="5DD1313A"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Mostrar o status dos procedimentos fiscais cadastrados com situação: aberto, iniciada, fechada ou cancelada;</w:t>
      </w:r>
    </w:p>
    <w:p w14:paraId="3D5A73EF"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anexar documentos digitais ao processo de fiscalização;</w:t>
      </w:r>
    </w:p>
    <w:p w14:paraId="521E66F3"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registro de denúncia fiscal, podendo o denunciante se identificar ou ser anônimo.</w:t>
      </w:r>
    </w:p>
    <w:p w14:paraId="73604AEC"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emissão e reemissão do Termo de Início de Fiscalização.</w:t>
      </w:r>
    </w:p>
    <w:p w14:paraId="502726FC"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sejam feitas tantas intimações quantas forem necessárias ao procedimento fiscal, a qualquer tempo durante a sua vigência;</w:t>
      </w:r>
    </w:p>
    <w:p w14:paraId="090F7714"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ou reemitir intimações fiscais mantendo histórico em tela de todas as intimações;</w:t>
      </w:r>
    </w:p>
    <w:p w14:paraId="3157F277"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Termo de Entrega de Documentos para o contribuinte, de acordo com a documentação entregue, podendo fazer a entrega parcial dos documentos. Emitir também termo para documentos não intimados a apresentação;</w:t>
      </w:r>
    </w:p>
    <w:p w14:paraId="15FD7B8D"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Termo de Entrega de documentos;</w:t>
      </w:r>
    </w:p>
    <w:p w14:paraId="38798C2B"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Termo de Devolução de Documentos;</w:t>
      </w:r>
    </w:p>
    <w:p w14:paraId="2A030D16"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Termo de apreensão de documentos;</w:t>
      </w:r>
    </w:p>
    <w:p w14:paraId="5219D910"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termo de prorrogação de prazo fiscalizatório com a opção de informar os dias prorrogados e campo para inserção de observações pertinentes ao</w:t>
      </w:r>
      <w:r w:rsidRPr="00680B5B">
        <w:rPr>
          <w:rFonts w:ascii="Times New Roman" w:hAnsi="Times New Roman" w:cs="Times New Roman"/>
          <w:spacing w:val="-3"/>
        </w:rPr>
        <w:t xml:space="preserve"> </w:t>
      </w:r>
      <w:r w:rsidRPr="00680B5B">
        <w:rPr>
          <w:rFonts w:ascii="Times New Roman" w:hAnsi="Times New Roman" w:cs="Times New Roman"/>
        </w:rPr>
        <w:t>ato;</w:t>
      </w:r>
    </w:p>
    <w:p w14:paraId="44A90D02"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Homologar competências para aferimento da base de cálculo dos impostos, no caso do ISSQN, dos serviços próprios prestados e tomados, podendo digitar os documentos emitidos/recebidos pelo contribuinte fiscalizado (tomador e prestador). A homologação das competências deverá permitir a digitação de serviços dentro do mesmo Processo</w:t>
      </w:r>
      <w:r w:rsidRPr="00680B5B">
        <w:rPr>
          <w:rFonts w:ascii="Times New Roman" w:hAnsi="Times New Roman" w:cs="Times New Roman"/>
          <w:spacing w:val="-1"/>
        </w:rPr>
        <w:t xml:space="preserve"> </w:t>
      </w:r>
      <w:r w:rsidRPr="00680B5B">
        <w:rPr>
          <w:rFonts w:ascii="Times New Roman" w:hAnsi="Times New Roman" w:cs="Times New Roman"/>
        </w:rPr>
        <w:t>Fiscal;</w:t>
      </w:r>
    </w:p>
    <w:p w14:paraId="2464E988"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fiscal manutenção de forma global os documentos fiscais, alterar a alíquotas durante o processo de fiscalização;</w:t>
      </w:r>
    </w:p>
    <w:p w14:paraId="4E5FDE26"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Informar as homologações de acordo com o plano de contas das declarações, dando liberdade para o fiscal dar manutenção (incluir, alterar, excluir) as contas a serem homologadas. Cada conta deve estar relacionada quando cabível a seu respectivo item da lista de serviços da LC116/03;</w:t>
      </w:r>
    </w:p>
    <w:p w14:paraId="4EDA262E"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Buscar automaticamente as informações das declarações na homologação do procedimento</w:t>
      </w:r>
      <w:r w:rsidRPr="00680B5B">
        <w:rPr>
          <w:rFonts w:ascii="Times New Roman" w:hAnsi="Times New Roman" w:cs="Times New Roman"/>
          <w:spacing w:val="-2"/>
        </w:rPr>
        <w:t xml:space="preserve"> </w:t>
      </w:r>
      <w:r w:rsidRPr="00680B5B">
        <w:rPr>
          <w:rFonts w:ascii="Times New Roman" w:hAnsi="Times New Roman" w:cs="Times New Roman"/>
        </w:rPr>
        <w:t>fiscal;</w:t>
      </w:r>
    </w:p>
    <w:p w14:paraId="21F78C67"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importação de arquivo txt, em modelo predefinido pelo fisco, contendo os documentos de serviços prestados ou tomados para homologação do procedimento fiscal;</w:t>
      </w:r>
    </w:p>
    <w:p w14:paraId="30D20F28"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Ordenar por ordem ascendente todas as competências na homologação, tendo opção de alterar as informações;</w:t>
      </w:r>
    </w:p>
    <w:p w14:paraId="059C2CCE"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planilha de homologação somente dos serviços tomados, com os dados digitados na</w:t>
      </w:r>
      <w:r w:rsidRPr="00680B5B">
        <w:rPr>
          <w:rFonts w:ascii="Times New Roman" w:hAnsi="Times New Roman" w:cs="Times New Roman"/>
          <w:spacing w:val="-2"/>
        </w:rPr>
        <w:t xml:space="preserve"> </w:t>
      </w:r>
      <w:r w:rsidRPr="00680B5B">
        <w:rPr>
          <w:rFonts w:ascii="Times New Roman" w:hAnsi="Times New Roman" w:cs="Times New Roman"/>
        </w:rPr>
        <w:t>homologação;</w:t>
      </w:r>
    </w:p>
    <w:p w14:paraId="536F81F3"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planilha de homologação somente dos serviços prestados, com os dados digitados na homologação;</w:t>
      </w:r>
    </w:p>
    <w:p w14:paraId="77D91A12"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a planilha de homologação dos serviços prestados e tomados em uma única planilha, diferenciando o que for um e o que for outro, com os dados digitados na homologação;</w:t>
      </w:r>
    </w:p>
    <w:p w14:paraId="5ECA19BA"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envio de e-mail via Processo Fiscal com opção de poder habilitar/desabilitar a qualquer momento, bem como, configurar textos padrões que serão apresentados no corpo do</w:t>
      </w:r>
      <w:r w:rsidRPr="00680B5B">
        <w:rPr>
          <w:rFonts w:ascii="Times New Roman" w:hAnsi="Times New Roman" w:cs="Times New Roman"/>
          <w:spacing w:val="-7"/>
        </w:rPr>
        <w:t xml:space="preserve"> </w:t>
      </w:r>
      <w:r w:rsidRPr="00680B5B">
        <w:rPr>
          <w:rFonts w:ascii="Times New Roman" w:hAnsi="Times New Roman" w:cs="Times New Roman"/>
        </w:rPr>
        <w:t>e-mail;</w:t>
      </w:r>
    </w:p>
    <w:p w14:paraId="0A49D1B6"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lang w:val="pt-BR"/>
        </w:rPr>
        <w:t>En</w:t>
      </w:r>
      <w:r w:rsidRPr="00680B5B">
        <w:rPr>
          <w:rFonts w:ascii="Times New Roman" w:hAnsi="Times New Roman" w:cs="Times New Roman"/>
        </w:rPr>
        <w:t>viar por e-mail no decorrer da ação fiscal os seguintes documentos:</w:t>
      </w:r>
    </w:p>
    <w:p w14:paraId="4CFEDE20"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a)</w:t>
      </w:r>
      <w:r w:rsidRPr="00680B5B">
        <w:rPr>
          <w:rFonts w:ascii="Times New Roman" w:hAnsi="Times New Roman" w:cs="Times New Roman"/>
        </w:rPr>
        <w:t xml:space="preserve"> Termo de início;</w:t>
      </w:r>
    </w:p>
    <w:p w14:paraId="689C5581"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b)</w:t>
      </w:r>
      <w:r w:rsidRPr="00680B5B">
        <w:rPr>
          <w:rFonts w:ascii="Times New Roman" w:hAnsi="Times New Roman" w:cs="Times New Roman"/>
        </w:rPr>
        <w:t xml:space="preserve"> Intimação;</w:t>
      </w:r>
    </w:p>
    <w:p w14:paraId="50891492"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c)</w:t>
      </w:r>
      <w:r w:rsidRPr="00680B5B">
        <w:rPr>
          <w:rFonts w:ascii="Times New Roman" w:hAnsi="Times New Roman" w:cs="Times New Roman"/>
        </w:rPr>
        <w:t xml:space="preserve"> Termo de recebimento de documentos;</w:t>
      </w:r>
    </w:p>
    <w:p w14:paraId="35E715A8"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d)</w:t>
      </w:r>
      <w:r w:rsidRPr="00680B5B">
        <w:rPr>
          <w:rFonts w:ascii="Times New Roman" w:hAnsi="Times New Roman" w:cs="Times New Roman"/>
        </w:rPr>
        <w:t xml:space="preserve"> Termo de devolução de documentos;</w:t>
      </w:r>
    </w:p>
    <w:p w14:paraId="7D36A817"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e)</w:t>
      </w:r>
      <w:r w:rsidRPr="00680B5B">
        <w:rPr>
          <w:rFonts w:ascii="Times New Roman" w:hAnsi="Times New Roman" w:cs="Times New Roman"/>
        </w:rPr>
        <w:t xml:space="preserve"> Termo de apreensão de documentos;</w:t>
      </w:r>
    </w:p>
    <w:p w14:paraId="34DB874C"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f)</w:t>
      </w:r>
      <w:r w:rsidRPr="00680B5B">
        <w:rPr>
          <w:rFonts w:ascii="Times New Roman" w:hAnsi="Times New Roman" w:cs="Times New Roman"/>
        </w:rPr>
        <w:t xml:space="preserve"> Documentos de autuação principal e acessória;</w:t>
      </w:r>
    </w:p>
    <w:p w14:paraId="64E23BB5"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g)</w:t>
      </w:r>
      <w:r w:rsidRPr="00680B5B">
        <w:rPr>
          <w:rFonts w:ascii="Times New Roman" w:hAnsi="Times New Roman" w:cs="Times New Roman"/>
        </w:rPr>
        <w:t xml:space="preserve"> Termo de prorrogação fiscal e</w:t>
      </w:r>
    </w:p>
    <w:p w14:paraId="56198B6F"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h)</w:t>
      </w:r>
      <w:r w:rsidRPr="00680B5B">
        <w:rPr>
          <w:rFonts w:ascii="Times New Roman" w:hAnsi="Times New Roman" w:cs="Times New Roman"/>
        </w:rPr>
        <w:t xml:space="preserve"> Termo de encerramento de fiscalização;</w:t>
      </w:r>
    </w:p>
    <w:p w14:paraId="2D0704C1"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lastRenderedPageBreak/>
        <w:t>Consultar e-mails enviados no processo fiscal, contendo no mínimo: data, hora, e-mail, usuário responsável pelo envio do e-mail e cópia do e-mail enviado;</w:t>
      </w:r>
    </w:p>
    <w:p w14:paraId="014E3B61"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Criar documento de autuação de acordo com uma tabela de infrações previamente cadastradas, contendo campo destinado ao livre manuseio do grupo fisco para a descrição detalhada do histórico do lançamento a ser realizado, permitindo definir:</w:t>
      </w:r>
    </w:p>
    <w:p w14:paraId="3148B4DB"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a)</w:t>
      </w:r>
      <w:r w:rsidRPr="00680B5B">
        <w:rPr>
          <w:rFonts w:ascii="Times New Roman" w:hAnsi="Times New Roman" w:cs="Times New Roman"/>
        </w:rPr>
        <w:t xml:space="preserve"> Se o contribuinte for reincidente;</w:t>
      </w:r>
    </w:p>
    <w:p w14:paraId="4D4F0D60" w14:textId="77777777" w:rsidR="00B307DB" w:rsidRPr="00680B5B" w:rsidRDefault="00B307DB" w:rsidP="00B307DB">
      <w:pPr>
        <w:pStyle w:val="TableParagraph"/>
        <w:tabs>
          <w:tab w:val="left" w:pos="320"/>
          <w:tab w:val="left" w:pos="400"/>
        </w:tabs>
        <w:ind w:left="567" w:right="-568"/>
        <w:jc w:val="both"/>
        <w:rPr>
          <w:rFonts w:ascii="Times New Roman" w:hAnsi="Times New Roman" w:cs="Times New Roman"/>
        </w:rPr>
      </w:pPr>
      <w:r w:rsidRPr="00680B5B">
        <w:rPr>
          <w:rFonts w:ascii="Times New Roman" w:hAnsi="Times New Roman" w:cs="Times New Roman"/>
          <w:b/>
        </w:rPr>
        <w:t>b)</w:t>
      </w:r>
      <w:r w:rsidRPr="00680B5B">
        <w:rPr>
          <w:rFonts w:ascii="Times New Roman" w:hAnsi="Times New Roman" w:cs="Times New Roman"/>
        </w:rPr>
        <w:t xml:space="preserve"> Se a autuação está sendo emitida para serviços próprios (prestados) ou tomados;</w:t>
      </w:r>
    </w:p>
    <w:p w14:paraId="6CC0FCB8"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Incluir documento de autuação exibindo uma lista de todos os documentos fiscais relacionados na homologação dos processos fiscais separadas por competência, onde o fiscal poderá selecionar quais farão parte do respectivo documento de</w:t>
      </w:r>
      <w:r w:rsidRPr="00680B5B">
        <w:rPr>
          <w:rFonts w:ascii="Times New Roman" w:hAnsi="Times New Roman" w:cs="Times New Roman"/>
          <w:spacing w:val="-3"/>
        </w:rPr>
        <w:t xml:space="preserve"> </w:t>
      </w:r>
      <w:r w:rsidRPr="00680B5B">
        <w:rPr>
          <w:rFonts w:ascii="Times New Roman" w:hAnsi="Times New Roman" w:cs="Times New Roman"/>
        </w:rPr>
        <w:t>autuação;</w:t>
      </w:r>
    </w:p>
    <w:p w14:paraId="42AC0319"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Visualizar uma prévia da planilha de cálculo do procedimento fiscal em curso, buscando todos os pagamentos já efetuados pelo contribuinte no período fiscalizado e calcular automaticamente a diferença a recolher, a correção monetária, os juros e a multa (pena) aplicada com subtotais por período fiscalizado e total geral, bem como dar liberdade ao grupo fisco de manipular os dados, caso algum erro operacional de pagamento tiver acontecido, recalculando a planilha;</w:t>
      </w:r>
    </w:p>
    <w:p w14:paraId="5BFFB16B"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Emitir a planilha de cálculo do procedimento fiscal devidamente </w:t>
      </w:r>
      <w:r w:rsidRPr="00680B5B">
        <w:rPr>
          <w:rFonts w:ascii="Times New Roman" w:hAnsi="Times New Roman" w:cs="Times New Roman"/>
          <w:spacing w:val="-1"/>
        </w:rPr>
        <w:t xml:space="preserve">atualizada </w:t>
      </w:r>
      <w:r w:rsidRPr="00680B5B">
        <w:rPr>
          <w:rFonts w:ascii="Times New Roman" w:hAnsi="Times New Roman" w:cs="Times New Roman"/>
        </w:rPr>
        <w:t>monetariamente, separando o período e o exercício</w:t>
      </w:r>
      <w:r w:rsidRPr="00680B5B">
        <w:rPr>
          <w:rFonts w:ascii="Times New Roman" w:hAnsi="Times New Roman" w:cs="Times New Roman"/>
          <w:spacing w:val="-2"/>
        </w:rPr>
        <w:t xml:space="preserve"> </w:t>
      </w:r>
      <w:r w:rsidRPr="00680B5B">
        <w:rPr>
          <w:rFonts w:ascii="Times New Roman" w:hAnsi="Times New Roman" w:cs="Times New Roman"/>
        </w:rPr>
        <w:t>fiscal;</w:t>
      </w:r>
    </w:p>
    <w:p w14:paraId="7B463FD1"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número de dias para a data de vencimento após o ciente dos documentos de autuação e também o número de dias para o contribuinte entrar com recurso tempestivo;</w:t>
      </w:r>
    </w:p>
    <w:p w14:paraId="510B2EFC"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Alterar data ciente, de vencimento (esta deverá ser sugerida de acordo com parametrização do número de dias após o ciente), e a data de prazo para entrada de recurso (deverá ser sugerida de acordo com parametrização do número de dias após o ciente) para cada documento de autuação emitido;</w:t>
      </w:r>
    </w:p>
    <w:p w14:paraId="35164F57"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Parcelar e reparcelar valores dos documentos de autuação emitidos, obedecendo a parametrização de moeda a ser utilizada no parcelamento e número máximo de parcelas;</w:t>
      </w:r>
    </w:p>
    <w:p w14:paraId="33EE959F"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documento para pagamento bancário com código de barras, das infrações levantadas, obedecendo aos convênios bancários existentes, tendo a opção de o documento de autuação e a guia de pagamento serem parametrizados para saírem com eventuais descontos na multa, previstos na legislação tributária do município, caso o pagamento seja efetuado até a data do vencimento;</w:t>
      </w:r>
    </w:p>
    <w:p w14:paraId="62EEC682"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Deve permitir incluir recursos sobre os documentos de autuação, permitindo informar uma observação, a instância do recurso, relacionar com número de protocolo e também definir se alterará a situação do documento de autuação para contencioso.</w:t>
      </w:r>
    </w:p>
    <w:p w14:paraId="7D424995"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Permitir gerenciar os recursos dos documentos de autuação, permitindo deferir, indeferir ou deferir parcialmente. </w:t>
      </w:r>
    </w:p>
    <w:p w14:paraId="730DC998"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Gerenciar todos os procedimentos fiscais cadastrados, permitindo pesquisar por Fiscal responsável e pelo cadastro mobiliário.</w:t>
      </w:r>
    </w:p>
    <w:p w14:paraId="72FBBEC8"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relatórios contendo as notas fiscais declaradas pelos contribuintes, filtrando por serviços tomados e prestados;</w:t>
      </w:r>
    </w:p>
    <w:p w14:paraId="3ED2F485"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e emitir termos de incineração de notas fiscais;</w:t>
      </w:r>
    </w:p>
    <w:p w14:paraId="3DFB6184"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com listagem de contribuintes por atividade;</w:t>
      </w:r>
    </w:p>
    <w:p w14:paraId="6FD8DE91"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com a situação dos contribuintes trazendo informações dos valores devidos/pagos e dos seus respectivos documentos de autuação;</w:t>
      </w:r>
    </w:p>
    <w:p w14:paraId="6DDF43CE"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a penalidade das infrações seja do tipo percentual/valor fixo, com determinação de percentual ao dia até um percentual máximo, e determinação de valor mínimo e valor máximo quando valor fixo. Este último para graduação manual pelo fiscal no momento da autuação;</w:t>
      </w:r>
    </w:p>
    <w:p w14:paraId="29391BAA"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Calcular valor de autuação selecionando o valor entre o mínimo e o máximo para a infração (tipo valor fixo);</w:t>
      </w:r>
    </w:p>
    <w:p w14:paraId="0EE71CE8"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Visualizar a simulação do cálculo do documento de autuação antes do mesmo ser gravado, detalhando os componentes do montante da</w:t>
      </w:r>
      <w:r w:rsidRPr="00680B5B">
        <w:rPr>
          <w:rFonts w:ascii="Times New Roman" w:hAnsi="Times New Roman" w:cs="Times New Roman"/>
          <w:spacing w:val="-1"/>
        </w:rPr>
        <w:t xml:space="preserve"> </w:t>
      </w:r>
      <w:r w:rsidRPr="00680B5B">
        <w:rPr>
          <w:rFonts w:ascii="Times New Roman" w:hAnsi="Times New Roman" w:cs="Times New Roman"/>
        </w:rPr>
        <w:t>autuação;</w:t>
      </w:r>
    </w:p>
    <w:p w14:paraId="534CA315"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Cancelar procedimento fiscal, podendo escolher se irá cancelar também os documentos de autuação;</w:t>
      </w:r>
    </w:p>
    <w:p w14:paraId="3E193C50"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Reabrir procedimento fiscal;</w:t>
      </w:r>
    </w:p>
    <w:p w14:paraId="692BA12D"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Controlar liberação e emissão de autorização para uso de emissor de cupons fiscais;</w:t>
      </w:r>
    </w:p>
    <w:p w14:paraId="49D32C90"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Inscrever em dívida ativa valores notificados e não pagos;</w:t>
      </w:r>
    </w:p>
    <w:p w14:paraId="45617BC2"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Suspender notificações e autos de infração no momento do cadastramento do recurso;</w:t>
      </w:r>
    </w:p>
    <w:p w14:paraId="47D5AD73"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Incluir ordens de serviço aos fiscais determinando a verificação por cadastro econômico ou único, data de início a ser verificada pelo fiscal e campo descritivo para mais informações;</w:t>
      </w:r>
    </w:p>
    <w:p w14:paraId="6B6BE4CC"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Permitir aos fiscais a verificação de suas respectivas ordens, podendo alterar a data de início de </w:t>
      </w:r>
      <w:r w:rsidRPr="00680B5B">
        <w:rPr>
          <w:rFonts w:ascii="Times New Roman" w:hAnsi="Times New Roman" w:cs="Times New Roman"/>
        </w:rPr>
        <w:lastRenderedPageBreak/>
        <w:t>verificação;</w:t>
      </w:r>
    </w:p>
    <w:p w14:paraId="25356604"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aos fiscais incluir informações em sua ordem de serviço, incluindo documentos a serem intimados na verificação do contribuinte;</w:t>
      </w:r>
    </w:p>
    <w:p w14:paraId="0C975D54"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aos fiscais anexar documentos em sua ordem de serviço;</w:t>
      </w:r>
    </w:p>
    <w:p w14:paraId="25E429FF"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aos fiscais concluir sua ordem de serviço caso não encontradas irregularidades do contribuinte, bem como concluir e abrir processo de</w:t>
      </w:r>
      <w:r w:rsidRPr="00680B5B">
        <w:rPr>
          <w:rFonts w:ascii="Times New Roman" w:hAnsi="Times New Roman" w:cs="Times New Roman"/>
          <w:spacing w:val="-10"/>
        </w:rPr>
        <w:t xml:space="preserve"> </w:t>
      </w:r>
      <w:r w:rsidRPr="00680B5B">
        <w:rPr>
          <w:rFonts w:ascii="Times New Roman" w:hAnsi="Times New Roman" w:cs="Times New Roman"/>
        </w:rPr>
        <w:t>fiscalização;</w:t>
      </w:r>
    </w:p>
    <w:p w14:paraId="3D2BE43E"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Imprimir ordem de serviço, para que seja possível anexar ao processo</w:t>
      </w:r>
      <w:r w:rsidRPr="00680B5B">
        <w:rPr>
          <w:rFonts w:ascii="Times New Roman" w:hAnsi="Times New Roman" w:cs="Times New Roman"/>
          <w:spacing w:val="-2"/>
        </w:rPr>
        <w:t xml:space="preserve"> </w:t>
      </w:r>
      <w:r w:rsidRPr="00680B5B">
        <w:rPr>
          <w:rFonts w:ascii="Times New Roman" w:hAnsi="Times New Roman" w:cs="Times New Roman"/>
        </w:rPr>
        <w:t>fiscal;</w:t>
      </w:r>
    </w:p>
    <w:p w14:paraId="57DFF8BC"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criação de plantão fiscal, com possibilidade de geração de pontuação de</w:t>
      </w:r>
      <w:r w:rsidRPr="00680B5B">
        <w:rPr>
          <w:rFonts w:ascii="Times New Roman" w:hAnsi="Times New Roman" w:cs="Times New Roman"/>
          <w:spacing w:val="1"/>
        </w:rPr>
        <w:t xml:space="preserve"> </w:t>
      </w:r>
      <w:r w:rsidRPr="00680B5B">
        <w:rPr>
          <w:rFonts w:ascii="Times New Roman" w:hAnsi="Times New Roman" w:cs="Times New Roman"/>
        </w:rPr>
        <w:t>produtividade;</w:t>
      </w:r>
    </w:p>
    <w:p w14:paraId="465638CF"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12"/>
        </w:rPr>
        <w:t xml:space="preserve"> </w:t>
      </w:r>
      <w:r w:rsidRPr="00680B5B">
        <w:rPr>
          <w:rFonts w:ascii="Times New Roman" w:hAnsi="Times New Roman" w:cs="Times New Roman"/>
        </w:rPr>
        <w:t>definir</w:t>
      </w:r>
      <w:r w:rsidRPr="00680B5B">
        <w:rPr>
          <w:rFonts w:ascii="Times New Roman" w:hAnsi="Times New Roman" w:cs="Times New Roman"/>
          <w:spacing w:val="-11"/>
        </w:rPr>
        <w:t xml:space="preserve"> </w:t>
      </w:r>
      <w:r w:rsidRPr="00680B5B">
        <w:rPr>
          <w:rFonts w:ascii="Times New Roman" w:hAnsi="Times New Roman" w:cs="Times New Roman"/>
        </w:rPr>
        <w:t>horário</w:t>
      </w:r>
      <w:r w:rsidRPr="00680B5B">
        <w:rPr>
          <w:rFonts w:ascii="Times New Roman" w:hAnsi="Times New Roman" w:cs="Times New Roman"/>
          <w:spacing w:val="-12"/>
        </w:rPr>
        <w:t xml:space="preserve"> </w:t>
      </w:r>
      <w:r w:rsidRPr="00680B5B">
        <w:rPr>
          <w:rFonts w:ascii="Times New Roman" w:hAnsi="Times New Roman" w:cs="Times New Roman"/>
        </w:rPr>
        <w:t>de</w:t>
      </w:r>
      <w:r w:rsidRPr="00680B5B">
        <w:rPr>
          <w:rFonts w:ascii="Times New Roman" w:hAnsi="Times New Roman" w:cs="Times New Roman"/>
          <w:spacing w:val="-10"/>
        </w:rPr>
        <w:t xml:space="preserve"> </w:t>
      </w:r>
      <w:r w:rsidRPr="00680B5B">
        <w:rPr>
          <w:rFonts w:ascii="Times New Roman" w:hAnsi="Times New Roman" w:cs="Times New Roman"/>
        </w:rPr>
        <w:t>expediente</w:t>
      </w:r>
      <w:r w:rsidRPr="00680B5B">
        <w:rPr>
          <w:rFonts w:ascii="Times New Roman" w:hAnsi="Times New Roman" w:cs="Times New Roman"/>
          <w:spacing w:val="-14"/>
        </w:rPr>
        <w:t xml:space="preserve"> </w:t>
      </w:r>
      <w:r w:rsidRPr="00680B5B">
        <w:rPr>
          <w:rFonts w:ascii="Times New Roman" w:hAnsi="Times New Roman" w:cs="Times New Roman"/>
        </w:rPr>
        <w:t>para</w:t>
      </w:r>
      <w:r w:rsidRPr="00680B5B">
        <w:rPr>
          <w:rFonts w:ascii="Times New Roman" w:hAnsi="Times New Roman" w:cs="Times New Roman"/>
          <w:spacing w:val="-13"/>
        </w:rPr>
        <w:t xml:space="preserve"> </w:t>
      </w:r>
      <w:r w:rsidRPr="00680B5B">
        <w:rPr>
          <w:rFonts w:ascii="Times New Roman" w:hAnsi="Times New Roman" w:cs="Times New Roman"/>
        </w:rPr>
        <w:t>o</w:t>
      </w:r>
      <w:r w:rsidRPr="00680B5B">
        <w:rPr>
          <w:rFonts w:ascii="Times New Roman" w:hAnsi="Times New Roman" w:cs="Times New Roman"/>
          <w:spacing w:val="-11"/>
        </w:rPr>
        <w:t xml:space="preserve"> </w:t>
      </w:r>
      <w:r w:rsidRPr="00680B5B">
        <w:rPr>
          <w:rFonts w:ascii="Times New Roman" w:hAnsi="Times New Roman" w:cs="Times New Roman"/>
        </w:rPr>
        <w:t>plantão</w:t>
      </w:r>
      <w:r w:rsidRPr="00680B5B">
        <w:rPr>
          <w:rFonts w:ascii="Times New Roman" w:hAnsi="Times New Roman" w:cs="Times New Roman"/>
          <w:spacing w:val="-13"/>
        </w:rPr>
        <w:t xml:space="preserve"> </w:t>
      </w:r>
      <w:r w:rsidRPr="00680B5B">
        <w:rPr>
          <w:rFonts w:ascii="Times New Roman" w:hAnsi="Times New Roman" w:cs="Times New Roman"/>
        </w:rPr>
        <w:t>fiscal;</w:t>
      </w:r>
    </w:p>
    <w:p w14:paraId="74CE4858"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definição de usuário gerenciador, possibilitando o mesmo acesso total</w:t>
      </w:r>
      <w:r w:rsidRPr="00680B5B">
        <w:rPr>
          <w:rFonts w:ascii="Times New Roman" w:hAnsi="Times New Roman" w:cs="Times New Roman"/>
          <w:spacing w:val="1"/>
        </w:rPr>
        <w:t xml:space="preserve"> </w:t>
      </w:r>
      <w:r w:rsidRPr="00680B5B">
        <w:rPr>
          <w:rFonts w:ascii="Times New Roman" w:hAnsi="Times New Roman" w:cs="Times New Roman"/>
        </w:rPr>
        <w:t>ao plantão;</w:t>
      </w:r>
    </w:p>
    <w:p w14:paraId="28BA4E6F"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que o usuário gerenciador acompanhe periodicamente a jornada de</w:t>
      </w:r>
      <w:r w:rsidRPr="00680B5B">
        <w:rPr>
          <w:rFonts w:ascii="Times New Roman" w:hAnsi="Times New Roman" w:cs="Times New Roman"/>
          <w:spacing w:val="1"/>
        </w:rPr>
        <w:t xml:space="preserve"> </w:t>
      </w:r>
      <w:r w:rsidRPr="00680B5B">
        <w:rPr>
          <w:rFonts w:ascii="Times New Roman" w:hAnsi="Times New Roman" w:cs="Times New Roman"/>
        </w:rPr>
        <w:t>trabalho do corpo fiscal, visualizando quais atividades foram desenvolvidas nos plantões,</w:t>
      </w:r>
      <w:r w:rsidRPr="00680B5B">
        <w:rPr>
          <w:rFonts w:ascii="Times New Roman" w:hAnsi="Times New Roman" w:cs="Times New Roman"/>
          <w:spacing w:val="1"/>
        </w:rPr>
        <w:t xml:space="preserve"> </w:t>
      </w:r>
      <w:r w:rsidRPr="00680B5B">
        <w:rPr>
          <w:rFonts w:ascii="Times New Roman" w:hAnsi="Times New Roman" w:cs="Times New Roman"/>
        </w:rPr>
        <w:t>podendo</w:t>
      </w:r>
      <w:r w:rsidRPr="00680B5B">
        <w:rPr>
          <w:rFonts w:ascii="Times New Roman" w:hAnsi="Times New Roman" w:cs="Times New Roman"/>
          <w:spacing w:val="1"/>
        </w:rPr>
        <w:t xml:space="preserve"> </w:t>
      </w:r>
      <w:r w:rsidRPr="00680B5B">
        <w:rPr>
          <w:rFonts w:ascii="Times New Roman" w:hAnsi="Times New Roman" w:cs="Times New Roman"/>
        </w:rPr>
        <w:t>efetuar</w:t>
      </w:r>
      <w:r w:rsidRPr="00680B5B">
        <w:rPr>
          <w:rFonts w:ascii="Times New Roman" w:hAnsi="Times New Roman" w:cs="Times New Roman"/>
          <w:spacing w:val="1"/>
        </w:rPr>
        <w:t xml:space="preserve"> </w:t>
      </w:r>
      <w:r w:rsidRPr="00680B5B">
        <w:rPr>
          <w:rFonts w:ascii="Times New Roman" w:hAnsi="Times New Roman" w:cs="Times New Roman"/>
        </w:rPr>
        <w:t>a</w:t>
      </w:r>
      <w:r w:rsidRPr="00680B5B">
        <w:rPr>
          <w:rFonts w:ascii="Times New Roman" w:hAnsi="Times New Roman" w:cs="Times New Roman"/>
          <w:spacing w:val="1"/>
        </w:rPr>
        <w:t xml:space="preserve"> </w:t>
      </w:r>
      <w:r w:rsidRPr="00680B5B">
        <w:rPr>
          <w:rFonts w:ascii="Times New Roman" w:hAnsi="Times New Roman" w:cs="Times New Roman"/>
        </w:rPr>
        <w:t>manutenção</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pontuação;</w:t>
      </w:r>
    </w:p>
    <w:p w14:paraId="0E5FB28C"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que na distribuição dos dias de plantão sejam identificados os feriados,</w:t>
      </w:r>
      <w:r w:rsidRPr="00680B5B">
        <w:rPr>
          <w:rFonts w:ascii="Times New Roman" w:hAnsi="Times New Roman" w:cs="Times New Roman"/>
          <w:spacing w:val="-52"/>
        </w:rPr>
        <w:t xml:space="preserve"> </w:t>
      </w:r>
      <w:r w:rsidRPr="00680B5B">
        <w:rPr>
          <w:rFonts w:ascii="Times New Roman" w:hAnsi="Times New Roman" w:cs="Times New Roman"/>
        </w:rPr>
        <w:t>não gerando</w:t>
      </w:r>
      <w:r w:rsidRPr="00680B5B">
        <w:rPr>
          <w:rFonts w:ascii="Times New Roman" w:hAnsi="Times New Roman" w:cs="Times New Roman"/>
          <w:spacing w:val="-1"/>
        </w:rPr>
        <w:t xml:space="preserve"> </w:t>
      </w:r>
      <w:r w:rsidRPr="00680B5B">
        <w:rPr>
          <w:rFonts w:ascii="Times New Roman" w:hAnsi="Times New Roman" w:cs="Times New Roman"/>
        </w:rPr>
        <w:t>plantão</w:t>
      </w:r>
      <w:r w:rsidRPr="00680B5B">
        <w:rPr>
          <w:rFonts w:ascii="Times New Roman" w:hAnsi="Times New Roman" w:cs="Times New Roman"/>
          <w:spacing w:val="-1"/>
        </w:rPr>
        <w:t xml:space="preserve"> </w:t>
      </w:r>
      <w:r w:rsidRPr="00680B5B">
        <w:rPr>
          <w:rFonts w:ascii="Times New Roman" w:hAnsi="Times New Roman" w:cs="Times New Roman"/>
        </w:rPr>
        <w:t>para o</w:t>
      </w:r>
      <w:r w:rsidRPr="00680B5B">
        <w:rPr>
          <w:rFonts w:ascii="Times New Roman" w:hAnsi="Times New Roman" w:cs="Times New Roman"/>
          <w:spacing w:val="1"/>
        </w:rPr>
        <w:t xml:space="preserve"> </w:t>
      </w:r>
      <w:r w:rsidRPr="00680B5B">
        <w:rPr>
          <w:rFonts w:ascii="Times New Roman" w:hAnsi="Times New Roman" w:cs="Times New Roman"/>
        </w:rPr>
        <w:t>respectivo</w:t>
      </w:r>
      <w:r w:rsidRPr="00680B5B">
        <w:rPr>
          <w:rFonts w:ascii="Times New Roman" w:hAnsi="Times New Roman" w:cs="Times New Roman"/>
          <w:spacing w:val="-2"/>
        </w:rPr>
        <w:t xml:space="preserve"> </w:t>
      </w:r>
      <w:r w:rsidRPr="00680B5B">
        <w:rPr>
          <w:rFonts w:ascii="Times New Roman" w:hAnsi="Times New Roman" w:cs="Times New Roman"/>
        </w:rPr>
        <w:t>dia;</w:t>
      </w:r>
    </w:p>
    <w:p w14:paraId="08515D82" w14:textId="77777777" w:rsidR="00B307DB" w:rsidRPr="00680B5B" w:rsidRDefault="00B307DB" w:rsidP="00F60DF5">
      <w:pPr>
        <w:pStyle w:val="TableParagraph"/>
        <w:numPr>
          <w:ilvl w:val="0"/>
          <w:numId w:val="313"/>
        </w:numPr>
        <w:tabs>
          <w:tab w:val="left" w:pos="320"/>
          <w:tab w:val="left" w:pos="40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19"/>
        </w:rPr>
        <w:t xml:space="preserve"> </w:t>
      </w:r>
      <w:r w:rsidRPr="00680B5B">
        <w:rPr>
          <w:rFonts w:ascii="Times New Roman" w:hAnsi="Times New Roman" w:cs="Times New Roman"/>
        </w:rPr>
        <w:t>que</w:t>
      </w:r>
      <w:r w:rsidRPr="00680B5B">
        <w:rPr>
          <w:rFonts w:ascii="Times New Roman" w:hAnsi="Times New Roman" w:cs="Times New Roman"/>
          <w:spacing w:val="20"/>
        </w:rPr>
        <w:t xml:space="preserve"> </w:t>
      </w:r>
      <w:r w:rsidRPr="00680B5B">
        <w:rPr>
          <w:rFonts w:ascii="Times New Roman" w:hAnsi="Times New Roman" w:cs="Times New Roman"/>
        </w:rPr>
        <w:t>seja</w:t>
      </w:r>
      <w:r w:rsidRPr="00680B5B">
        <w:rPr>
          <w:rFonts w:ascii="Times New Roman" w:hAnsi="Times New Roman" w:cs="Times New Roman"/>
          <w:spacing w:val="21"/>
        </w:rPr>
        <w:t xml:space="preserve"> </w:t>
      </w:r>
      <w:r w:rsidRPr="00680B5B">
        <w:rPr>
          <w:rFonts w:ascii="Times New Roman" w:hAnsi="Times New Roman" w:cs="Times New Roman"/>
        </w:rPr>
        <w:t>controlado as férias dos</w:t>
      </w:r>
      <w:r w:rsidRPr="00680B5B">
        <w:rPr>
          <w:rFonts w:ascii="Times New Roman" w:hAnsi="Times New Roman" w:cs="Times New Roman"/>
          <w:spacing w:val="19"/>
        </w:rPr>
        <w:t xml:space="preserve"> </w:t>
      </w:r>
      <w:r w:rsidRPr="00680B5B">
        <w:rPr>
          <w:rFonts w:ascii="Times New Roman" w:hAnsi="Times New Roman" w:cs="Times New Roman"/>
        </w:rPr>
        <w:t>fiscais, integrando com o sistema de folha de pagamento.</w:t>
      </w:r>
      <w:r w:rsidRPr="00680B5B">
        <w:rPr>
          <w:rFonts w:ascii="Times New Roman" w:hAnsi="Times New Roman" w:cs="Times New Roman"/>
          <w:spacing w:val="20"/>
        </w:rPr>
        <w:t xml:space="preserve"> </w:t>
      </w:r>
      <w:r w:rsidRPr="00680B5B">
        <w:rPr>
          <w:rFonts w:ascii="Times New Roman" w:hAnsi="Times New Roman" w:cs="Times New Roman"/>
        </w:rPr>
        <w:t>Quando distribuído o</w:t>
      </w:r>
      <w:r w:rsidRPr="00680B5B">
        <w:rPr>
          <w:rFonts w:ascii="Times New Roman" w:hAnsi="Times New Roman" w:cs="Times New Roman"/>
          <w:spacing w:val="-3"/>
        </w:rPr>
        <w:t xml:space="preserve"> </w:t>
      </w:r>
      <w:r w:rsidRPr="00680B5B">
        <w:rPr>
          <w:rFonts w:ascii="Times New Roman" w:hAnsi="Times New Roman" w:cs="Times New Roman"/>
        </w:rPr>
        <w:t>corpo fiscal</w:t>
      </w:r>
      <w:r w:rsidRPr="00680B5B">
        <w:rPr>
          <w:rFonts w:ascii="Times New Roman" w:hAnsi="Times New Roman" w:cs="Times New Roman"/>
          <w:spacing w:val="-3"/>
        </w:rPr>
        <w:t xml:space="preserve"> </w:t>
      </w:r>
      <w:r w:rsidRPr="00680B5B">
        <w:rPr>
          <w:rFonts w:ascii="Times New Roman" w:hAnsi="Times New Roman" w:cs="Times New Roman"/>
        </w:rPr>
        <w:t>no</w:t>
      </w:r>
      <w:r w:rsidRPr="00680B5B">
        <w:rPr>
          <w:rFonts w:ascii="Times New Roman" w:hAnsi="Times New Roman" w:cs="Times New Roman"/>
          <w:spacing w:val="-2"/>
        </w:rPr>
        <w:t xml:space="preserve"> </w:t>
      </w:r>
      <w:r w:rsidRPr="00680B5B">
        <w:rPr>
          <w:rFonts w:ascii="Times New Roman" w:hAnsi="Times New Roman" w:cs="Times New Roman"/>
        </w:rPr>
        <w:t>plantão</w:t>
      </w:r>
      <w:r w:rsidRPr="00680B5B">
        <w:rPr>
          <w:rFonts w:ascii="Times New Roman" w:hAnsi="Times New Roman" w:cs="Times New Roman"/>
          <w:spacing w:val="-2"/>
        </w:rPr>
        <w:t xml:space="preserve"> </w:t>
      </w:r>
      <w:r w:rsidRPr="00680B5B">
        <w:rPr>
          <w:rFonts w:ascii="Times New Roman" w:hAnsi="Times New Roman" w:cs="Times New Roman"/>
        </w:rPr>
        <w:t>os fiscais em férias não devem ser apresentados;</w:t>
      </w:r>
    </w:p>
    <w:p w14:paraId="347D03FE" w14:textId="77777777" w:rsidR="00B307DB" w:rsidRPr="00680B5B" w:rsidRDefault="00B307DB" w:rsidP="00B307DB">
      <w:pPr>
        <w:pStyle w:val="Corpodetexto31"/>
        <w:ind w:right="-568"/>
        <w:rPr>
          <w:rFonts w:ascii="Times New Roman" w:hAnsi="Times New Roman" w:cs="Times New Roman"/>
          <w:sz w:val="22"/>
          <w:szCs w:val="22"/>
        </w:rPr>
      </w:pPr>
    </w:p>
    <w:p w14:paraId="3B0EF0DB"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2.12 MÓDULO: SIMPLES NACIONAL</w:t>
      </w:r>
    </w:p>
    <w:p w14:paraId="473AC345" w14:textId="77777777" w:rsidR="00B307DB" w:rsidRPr="00680B5B" w:rsidRDefault="00B307DB" w:rsidP="00CC7709">
      <w:pPr>
        <w:pStyle w:val="TableParagraph"/>
        <w:numPr>
          <w:ilvl w:val="3"/>
          <w:numId w:val="314"/>
        </w:numPr>
        <w:tabs>
          <w:tab w:val="left" w:pos="567"/>
          <w:tab w:val="left" w:pos="1179"/>
          <w:tab w:val="left" w:pos="2228"/>
          <w:tab w:val="left" w:pos="2745"/>
          <w:tab w:val="left" w:pos="38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Importar arquivos de períodos </w:t>
      </w:r>
      <w:r w:rsidRPr="00680B5B">
        <w:rPr>
          <w:rFonts w:ascii="Times New Roman" w:hAnsi="Times New Roman" w:cs="Times New Roman"/>
          <w:spacing w:val="-6"/>
        </w:rPr>
        <w:t xml:space="preserve">dos </w:t>
      </w:r>
      <w:r w:rsidRPr="00680B5B">
        <w:rPr>
          <w:rFonts w:ascii="Times New Roman" w:hAnsi="Times New Roman" w:cs="Times New Roman"/>
        </w:rPr>
        <w:t>contribuintes do simples</w:t>
      </w:r>
      <w:r w:rsidRPr="00680B5B">
        <w:rPr>
          <w:rFonts w:ascii="Times New Roman" w:hAnsi="Times New Roman" w:cs="Times New Roman"/>
          <w:spacing w:val="-5"/>
        </w:rPr>
        <w:t xml:space="preserve"> </w:t>
      </w:r>
      <w:r w:rsidRPr="00680B5B">
        <w:rPr>
          <w:rFonts w:ascii="Times New Roman" w:hAnsi="Times New Roman" w:cs="Times New Roman"/>
        </w:rPr>
        <w:t>nacional;</w:t>
      </w:r>
    </w:p>
    <w:p w14:paraId="3462135F"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contendo os eventos dos contribuintes do simples nacional;</w:t>
      </w:r>
    </w:p>
    <w:p w14:paraId="318DED2B"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Visualizar períodos e eventos dos contribuintes enquadrados no simples nacional;</w:t>
      </w:r>
    </w:p>
    <w:p w14:paraId="2CD0534E"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do DAS (Documento de Arrecadação do Simples Nacional);</w:t>
      </w:r>
    </w:p>
    <w:p w14:paraId="4F189227"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da DASN (Declaração Anual do Simples Nacional);</w:t>
      </w:r>
    </w:p>
    <w:p w14:paraId="7CABD28F" w14:textId="77777777" w:rsidR="00B307DB" w:rsidRPr="00680B5B" w:rsidRDefault="00B307DB" w:rsidP="00CC7709">
      <w:pPr>
        <w:pStyle w:val="TableParagraph"/>
        <w:numPr>
          <w:ilvl w:val="3"/>
          <w:numId w:val="314"/>
        </w:numPr>
        <w:tabs>
          <w:tab w:val="left" w:pos="567"/>
          <w:tab w:val="left" w:pos="1878"/>
          <w:tab w:val="left" w:pos="36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Importar arquivos de períodos dos contribuintes enquadrados </w:t>
      </w:r>
      <w:r w:rsidRPr="00680B5B">
        <w:rPr>
          <w:rFonts w:ascii="Times New Roman" w:hAnsi="Times New Roman" w:cs="Times New Roman"/>
          <w:spacing w:val="-5"/>
        </w:rPr>
        <w:t xml:space="preserve">como </w:t>
      </w:r>
      <w:r w:rsidRPr="00680B5B">
        <w:rPr>
          <w:rFonts w:ascii="Times New Roman" w:hAnsi="Times New Roman" w:cs="Times New Roman"/>
        </w:rPr>
        <w:t>Microempreendedor</w:t>
      </w:r>
      <w:r w:rsidRPr="00680B5B">
        <w:rPr>
          <w:rFonts w:ascii="Times New Roman" w:hAnsi="Times New Roman" w:cs="Times New Roman"/>
          <w:spacing w:val="-2"/>
        </w:rPr>
        <w:t xml:space="preserve"> </w:t>
      </w:r>
      <w:r w:rsidRPr="00680B5B">
        <w:rPr>
          <w:rFonts w:ascii="Times New Roman" w:hAnsi="Times New Roman" w:cs="Times New Roman"/>
        </w:rPr>
        <w:t>Individual;</w:t>
      </w:r>
    </w:p>
    <w:p w14:paraId="66B9A378" w14:textId="77777777" w:rsidR="00B307DB" w:rsidRPr="00680B5B" w:rsidRDefault="00B307DB" w:rsidP="00CC7709">
      <w:pPr>
        <w:pStyle w:val="TableParagraph"/>
        <w:numPr>
          <w:ilvl w:val="3"/>
          <w:numId w:val="314"/>
        </w:numPr>
        <w:tabs>
          <w:tab w:val="left" w:pos="567"/>
          <w:tab w:val="left" w:pos="1878"/>
          <w:tab w:val="left" w:pos="36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Importar arquivos contendo os eventos dos contribuintes enquadrados </w:t>
      </w:r>
      <w:r w:rsidRPr="00680B5B">
        <w:rPr>
          <w:rFonts w:ascii="Times New Roman" w:hAnsi="Times New Roman" w:cs="Times New Roman"/>
          <w:spacing w:val="-5"/>
        </w:rPr>
        <w:t xml:space="preserve">como </w:t>
      </w:r>
      <w:r w:rsidRPr="00680B5B">
        <w:rPr>
          <w:rFonts w:ascii="Times New Roman" w:hAnsi="Times New Roman" w:cs="Times New Roman"/>
        </w:rPr>
        <w:t>Microempreendedor</w:t>
      </w:r>
      <w:r w:rsidRPr="00680B5B">
        <w:rPr>
          <w:rFonts w:ascii="Times New Roman" w:hAnsi="Times New Roman" w:cs="Times New Roman"/>
          <w:spacing w:val="-2"/>
        </w:rPr>
        <w:t xml:space="preserve"> </w:t>
      </w:r>
      <w:r w:rsidRPr="00680B5B">
        <w:rPr>
          <w:rFonts w:ascii="Times New Roman" w:hAnsi="Times New Roman" w:cs="Times New Roman"/>
        </w:rPr>
        <w:t>Individual;</w:t>
      </w:r>
    </w:p>
    <w:p w14:paraId="7AC1259B"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DASSENDA;</w:t>
      </w:r>
    </w:p>
    <w:p w14:paraId="5ECCA48B" w14:textId="77777777" w:rsidR="00B307DB" w:rsidRPr="00680B5B" w:rsidRDefault="00B307DB" w:rsidP="00CC7709">
      <w:pPr>
        <w:pStyle w:val="TableParagraph"/>
        <w:numPr>
          <w:ilvl w:val="3"/>
          <w:numId w:val="314"/>
        </w:numPr>
        <w:tabs>
          <w:tab w:val="left" w:pos="567"/>
          <w:tab w:val="left" w:pos="1095"/>
          <w:tab w:val="left" w:pos="2062"/>
          <w:tab w:val="left" w:pos="2495"/>
          <w:tab w:val="left" w:pos="39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do</w:t>
      </w:r>
      <w:r w:rsidRPr="00680B5B">
        <w:rPr>
          <w:rFonts w:ascii="Times New Roman" w:hAnsi="Times New Roman" w:cs="Times New Roman"/>
        </w:rPr>
        <w:tab/>
        <w:t xml:space="preserve">parcelamento </w:t>
      </w:r>
      <w:r w:rsidRPr="00680B5B">
        <w:rPr>
          <w:rFonts w:ascii="Times New Roman" w:hAnsi="Times New Roman" w:cs="Times New Roman"/>
          <w:spacing w:val="-9"/>
        </w:rPr>
        <w:t xml:space="preserve">do </w:t>
      </w:r>
      <w:r w:rsidRPr="00680B5B">
        <w:rPr>
          <w:rFonts w:ascii="Times New Roman" w:hAnsi="Times New Roman" w:cs="Times New Roman"/>
        </w:rPr>
        <w:t>simples</w:t>
      </w:r>
      <w:r w:rsidRPr="00680B5B">
        <w:rPr>
          <w:rFonts w:ascii="Times New Roman" w:hAnsi="Times New Roman" w:cs="Times New Roman"/>
          <w:spacing w:val="-2"/>
        </w:rPr>
        <w:t xml:space="preserve"> </w:t>
      </w:r>
      <w:r w:rsidRPr="00680B5B">
        <w:rPr>
          <w:rFonts w:ascii="Times New Roman" w:hAnsi="Times New Roman" w:cs="Times New Roman"/>
        </w:rPr>
        <w:t>nacional;</w:t>
      </w:r>
    </w:p>
    <w:p w14:paraId="6BD13E70" w14:textId="77777777" w:rsidR="00B307DB" w:rsidRPr="00680B5B" w:rsidRDefault="00B307DB" w:rsidP="00CC7709">
      <w:pPr>
        <w:pStyle w:val="TableParagraph"/>
        <w:numPr>
          <w:ilvl w:val="3"/>
          <w:numId w:val="314"/>
        </w:numPr>
        <w:tabs>
          <w:tab w:val="left" w:pos="567"/>
          <w:tab w:val="left" w:pos="1263"/>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Quando existir diferença no valor de ISSQN contido no arquivo de parcelamento do simples nacional e o que foi declarado pelo contribuintes no sistema, deverá ter a possibilidade de criar lançamento tributário com esta diferença;</w:t>
      </w:r>
    </w:p>
    <w:p w14:paraId="555535A3" w14:textId="77777777" w:rsidR="00B307DB" w:rsidRPr="00680B5B" w:rsidRDefault="00B307DB" w:rsidP="00CC7709">
      <w:pPr>
        <w:pStyle w:val="TableParagraph"/>
        <w:numPr>
          <w:ilvl w:val="3"/>
          <w:numId w:val="314"/>
        </w:numPr>
        <w:tabs>
          <w:tab w:val="left" w:pos="567"/>
          <w:tab w:val="left" w:pos="1878"/>
          <w:tab w:val="left" w:pos="36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Visualizar períodos e eventos dos contribuintes enquadrados </w:t>
      </w:r>
      <w:r w:rsidRPr="00680B5B">
        <w:rPr>
          <w:rFonts w:ascii="Times New Roman" w:hAnsi="Times New Roman" w:cs="Times New Roman"/>
          <w:spacing w:val="-5"/>
        </w:rPr>
        <w:t xml:space="preserve">como </w:t>
      </w:r>
      <w:r w:rsidRPr="00680B5B">
        <w:rPr>
          <w:rFonts w:ascii="Times New Roman" w:hAnsi="Times New Roman" w:cs="Times New Roman"/>
        </w:rPr>
        <w:t>Microempreendedor</w:t>
      </w:r>
      <w:r w:rsidRPr="00680B5B">
        <w:rPr>
          <w:rFonts w:ascii="Times New Roman" w:hAnsi="Times New Roman" w:cs="Times New Roman"/>
          <w:spacing w:val="-2"/>
        </w:rPr>
        <w:t xml:space="preserve"> </w:t>
      </w:r>
      <w:r w:rsidRPr="00680B5B">
        <w:rPr>
          <w:rFonts w:ascii="Times New Roman" w:hAnsi="Times New Roman" w:cs="Times New Roman"/>
        </w:rPr>
        <w:t>Individual;</w:t>
      </w:r>
    </w:p>
    <w:p w14:paraId="40F79E3C"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do DAS-SIMEI (Documento de Arrecadação do Microempreendedor</w:t>
      </w:r>
      <w:r w:rsidRPr="00680B5B">
        <w:rPr>
          <w:rFonts w:ascii="Times New Roman" w:hAnsi="Times New Roman" w:cs="Times New Roman"/>
          <w:spacing w:val="-2"/>
        </w:rPr>
        <w:t xml:space="preserve"> </w:t>
      </w:r>
      <w:r w:rsidRPr="00680B5B">
        <w:rPr>
          <w:rFonts w:ascii="Times New Roman" w:hAnsi="Times New Roman" w:cs="Times New Roman"/>
        </w:rPr>
        <w:t>Individual);</w:t>
      </w:r>
    </w:p>
    <w:p w14:paraId="767E2C79"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arquivos da DASN-SIMEI (Declaração Anual do Microempreendedor Individual);</w:t>
      </w:r>
    </w:p>
    <w:p w14:paraId="617D2580"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registros de importação do DAS (Documento de Arrecadação do Simples Nacional) por dia, podendo ser adicionado comentário, como também listar os dias de pendências de importação;</w:t>
      </w:r>
    </w:p>
    <w:p w14:paraId="19148FF8"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registros de importação do DASN (Documento de Arrecadação do Simples Nacional) por dia, podendo ser adicionado comentário, como também listar os dias pendências de importação;</w:t>
      </w:r>
    </w:p>
    <w:p w14:paraId="44E3E939"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Importar contribuintes do Simples Nacional que estejam em débitos com a Receita Federal para posterior inscrição em Dívida Ativa no sistema de tributos do Município;</w:t>
      </w:r>
    </w:p>
    <w:p w14:paraId="7676F829"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Gerenciar quais contribuintes enquadrados no simples nacional com débitos, que serão inscritos em Dívida Ativa;</w:t>
      </w:r>
    </w:p>
    <w:p w14:paraId="4D1B2F89"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Consultar as inconsistências de pagamento dos arquivos importados do DASN com as baixas de pagamento do Município de pagamento dos arquivos importados do DASN com as baixas de pagamento do Município;</w:t>
      </w:r>
    </w:p>
    <w:p w14:paraId="26FB7150"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de todas as informações importadas no DASN (Declaração Anual do Simples Nacional);</w:t>
      </w:r>
    </w:p>
    <w:p w14:paraId="1736DC09"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de contribuintes enquadrados no simples nacional sem pagamento e que não foram inscritos em Dívida Ativa;</w:t>
      </w:r>
    </w:p>
    <w:p w14:paraId="2EA4142C" w14:textId="77777777" w:rsidR="00B307DB" w:rsidRPr="00680B5B" w:rsidRDefault="00B307DB" w:rsidP="00CC7709">
      <w:pPr>
        <w:pStyle w:val="TableParagraph"/>
        <w:numPr>
          <w:ilvl w:val="3"/>
          <w:numId w:val="314"/>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relatório de empresas do simples nacional que declaram sem recolhimento no DAS;</w:t>
      </w:r>
    </w:p>
    <w:p w14:paraId="67A699B9" w14:textId="77777777" w:rsidR="00B307DB" w:rsidRPr="00680B5B" w:rsidRDefault="00B307DB" w:rsidP="00B307DB">
      <w:pPr>
        <w:pStyle w:val="Corpodetexto31"/>
        <w:tabs>
          <w:tab w:val="left" w:pos="3448"/>
        </w:tabs>
        <w:ind w:right="-568"/>
        <w:rPr>
          <w:rFonts w:ascii="Times New Roman" w:hAnsi="Times New Roman" w:cs="Times New Roman"/>
          <w:bCs/>
          <w:sz w:val="22"/>
          <w:szCs w:val="22"/>
        </w:rPr>
      </w:pPr>
    </w:p>
    <w:p w14:paraId="7D6441D1"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2.13  MÓDULO: GESTÃO DE ESCRITA FISCAL ELETRÔNICA</w:t>
      </w:r>
    </w:p>
    <w:p w14:paraId="0A3DF98C"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Possuir cadastro Mobiliário Único;</w:t>
      </w:r>
    </w:p>
    <w:p w14:paraId="069B24D6"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Permtir escrituração dos Prestadores de Serviços estabelecidos no município;</w:t>
      </w:r>
    </w:p>
    <w:p w14:paraId="08E0E955"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Permitir escrituração via digitação de documentos fiscais de serviços prestados, identificando no </w:t>
      </w:r>
      <w:r w:rsidRPr="00680B5B">
        <w:rPr>
          <w:rFonts w:ascii="Times New Roman" w:hAnsi="Times New Roman" w:cs="Times New Roman"/>
        </w:rPr>
        <w:lastRenderedPageBreak/>
        <w:t>mínimo o número do documento, data de emissão, local da prestação do serviço, valor do serviço, alíquota e o tomador do serviço;</w:t>
      </w:r>
    </w:p>
    <w:p w14:paraId="37640F36"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escrituração de serviços prestados através de importação de arquivo no formato txt, conforme layout pré-definido pelo município;</w:t>
      </w:r>
    </w:p>
    <w:p w14:paraId="14A86057"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Calcular automaticamente o tributo com base nas informações lançadas na declaração de serviços;</w:t>
      </w:r>
    </w:p>
    <w:p w14:paraId="1A84954B"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alterar/cancelar qualquer lançamento, exceto para lançamentos gerados pela emissão de NFS-e, no encerramento da escrituração;</w:t>
      </w:r>
    </w:p>
    <w:p w14:paraId="6B600DC0"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Permtir escrituração dos Tomadores de Serviços estabelecidos no município;</w:t>
      </w:r>
    </w:p>
    <w:p w14:paraId="5EFC5EBB"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escrituração via digitação de documentos fiscais de serviços prestados, identificando no mínimo o número do documento, data de emissão, local da prestação do serviço, valor do serviço, alíquota e o tomador do serviço;</w:t>
      </w:r>
    </w:p>
    <w:p w14:paraId="12CB2000"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escrituração de serviços tomados através de importação de arquivo no formato txt, conforme layout pré-definido pelo município;</w:t>
      </w:r>
    </w:p>
    <w:p w14:paraId="15976157"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escrituração com seleção de documentos fiscais, onde a contribuinte poderá selecionar sobre quais documentos deseja emitir a guia de pagamento. Os documentos restantes devem ser lançados em competência complementar.</w:t>
      </w:r>
    </w:p>
    <w:p w14:paraId="6B7E0911"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Possuir escrituração exclusiva para contadores, para que possam realizar seu pré-cadastramento e utilizá-lo após liberação por intermédio de um funcionário da prefeitura com privilégios para esta atividade (tipo de acesso que permita esta operação);</w:t>
      </w:r>
    </w:p>
    <w:p w14:paraId="5D2EAF6F" w14:textId="77777777" w:rsidR="00B307DB" w:rsidRPr="00680B5B" w:rsidRDefault="00B307DB" w:rsidP="00CC7709">
      <w:pPr>
        <w:pStyle w:val="TableParagraph"/>
        <w:numPr>
          <w:ilvl w:val="3"/>
          <w:numId w:val="315"/>
        </w:numPr>
        <w:tabs>
          <w:tab w:val="left" w:pos="567"/>
          <w:tab w:val="left" w:pos="1962"/>
          <w:tab w:val="left" w:pos="3428"/>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Verificar informações enviadas pelos contribuintes através das declarações, tais como: serviços prestados por empresas de fora do Município, serviços prestados por empresas locais, serviços prestados fora da cidade por empresas locais, relação dos serviços com</w:t>
      </w:r>
      <w:r w:rsidRPr="00680B5B">
        <w:rPr>
          <w:rFonts w:ascii="Times New Roman" w:hAnsi="Times New Roman" w:cs="Times New Roman"/>
        </w:rPr>
        <w:tab/>
      </w:r>
      <w:r w:rsidRPr="00680B5B">
        <w:rPr>
          <w:rFonts w:ascii="Times New Roman" w:hAnsi="Times New Roman" w:cs="Times New Roman"/>
          <w:spacing w:val="-4"/>
        </w:rPr>
        <w:t xml:space="preserve">maiores </w:t>
      </w:r>
      <w:r w:rsidRPr="00680B5B">
        <w:rPr>
          <w:rFonts w:ascii="Times New Roman" w:hAnsi="Times New Roman" w:cs="Times New Roman"/>
        </w:rPr>
        <w:t>arrecadações/declarações;</w:t>
      </w:r>
    </w:p>
    <w:p w14:paraId="630D22A5"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Incluir Ficha de Alteração Cadastral (FAC), com as opções de Novo Cadastro, Alteração de Cadastro, Vínculo de Responsabilidade, Baixa de Responsabilidade;</w:t>
      </w:r>
    </w:p>
    <w:p w14:paraId="09F6EE4F"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na Ficha de Alteração Cadastral (FAC) com tipo Novo, incluir usuário de forma automática no momento da liberação;</w:t>
      </w:r>
    </w:p>
    <w:p w14:paraId="6121026C"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Para Ficha de Alteração Cadastral (FAC) com tipo Novo, incluir autorização para utilização de NFS-e, de forma automática, no momento da</w:t>
      </w:r>
      <w:r w:rsidRPr="00680B5B">
        <w:rPr>
          <w:rFonts w:ascii="Times New Roman" w:hAnsi="Times New Roman" w:cs="Times New Roman"/>
          <w:spacing w:val="-3"/>
        </w:rPr>
        <w:t xml:space="preserve"> </w:t>
      </w:r>
      <w:r w:rsidRPr="00680B5B">
        <w:rPr>
          <w:rFonts w:ascii="Times New Roman" w:hAnsi="Times New Roman" w:cs="Times New Roman"/>
        </w:rPr>
        <w:t>liberação;</w:t>
      </w:r>
    </w:p>
    <w:p w14:paraId="4A66CC24" w14:textId="77777777" w:rsidR="00B307DB" w:rsidRPr="00680B5B" w:rsidRDefault="00B307DB" w:rsidP="00CC7709">
      <w:pPr>
        <w:pStyle w:val="TableParagraph"/>
        <w:numPr>
          <w:ilvl w:val="3"/>
          <w:numId w:val="315"/>
        </w:numPr>
        <w:tabs>
          <w:tab w:val="left" w:pos="567"/>
          <w:tab w:val="left" w:pos="1312"/>
          <w:tab w:val="left" w:pos="2117"/>
          <w:tab w:val="left" w:pos="2467"/>
          <w:tab w:val="left" w:pos="32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 xml:space="preserve">Cadastrar, alterar e alterar a situação cadastral de </w:t>
      </w:r>
      <w:r w:rsidRPr="00680B5B">
        <w:rPr>
          <w:rFonts w:ascii="Times New Roman" w:hAnsi="Times New Roman" w:cs="Times New Roman"/>
          <w:spacing w:val="-1"/>
        </w:rPr>
        <w:t xml:space="preserve">inscrições </w:t>
      </w:r>
      <w:r w:rsidRPr="00680B5B">
        <w:rPr>
          <w:rFonts w:ascii="Times New Roman" w:hAnsi="Times New Roman" w:cs="Times New Roman"/>
        </w:rPr>
        <w:t>municipais;</w:t>
      </w:r>
    </w:p>
    <w:p w14:paraId="64B251ED" w14:textId="77777777" w:rsidR="00B307DB" w:rsidRPr="00680B5B" w:rsidRDefault="00B307DB" w:rsidP="00CC7709">
      <w:pPr>
        <w:pStyle w:val="TableParagraph"/>
        <w:numPr>
          <w:ilvl w:val="3"/>
          <w:numId w:val="315"/>
        </w:numPr>
        <w:tabs>
          <w:tab w:val="left" w:pos="567"/>
          <w:tab w:val="left" w:pos="1005"/>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que o município configure previamente quando o contribuinte terá a possibilidade de complementar ou retificar uma declaração;</w:t>
      </w:r>
    </w:p>
    <w:p w14:paraId="27FDCA90" w14:textId="77777777" w:rsidR="00B307DB" w:rsidRPr="00680B5B" w:rsidRDefault="00B307DB" w:rsidP="00CC7709">
      <w:pPr>
        <w:pStyle w:val="TableParagraph"/>
        <w:numPr>
          <w:ilvl w:val="3"/>
          <w:numId w:val="315"/>
        </w:numPr>
        <w:tabs>
          <w:tab w:val="left" w:pos="567"/>
          <w:tab w:val="left" w:pos="1312"/>
          <w:tab w:val="left" w:pos="2117"/>
          <w:tab w:val="left" w:pos="2467"/>
          <w:tab w:val="left" w:pos="32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 que o município configure previamente quais situações tributárias estarão disponíveis por item da lista de serviço. No momento de declaração do documento fiscal, somente estas situações poderão aparecer para seleção por parte do contribuinte.</w:t>
      </w:r>
    </w:p>
    <w:p w14:paraId="4E50CB81" w14:textId="77777777" w:rsidR="00B307DB" w:rsidRPr="00680B5B" w:rsidRDefault="00B307DB" w:rsidP="00CC7709">
      <w:pPr>
        <w:pStyle w:val="TableParagraph"/>
        <w:numPr>
          <w:ilvl w:val="3"/>
          <w:numId w:val="315"/>
        </w:numPr>
        <w:tabs>
          <w:tab w:val="left" w:pos="567"/>
          <w:tab w:val="left" w:pos="1312"/>
          <w:tab w:val="left" w:pos="2117"/>
          <w:tab w:val="left" w:pos="2467"/>
          <w:tab w:val="left" w:pos="3250"/>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configurar se será solicitado, ou não, assinatura digital no momento da escrituração da declaração, podendo criar exceção para Micro Empreendedores Individuais.</w:t>
      </w:r>
    </w:p>
    <w:p w14:paraId="0C9C01DD" w14:textId="77777777" w:rsidR="00B307DB" w:rsidRPr="00680B5B" w:rsidRDefault="00B307DB" w:rsidP="00CC7709">
      <w:pPr>
        <w:pStyle w:val="TableParagraph"/>
        <w:numPr>
          <w:ilvl w:val="3"/>
          <w:numId w:val="315"/>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recibo de declaração de ISS e de ISS retido;</w:t>
      </w:r>
    </w:p>
    <w:p w14:paraId="58002146"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21.</w:t>
      </w:r>
      <w:r w:rsidRPr="00680B5B">
        <w:rPr>
          <w:rFonts w:ascii="Times New Roman" w:hAnsi="Times New Roman" w:cs="Times New Roman"/>
        </w:rPr>
        <w:t xml:space="preserve"> Escriturar através de acesso seguro (assinatura digital) os documentos fiscais e ou cupons fiscais emitidos e recebidos, contendo:</w:t>
      </w:r>
    </w:p>
    <w:p w14:paraId="180957CB" w14:textId="77777777" w:rsidR="00B307DB" w:rsidRPr="00680B5B" w:rsidRDefault="00B307DB" w:rsidP="00B307DB">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a)</w:t>
      </w:r>
      <w:r w:rsidRPr="00680B5B">
        <w:rPr>
          <w:rFonts w:ascii="Times New Roman" w:hAnsi="Times New Roman" w:cs="Times New Roman"/>
        </w:rPr>
        <w:t xml:space="preserve"> Razão social do declarante/contribuinte;</w:t>
      </w:r>
    </w:p>
    <w:p w14:paraId="3979C6A9" w14:textId="77777777" w:rsidR="00B307DB" w:rsidRPr="00680B5B" w:rsidRDefault="00B307DB" w:rsidP="00B307DB">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b)</w:t>
      </w:r>
      <w:r w:rsidRPr="00680B5B">
        <w:rPr>
          <w:rFonts w:ascii="Times New Roman" w:hAnsi="Times New Roman" w:cs="Times New Roman"/>
        </w:rPr>
        <w:t xml:space="preserve"> CNPJ/CPF;</w:t>
      </w:r>
    </w:p>
    <w:p w14:paraId="0FC718EA" w14:textId="77777777" w:rsidR="00B307DB" w:rsidRPr="00680B5B" w:rsidRDefault="00B307DB" w:rsidP="00B307DB">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c)</w:t>
      </w:r>
      <w:r w:rsidRPr="00680B5B">
        <w:rPr>
          <w:rFonts w:ascii="Times New Roman" w:hAnsi="Times New Roman" w:cs="Times New Roman"/>
        </w:rPr>
        <w:t xml:space="preserve"> Endereço completo;</w:t>
      </w:r>
    </w:p>
    <w:p w14:paraId="6413827A" w14:textId="77777777" w:rsidR="00B307DB" w:rsidRPr="00680B5B" w:rsidRDefault="00B307DB" w:rsidP="00B307DB">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d)</w:t>
      </w:r>
      <w:r w:rsidRPr="00680B5B">
        <w:rPr>
          <w:rFonts w:ascii="Times New Roman" w:hAnsi="Times New Roman" w:cs="Times New Roman"/>
        </w:rPr>
        <w:t xml:space="preserve"> Número do Cadastro Municipal Mobiliário, quando tiver;</w:t>
      </w:r>
    </w:p>
    <w:p w14:paraId="5B81685F" w14:textId="77777777" w:rsidR="00B307DB" w:rsidRPr="00680B5B" w:rsidRDefault="00B307DB" w:rsidP="00B307DB">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e)</w:t>
      </w:r>
      <w:r w:rsidRPr="00680B5B">
        <w:rPr>
          <w:rFonts w:ascii="Times New Roman" w:hAnsi="Times New Roman" w:cs="Times New Roman"/>
        </w:rPr>
        <w:t xml:space="preserve"> Número e data de emissão do documento fiscal e</w:t>
      </w:r>
    </w:p>
    <w:p w14:paraId="0E8DED7D" w14:textId="77777777" w:rsidR="00B307DB" w:rsidRPr="00680B5B" w:rsidRDefault="00B307DB" w:rsidP="00B307DB">
      <w:pPr>
        <w:pStyle w:val="TableParagraph"/>
        <w:tabs>
          <w:tab w:val="left" w:pos="567"/>
        </w:tabs>
        <w:ind w:left="567" w:right="-568"/>
        <w:jc w:val="both"/>
        <w:rPr>
          <w:rFonts w:ascii="Times New Roman" w:hAnsi="Times New Roman" w:cs="Times New Roman"/>
        </w:rPr>
      </w:pPr>
      <w:r w:rsidRPr="00680B5B">
        <w:rPr>
          <w:rFonts w:ascii="Times New Roman" w:hAnsi="Times New Roman" w:cs="Times New Roman"/>
          <w:b/>
        </w:rPr>
        <w:t>f)</w:t>
      </w:r>
      <w:r w:rsidRPr="00680B5B">
        <w:rPr>
          <w:rFonts w:ascii="Times New Roman" w:hAnsi="Times New Roman" w:cs="Times New Roman"/>
        </w:rPr>
        <w:t xml:space="preserve"> Valor dos serviços prestados e/ou tomados;</w:t>
      </w:r>
    </w:p>
    <w:p w14:paraId="75DC9A3E" w14:textId="77777777" w:rsidR="00B307DB" w:rsidRPr="00680B5B" w:rsidRDefault="00B307DB" w:rsidP="00B307DB">
      <w:pPr>
        <w:pStyle w:val="TableParagraph"/>
        <w:tabs>
          <w:tab w:val="left" w:pos="567"/>
          <w:tab w:val="left" w:pos="1384"/>
          <w:tab w:val="left" w:pos="2506"/>
          <w:tab w:val="left" w:pos="3806"/>
        </w:tabs>
        <w:ind w:right="-568"/>
        <w:jc w:val="both"/>
        <w:rPr>
          <w:rFonts w:ascii="Times New Roman" w:hAnsi="Times New Roman" w:cs="Times New Roman"/>
        </w:rPr>
      </w:pPr>
      <w:r w:rsidRPr="00680B5B">
        <w:rPr>
          <w:rFonts w:ascii="Times New Roman" w:hAnsi="Times New Roman" w:cs="Times New Roman"/>
          <w:b/>
        </w:rPr>
        <w:t>22.</w:t>
      </w:r>
      <w:r w:rsidRPr="00680B5B">
        <w:rPr>
          <w:rFonts w:ascii="Times New Roman" w:hAnsi="Times New Roman" w:cs="Times New Roman"/>
        </w:rPr>
        <w:t xml:space="preserve">Escriturar serviços eventuais, </w:t>
      </w:r>
      <w:r w:rsidRPr="00680B5B">
        <w:rPr>
          <w:rFonts w:ascii="Times New Roman" w:hAnsi="Times New Roman" w:cs="Times New Roman"/>
          <w:spacing w:val="-7"/>
        </w:rPr>
        <w:t xml:space="preserve">não </w:t>
      </w:r>
      <w:r w:rsidRPr="00680B5B">
        <w:rPr>
          <w:rFonts w:ascii="Times New Roman" w:hAnsi="Times New Roman" w:cs="Times New Roman"/>
        </w:rPr>
        <w:t>enquadrados no cadastro</w:t>
      </w:r>
      <w:r w:rsidRPr="00680B5B">
        <w:rPr>
          <w:rFonts w:ascii="Times New Roman" w:hAnsi="Times New Roman" w:cs="Times New Roman"/>
          <w:spacing w:val="-5"/>
        </w:rPr>
        <w:t xml:space="preserve"> </w:t>
      </w:r>
      <w:r w:rsidRPr="00680B5B">
        <w:rPr>
          <w:rFonts w:ascii="Times New Roman" w:hAnsi="Times New Roman" w:cs="Times New Roman"/>
        </w:rPr>
        <w:t>mobiliário;</w:t>
      </w:r>
    </w:p>
    <w:p w14:paraId="2B162174"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23.</w:t>
      </w:r>
      <w:r w:rsidRPr="00680B5B">
        <w:rPr>
          <w:rFonts w:ascii="Times New Roman" w:hAnsi="Times New Roman" w:cs="Times New Roman"/>
        </w:rPr>
        <w:t>Permitir ao declarante que efetue seu cadastro e conceda permissão de acesso aos seus colaboradores;</w:t>
      </w:r>
    </w:p>
    <w:p w14:paraId="0B0E2C65"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24.</w:t>
      </w:r>
      <w:r w:rsidRPr="00680B5B">
        <w:rPr>
          <w:rFonts w:ascii="Times New Roman" w:hAnsi="Times New Roman" w:cs="Times New Roman"/>
        </w:rPr>
        <w:t>Permitir que o escritório contábil, através de seu usuário e senha, faça a escrituração de serviços prestados e tomados de todos os seus clientes.</w:t>
      </w:r>
    </w:p>
    <w:p w14:paraId="39C9DC95" w14:textId="77777777" w:rsidR="00B307DB" w:rsidRPr="00680B5B" w:rsidRDefault="00B307DB" w:rsidP="00B307DB">
      <w:pPr>
        <w:pStyle w:val="TableParagraph"/>
        <w:tabs>
          <w:tab w:val="left" w:pos="567"/>
          <w:tab w:val="left" w:pos="1084"/>
          <w:tab w:val="left" w:pos="2417"/>
          <w:tab w:val="left" w:pos="3762"/>
        </w:tabs>
        <w:ind w:right="-568"/>
        <w:jc w:val="both"/>
        <w:rPr>
          <w:rFonts w:ascii="Times New Roman" w:hAnsi="Times New Roman" w:cs="Times New Roman"/>
        </w:rPr>
      </w:pPr>
      <w:r w:rsidRPr="00680B5B">
        <w:rPr>
          <w:rFonts w:ascii="Times New Roman" w:hAnsi="Times New Roman" w:cs="Times New Roman"/>
          <w:b/>
        </w:rPr>
        <w:t>25.</w:t>
      </w:r>
      <w:r w:rsidRPr="00680B5B">
        <w:rPr>
          <w:rFonts w:ascii="Times New Roman" w:hAnsi="Times New Roman" w:cs="Times New Roman"/>
        </w:rPr>
        <w:t xml:space="preserve">Permitir declarações retificadoras </w:t>
      </w:r>
      <w:r w:rsidRPr="00680B5B">
        <w:rPr>
          <w:rFonts w:ascii="Times New Roman" w:hAnsi="Times New Roman" w:cs="Times New Roman"/>
          <w:spacing w:val="-6"/>
        </w:rPr>
        <w:t xml:space="preserve">com </w:t>
      </w:r>
      <w:r w:rsidRPr="00680B5B">
        <w:rPr>
          <w:rFonts w:ascii="Times New Roman" w:hAnsi="Times New Roman" w:cs="Times New Roman"/>
        </w:rPr>
        <w:t>emissão da guia de</w:t>
      </w:r>
      <w:r w:rsidRPr="00680B5B">
        <w:rPr>
          <w:rFonts w:ascii="Times New Roman" w:hAnsi="Times New Roman" w:cs="Times New Roman"/>
          <w:spacing w:val="-6"/>
        </w:rPr>
        <w:t xml:space="preserve"> </w:t>
      </w:r>
      <w:r w:rsidRPr="00680B5B">
        <w:rPr>
          <w:rFonts w:ascii="Times New Roman" w:hAnsi="Times New Roman" w:cs="Times New Roman"/>
        </w:rPr>
        <w:t>pagamento;</w:t>
      </w:r>
    </w:p>
    <w:p w14:paraId="10201B52"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26.</w:t>
      </w:r>
      <w:r w:rsidRPr="00680B5B">
        <w:rPr>
          <w:rFonts w:ascii="Times New Roman" w:hAnsi="Times New Roman" w:cs="Times New Roman"/>
        </w:rPr>
        <w:t>Aceitar múltiplos itens enumerados na Lista de Serviços (LC 116/03) em um mesmo documento</w:t>
      </w:r>
      <w:r w:rsidRPr="00680B5B">
        <w:rPr>
          <w:rFonts w:ascii="Times New Roman" w:hAnsi="Times New Roman" w:cs="Times New Roman"/>
          <w:spacing w:val="-1"/>
        </w:rPr>
        <w:t xml:space="preserve"> </w:t>
      </w:r>
      <w:r w:rsidRPr="00680B5B">
        <w:rPr>
          <w:rFonts w:ascii="Times New Roman" w:hAnsi="Times New Roman" w:cs="Times New Roman"/>
        </w:rPr>
        <w:t>fiscal;</w:t>
      </w:r>
    </w:p>
    <w:p w14:paraId="3AC4CE70"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27.</w:t>
      </w:r>
      <w:r w:rsidRPr="00680B5B">
        <w:rPr>
          <w:rFonts w:ascii="Times New Roman" w:hAnsi="Times New Roman" w:cs="Times New Roman"/>
        </w:rPr>
        <w:t>Permitir configurar categorias para declaração de serviços, onde o municipio poderá definir campos a serem preenchidos pelo contribuinte e também definir a fórmula de calculo. Deverá ainda permitir enquadrar e desenquadrar os cadastros mobiliários que utilizarão estas categorias.</w:t>
      </w:r>
    </w:p>
    <w:p w14:paraId="2B307AA0"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28.</w:t>
      </w:r>
      <w:r w:rsidRPr="00680B5B">
        <w:rPr>
          <w:rFonts w:ascii="Times New Roman" w:hAnsi="Times New Roman" w:cs="Times New Roman"/>
        </w:rPr>
        <w:t xml:space="preserve">Cadastrar novos tomadores de serviço pelos próprios declarantes, no momento da declaração de </w:t>
      </w:r>
      <w:r w:rsidRPr="00680B5B">
        <w:rPr>
          <w:rFonts w:ascii="Times New Roman" w:hAnsi="Times New Roman" w:cs="Times New Roman"/>
        </w:rPr>
        <w:lastRenderedPageBreak/>
        <w:t>serviços prestados;</w:t>
      </w:r>
    </w:p>
    <w:p w14:paraId="7DDD2117"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29.</w:t>
      </w:r>
      <w:r w:rsidRPr="00680B5B">
        <w:rPr>
          <w:rFonts w:ascii="Times New Roman" w:hAnsi="Times New Roman" w:cs="Times New Roman"/>
        </w:rPr>
        <w:t>Declarar serviços prestados e tomados para contribuintes isentos, imunes, com regime de estimativa e regime fixo;</w:t>
      </w:r>
    </w:p>
    <w:p w14:paraId="274B6ECF" w14:textId="77777777" w:rsidR="00B307DB" w:rsidRPr="00680B5B" w:rsidRDefault="00B307DB" w:rsidP="00B307DB">
      <w:pPr>
        <w:pStyle w:val="TableParagraph"/>
        <w:tabs>
          <w:tab w:val="left" w:pos="567"/>
          <w:tab w:val="left" w:pos="1422"/>
          <w:tab w:val="left" w:pos="2894"/>
        </w:tabs>
        <w:ind w:right="-568"/>
        <w:jc w:val="both"/>
        <w:rPr>
          <w:rFonts w:ascii="Times New Roman" w:hAnsi="Times New Roman" w:cs="Times New Roman"/>
        </w:rPr>
      </w:pPr>
      <w:r w:rsidRPr="00680B5B">
        <w:rPr>
          <w:rFonts w:ascii="Times New Roman" w:hAnsi="Times New Roman" w:cs="Times New Roman"/>
          <w:b/>
        </w:rPr>
        <w:t>30.</w:t>
      </w:r>
      <w:r w:rsidRPr="00680B5B">
        <w:rPr>
          <w:rFonts w:ascii="Times New Roman" w:hAnsi="Times New Roman" w:cs="Times New Roman"/>
        </w:rPr>
        <w:t>Declarar serviços prestados dos contribuintes do regime de homologação por: documento fiscal; base de cálculo; categorias configuráveis ou planos de contas,</w:t>
      </w:r>
      <w:r w:rsidRPr="00680B5B">
        <w:rPr>
          <w:rFonts w:ascii="Times New Roman" w:hAnsi="Times New Roman" w:cs="Times New Roman"/>
        </w:rPr>
        <w:tab/>
        <w:t xml:space="preserve">conforme </w:t>
      </w:r>
      <w:r w:rsidRPr="00680B5B">
        <w:rPr>
          <w:rFonts w:ascii="Times New Roman" w:hAnsi="Times New Roman" w:cs="Times New Roman"/>
          <w:spacing w:val="-2"/>
        </w:rPr>
        <w:t xml:space="preserve">configurações </w:t>
      </w:r>
      <w:r w:rsidRPr="00680B5B">
        <w:rPr>
          <w:rFonts w:ascii="Times New Roman" w:hAnsi="Times New Roman" w:cs="Times New Roman"/>
        </w:rPr>
        <w:t>predefinidas;</w:t>
      </w:r>
    </w:p>
    <w:p w14:paraId="13E6D3FE"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31.</w:t>
      </w:r>
      <w:r w:rsidRPr="00680B5B">
        <w:rPr>
          <w:rFonts w:ascii="Times New Roman" w:hAnsi="Times New Roman" w:cs="Times New Roman"/>
        </w:rPr>
        <w:t>Retificar declarações de serviços prestados já entregues e não pagas;</w:t>
      </w:r>
    </w:p>
    <w:p w14:paraId="195F741E"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32.</w:t>
      </w:r>
      <w:r w:rsidRPr="00680B5B">
        <w:rPr>
          <w:rFonts w:ascii="Times New Roman" w:hAnsi="Times New Roman" w:cs="Times New Roman"/>
        </w:rPr>
        <w:t>Escriturar contribuintes de fora do município (Declarantes sem cadastro mobiliário) tanto de documentos fiscais prestados como tomados, emitindo guia para pagamento do imposto;</w:t>
      </w:r>
    </w:p>
    <w:p w14:paraId="7DF66941"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33.</w:t>
      </w:r>
      <w:r w:rsidRPr="00680B5B">
        <w:rPr>
          <w:rFonts w:ascii="Times New Roman" w:hAnsi="Times New Roman" w:cs="Times New Roman"/>
        </w:rPr>
        <w:t>Gerar parcelas complementares sem intervenção do Município e sem perder a referência e a competência a qual ela complementa;</w:t>
      </w:r>
    </w:p>
    <w:p w14:paraId="7130D1F4"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34.</w:t>
      </w:r>
      <w:r w:rsidRPr="00680B5B">
        <w:rPr>
          <w:rFonts w:ascii="Times New Roman" w:hAnsi="Times New Roman" w:cs="Times New Roman"/>
        </w:rPr>
        <w:t>Disponibilizar rotina para cadastramento de requisição de compensação (valor pago a maior), após deferido pelo Município, este valor será abatido do valor devido de competências futuras;</w:t>
      </w:r>
    </w:p>
    <w:p w14:paraId="78F37AD8"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35.</w:t>
      </w:r>
      <w:r w:rsidRPr="00680B5B">
        <w:rPr>
          <w:rFonts w:ascii="Times New Roman" w:hAnsi="Times New Roman" w:cs="Times New Roman"/>
        </w:rPr>
        <w:t>Possuir rotina para cadastros de incentivos fiscais por cadastro mobiliário;</w:t>
      </w:r>
    </w:p>
    <w:p w14:paraId="2FBC9E64"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36.</w:t>
      </w:r>
      <w:r w:rsidRPr="00680B5B">
        <w:rPr>
          <w:rFonts w:ascii="Times New Roman" w:hAnsi="Times New Roman" w:cs="Times New Roman"/>
        </w:rPr>
        <w:t>Configurar multa por atraso de declaração, separadamente por serviços prestados, serviços tomados e contribuintes do simples nacional;</w:t>
      </w:r>
    </w:p>
    <w:p w14:paraId="721527C9"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37.</w:t>
      </w:r>
      <w:r w:rsidRPr="00680B5B">
        <w:rPr>
          <w:rFonts w:ascii="Times New Roman" w:hAnsi="Times New Roman" w:cs="Times New Roman"/>
        </w:rPr>
        <w:t>Lançar multa por atraso na declaração;</w:t>
      </w:r>
    </w:p>
    <w:p w14:paraId="30A43279"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38.</w:t>
      </w:r>
      <w:r w:rsidRPr="00680B5B">
        <w:rPr>
          <w:rFonts w:ascii="Times New Roman" w:hAnsi="Times New Roman" w:cs="Times New Roman"/>
        </w:rPr>
        <w:t>Configurar quais itens da lista de serviço (LC116/03) poderão sofrer dedução na base de cálculo, podendo ainda determinar qual o percentual máximo para dedução;</w:t>
      </w:r>
    </w:p>
    <w:p w14:paraId="26310787"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39.</w:t>
      </w:r>
      <w:r w:rsidRPr="00680B5B">
        <w:rPr>
          <w:rFonts w:ascii="Times New Roman" w:hAnsi="Times New Roman" w:cs="Times New Roman"/>
        </w:rPr>
        <w:t>Permitir mais de uma declaração por competência.</w:t>
      </w:r>
    </w:p>
    <w:p w14:paraId="41FA8907"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40.</w:t>
      </w:r>
      <w:r w:rsidRPr="00680B5B">
        <w:rPr>
          <w:rFonts w:ascii="Times New Roman" w:hAnsi="Times New Roman" w:cs="Times New Roman"/>
        </w:rPr>
        <w:t>Atender a LC 123/2006 referente ao Simples Nacional, quanto às alíquotas diferenciadas;</w:t>
      </w:r>
    </w:p>
    <w:p w14:paraId="4367BA38"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41.</w:t>
      </w:r>
      <w:r w:rsidRPr="00680B5B">
        <w:rPr>
          <w:rFonts w:ascii="Times New Roman" w:hAnsi="Times New Roman" w:cs="Times New Roman"/>
        </w:rPr>
        <w:t>Efetuar declaração sem movimento;</w:t>
      </w:r>
    </w:p>
    <w:p w14:paraId="7D5FC6AA"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42.</w:t>
      </w:r>
      <w:r w:rsidRPr="00680B5B">
        <w:rPr>
          <w:rFonts w:ascii="Times New Roman" w:hAnsi="Times New Roman" w:cs="Times New Roman"/>
        </w:rPr>
        <w:t>Gerar recibo de retenção de ISSQN, podendo agrupar todas as notas de um mesmo prestador no mesmo recibo;</w:t>
      </w:r>
    </w:p>
    <w:p w14:paraId="5E555D2B" w14:textId="77777777" w:rsidR="00B307DB" w:rsidRPr="00680B5B" w:rsidRDefault="00B307DB" w:rsidP="00B307DB">
      <w:pPr>
        <w:pStyle w:val="TableParagraph"/>
        <w:tabs>
          <w:tab w:val="left" w:pos="567"/>
          <w:tab w:val="left" w:pos="1535"/>
        </w:tabs>
        <w:ind w:right="-568"/>
        <w:jc w:val="both"/>
        <w:rPr>
          <w:rFonts w:ascii="Times New Roman" w:hAnsi="Times New Roman" w:cs="Times New Roman"/>
        </w:rPr>
      </w:pPr>
      <w:r w:rsidRPr="00680B5B">
        <w:rPr>
          <w:rFonts w:ascii="Times New Roman" w:hAnsi="Times New Roman" w:cs="Times New Roman"/>
          <w:b/>
        </w:rPr>
        <w:t>43.</w:t>
      </w:r>
      <w:r w:rsidRPr="00680B5B">
        <w:rPr>
          <w:rFonts w:ascii="Times New Roman" w:hAnsi="Times New Roman" w:cs="Times New Roman"/>
        </w:rPr>
        <w:t>Permitir a exportação de documentos declarados pelos contribuintes, em formato txt utilizando layout pré-definido pelo municípios;</w:t>
      </w:r>
    </w:p>
    <w:p w14:paraId="0BE42CBE" w14:textId="77777777" w:rsidR="00B307DB" w:rsidRPr="00680B5B" w:rsidRDefault="00B307DB" w:rsidP="00B307DB">
      <w:pPr>
        <w:pStyle w:val="TableParagraph"/>
        <w:tabs>
          <w:tab w:val="left" w:pos="567"/>
          <w:tab w:val="left" w:pos="1535"/>
        </w:tabs>
        <w:ind w:right="-568"/>
        <w:jc w:val="both"/>
        <w:rPr>
          <w:rFonts w:ascii="Times New Roman" w:hAnsi="Times New Roman" w:cs="Times New Roman"/>
        </w:rPr>
      </w:pPr>
      <w:r w:rsidRPr="00680B5B">
        <w:rPr>
          <w:rFonts w:ascii="Times New Roman" w:hAnsi="Times New Roman" w:cs="Times New Roman"/>
          <w:b/>
        </w:rPr>
        <w:t>44.</w:t>
      </w:r>
      <w:r w:rsidRPr="00680B5B">
        <w:rPr>
          <w:rFonts w:ascii="Times New Roman" w:hAnsi="Times New Roman" w:cs="Times New Roman"/>
        </w:rPr>
        <w:t>Manter histórico de todas as escriturações efetuadas pelos contribuintes, incluindo declaração normal, retificadora e complementar;</w:t>
      </w:r>
    </w:p>
    <w:p w14:paraId="4B951AA3"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45.</w:t>
      </w:r>
      <w:r w:rsidRPr="00680B5B">
        <w:rPr>
          <w:rFonts w:ascii="Times New Roman" w:hAnsi="Times New Roman" w:cs="Times New Roman"/>
          <w:lang w:val="pt-BR"/>
        </w:rPr>
        <w:t>E</w:t>
      </w:r>
      <w:r w:rsidRPr="00680B5B">
        <w:rPr>
          <w:rFonts w:ascii="Times New Roman" w:hAnsi="Times New Roman" w:cs="Times New Roman"/>
        </w:rPr>
        <w:t>fetuar</w:t>
      </w:r>
      <w:r w:rsidRPr="00680B5B">
        <w:rPr>
          <w:rFonts w:ascii="Times New Roman" w:hAnsi="Times New Roman" w:cs="Times New Roman"/>
          <w:spacing w:val="1"/>
        </w:rPr>
        <w:t xml:space="preserve"> </w:t>
      </w:r>
      <w:r w:rsidRPr="00680B5B">
        <w:rPr>
          <w:rFonts w:ascii="Times New Roman" w:hAnsi="Times New Roman" w:cs="Times New Roman"/>
        </w:rPr>
        <w:t>cálculo</w:t>
      </w:r>
      <w:r w:rsidRPr="00680B5B">
        <w:rPr>
          <w:rFonts w:ascii="Times New Roman" w:hAnsi="Times New Roman" w:cs="Times New Roman"/>
          <w:spacing w:val="1"/>
        </w:rPr>
        <w:t xml:space="preserve"> </w:t>
      </w:r>
      <w:r w:rsidRPr="00680B5B">
        <w:rPr>
          <w:rFonts w:ascii="Times New Roman" w:hAnsi="Times New Roman" w:cs="Times New Roman"/>
        </w:rPr>
        <w:t>automático</w:t>
      </w:r>
      <w:r w:rsidRPr="00680B5B">
        <w:rPr>
          <w:rFonts w:ascii="Times New Roman" w:hAnsi="Times New Roman" w:cs="Times New Roman"/>
          <w:spacing w:val="1"/>
        </w:rPr>
        <w:t xml:space="preserve"> </w:t>
      </w:r>
      <w:r w:rsidRPr="00680B5B">
        <w:rPr>
          <w:rFonts w:ascii="Times New Roman" w:hAnsi="Times New Roman" w:cs="Times New Roman"/>
        </w:rPr>
        <w:t>da</w:t>
      </w:r>
      <w:r w:rsidRPr="00680B5B">
        <w:rPr>
          <w:rFonts w:ascii="Times New Roman" w:hAnsi="Times New Roman" w:cs="Times New Roman"/>
          <w:spacing w:val="1"/>
        </w:rPr>
        <w:t xml:space="preserve"> </w:t>
      </w:r>
      <w:r w:rsidRPr="00680B5B">
        <w:rPr>
          <w:rFonts w:ascii="Times New Roman" w:hAnsi="Times New Roman" w:cs="Times New Roman"/>
        </w:rPr>
        <w:t>alíquota</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empresas</w:t>
      </w:r>
      <w:r w:rsidRPr="00680B5B">
        <w:rPr>
          <w:rFonts w:ascii="Times New Roman" w:hAnsi="Times New Roman" w:cs="Times New Roman"/>
          <w:spacing w:val="1"/>
        </w:rPr>
        <w:t xml:space="preserve"> </w:t>
      </w:r>
      <w:r w:rsidRPr="00680B5B">
        <w:rPr>
          <w:rFonts w:ascii="Times New Roman" w:hAnsi="Times New Roman" w:cs="Times New Roman"/>
        </w:rPr>
        <w:t>prestadoras</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serviço,</w:t>
      </w:r>
      <w:r w:rsidRPr="00680B5B">
        <w:rPr>
          <w:rFonts w:ascii="Times New Roman" w:hAnsi="Times New Roman" w:cs="Times New Roman"/>
          <w:spacing w:val="1"/>
        </w:rPr>
        <w:t xml:space="preserve"> </w:t>
      </w:r>
      <w:r w:rsidRPr="00680B5B">
        <w:rPr>
          <w:rFonts w:ascii="Times New Roman" w:hAnsi="Times New Roman" w:cs="Times New Roman"/>
        </w:rPr>
        <w:t>enquadradas</w:t>
      </w:r>
      <w:r w:rsidRPr="00680B5B">
        <w:rPr>
          <w:rFonts w:ascii="Times New Roman" w:hAnsi="Times New Roman" w:cs="Times New Roman"/>
          <w:spacing w:val="-1"/>
        </w:rPr>
        <w:t xml:space="preserve"> </w:t>
      </w:r>
      <w:r w:rsidRPr="00680B5B">
        <w:rPr>
          <w:rFonts w:ascii="Times New Roman" w:hAnsi="Times New Roman" w:cs="Times New Roman"/>
        </w:rPr>
        <w:t>como</w:t>
      </w:r>
      <w:r w:rsidRPr="00680B5B">
        <w:rPr>
          <w:rFonts w:ascii="Times New Roman" w:hAnsi="Times New Roman" w:cs="Times New Roman"/>
          <w:spacing w:val="1"/>
        </w:rPr>
        <w:t xml:space="preserve"> </w:t>
      </w:r>
      <w:r w:rsidRPr="00680B5B">
        <w:rPr>
          <w:rFonts w:ascii="Times New Roman" w:hAnsi="Times New Roman" w:cs="Times New Roman"/>
        </w:rPr>
        <w:t>Simples</w:t>
      </w:r>
      <w:r w:rsidRPr="00680B5B">
        <w:rPr>
          <w:rFonts w:ascii="Times New Roman" w:hAnsi="Times New Roman" w:cs="Times New Roman"/>
          <w:spacing w:val="1"/>
        </w:rPr>
        <w:t xml:space="preserve"> </w:t>
      </w:r>
      <w:r w:rsidRPr="00680B5B">
        <w:rPr>
          <w:rFonts w:ascii="Times New Roman" w:hAnsi="Times New Roman" w:cs="Times New Roman"/>
        </w:rPr>
        <w:t>Nacional;</w:t>
      </w:r>
    </w:p>
    <w:p w14:paraId="322BC019"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46.</w:t>
      </w:r>
      <w:r w:rsidRPr="00680B5B">
        <w:rPr>
          <w:rFonts w:ascii="Times New Roman" w:hAnsi="Times New Roman" w:cs="Times New Roman"/>
        </w:rPr>
        <w:t>Possuir rotina para cadastro de faturamento mensal de empresas enquadradas</w:t>
      </w:r>
      <w:r w:rsidRPr="00680B5B">
        <w:rPr>
          <w:rFonts w:ascii="Times New Roman" w:hAnsi="Times New Roman" w:cs="Times New Roman"/>
          <w:spacing w:val="1"/>
        </w:rPr>
        <w:t xml:space="preserve"> </w:t>
      </w:r>
      <w:r w:rsidRPr="00680B5B">
        <w:rPr>
          <w:rFonts w:ascii="Times New Roman" w:hAnsi="Times New Roman" w:cs="Times New Roman"/>
        </w:rPr>
        <w:t>como Simples</w:t>
      </w:r>
      <w:r w:rsidRPr="00680B5B">
        <w:rPr>
          <w:rFonts w:ascii="Times New Roman" w:hAnsi="Times New Roman" w:cs="Times New Roman"/>
          <w:spacing w:val="1"/>
        </w:rPr>
        <w:t xml:space="preserve"> </w:t>
      </w:r>
      <w:r w:rsidRPr="00680B5B">
        <w:rPr>
          <w:rFonts w:ascii="Times New Roman" w:hAnsi="Times New Roman" w:cs="Times New Roman"/>
        </w:rPr>
        <w:t>Nacional;</w:t>
      </w:r>
    </w:p>
    <w:p w14:paraId="5375539A"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47.</w:t>
      </w:r>
      <w:r w:rsidRPr="00680B5B">
        <w:rPr>
          <w:rFonts w:ascii="Times New Roman" w:hAnsi="Times New Roman" w:cs="Times New Roman"/>
        </w:rPr>
        <w:t>Permitir</w:t>
      </w:r>
      <w:r w:rsidRPr="00680B5B">
        <w:rPr>
          <w:rFonts w:ascii="Times New Roman" w:hAnsi="Times New Roman" w:cs="Times New Roman"/>
          <w:spacing w:val="1"/>
        </w:rPr>
        <w:t xml:space="preserve"> </w:t>
      </w:r>
      <w:r w:rsidRPr="00680B5B">
        <w:rPr>
          <w:rFonts w:ascii="Times New Roman" w:hAnsi="Times New Roman" w:cs="Times New Roman"/>
        </w:rPr>
        <w:t>acumulação</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guias</w:t>
      </w:r>
      <w:r w:rsidRPr="00680B5B">
        <w:rPr>
          <w:rFonts w:ascii="Times New Roman" w:hAnsi="Times New Roman" w:cs="Times New Roman"/>
          <w:spacing w:val="1"/>
        </w:rPr>
        <w:t xml:space="preserve"> </w:t>
      </w:r>
      <w:r w:rsidRPr="00680B5B">
        <w:rPr>
          <w:rFonts w:ascii="Times New Roman" w:hAnsi="Times New Roman" w:cs="Times New Roman"/>
        </w:rPr>
        <w:t>com</w:t>
      </w:r>
      <w:r w:rsidRPr="00680B5B">
        <w:rPr>
          <w:rFonts w:ascii="Times New Roman" w:hAnsi="Times New Roman" w:cs="Times New Roman"/>
          <w:spacing w:val="1"/>
        </w:rPr>
        <w:t xml:space="preserve"> </w:t>
      </w:r>
      <w:r w:rsidRPr="00680B5B">
        <w:rPr>
          <w:rFonts w:ascii="Times New Roman" w:hAnsi="Times New Roman" w:cs="Times New Roman"/>
        </w:rPr>
        <w:t>valores</w:t>
      </w:r>
      <w:r w:rsidRPr="00680B5B">
        <w:rPr>
          <w:rFonts w:ascii="Times New Roman" w:hAnsi="Times New Roman" w:cs="Times New Roman"/>
          <w:spacing w:val="1"/>
        </w:rPr>
        <w:t xml:space="preserve"> </w:t>
      </w:r>
      <w:r w:rsidRPr="00680B5B">
        <w:rPr>
          <w:rFonts w:ascii="Times New Roman" w:hAnsi="Times New Roman" w:cs="Times New Roman"/>
        </w:rPr>
        <w:t>abaixo</w:t>
      </w:r>
      <w:r w:rsidRPr="00680B5B">
        <w:rPr>
          <w:rFonts w:ascii="Times New Roman" w:hAnsi="Times New Roman" w:cs="Times New Roman"/>
          <w:spacing w:val="1"/>
        </w:rPr>
        <w:t xml:space="preserve"> </w:t>
      </w:r>
      <w:r w:rsidRPr="00680B5B">
        <w:rPr>
          <w:rFonts w:ascii="Times New Roman" w:hAnsi="Times New Roman" w:cs="Times New Roman"/>
        </w:rPr>
        <w:t>do</w:t>
      </w:r>
      <w:r w:rsidRPr="00680B5B">
        <w:rPr>
          <w:rFonts w:ascii="Times New Roman" w:hAnsi="Times New Roman" w:cs="Times New Roman"/>
          <w:spacing w:val="1"/>
        </w:rPr>
        <w:t xml:space="preserve"> </w:t>
      </w:r>
      <w:r w:rsidRPr="00680B5B">
        <w:rPr>
          <w:rFonts w:ascii="Times New Roman" w:hAnsi="Times New Roman" w:cs="Times New Roman"/>
        </w:rPr>
        <w:t>determinado</w:t>
      </w:r>
      <w:r w:rsidRPr="00680B5B">
        <w:rPr>
          <w:rFonts w:ascii="Times New Roman" w:hAnsi="Times New Roman" w:cs="Times New Roman"/>
          <w:spacing w:val="1"/>
        </w:rPr>
        <w:t xml:space="preserve"> </w:t>
      </w:r>
      <w:r w:rsidRPr="00680B5B">
        <w:rPr>
          <w:rFonts w:ascii="Times New Roman" w:hAnsi="Times New Roman" w:cs="Times New Roman"/>
        </w:rPr>
        <w:t>pela</w:t>
      </w:r>
      <w:r w:rsidRPr="00680B5B">
        <w:rPr>
          <w:rFonts w:ascii="Times New Roman" w:hAnsi="Times New Roman" w:cs="Times New Roman"/>
          <w:spacing w:val="1"/>
        </w:rPr>
        <w:t xml:space="preserve"> </w:t>
      </w:r>
      <w:r w:rsidRPr="00680B5B">
        <w:rPr>
          <w:rFonts w:ascii="Times New Roman" w:hAnsi="Times New Roman" w:cs="Times New Roman"/>
        </w:rPr>
        <w:t>lei</w:t>
      </w:r>
      <w:r w:rsidRPr="00680B5B">
        <w:rPr>
          <w:rFonts w:ascii="Times New Roman" w:hAnsi="Times New Roman" w:cs="Times New Roman"/>
          <w:spacing w:val="1"/>
        </w:rPr>
        <w:t xml:space="preserve"> </w:t>
      </w:r>
      <w:r w:rsidRPr="00680B5B">
        <w:rPr>
          <w:rFonts w:ascii="Times New Roman" w:hAnsi="Times New Roman" w:cs="Times New Roman"/>
        </w:rPr>
        <w:t>municipal. Quando as declarações atingirem o valor mínimo deverá ser agrupados os valores em uma única guia de pagamento;</w:t>
      </w:r>
    </w:p>
    <w:p w14:paraId="57151096"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48.</w:t>
      </w:r>
      <w:r w:rsidRPr="00680B5B">
        <w:rPr>
          <w:rFonts w:ascii="Times New Roman" w:hAnsi="Times New Roman" w:cs="Times New Roman"/>
        </w:rPr>
        <w:t>Possibilitar a importação de declaração de Instituições Financeiras (DESIF), nos</w:t>
      </w:r>
      <w:r w:rsidRPr="00680B5B">
        <w:rPr>
          <w:rFonts w:ascii="Times New Roman" w:hAnsi="Times New Roman" w:cs="Times New Roman"/>
          <w:spacing w:val="1"/>
        </w:rPr>
        <w:t xml:space="preserve"> </w:t>
      </w:r>
      <w:r w:rsidRPr="00680B5B">
        <w:rPr>
          <w:rFonts w:ascii="Times New Roman" w:hAnsi="Times New Roman" w:cs="Times New Roman"/>
        </w:rPr>
        <w:t>termos</w:t>
      </w:r>
      <w:r w:rsidRPr="00680B5B">
        <w:rPr>
          <w:rFonts w:ascii="Times New Roman" w:hAnsi="Times New Roman" w:cs="Times New Roman"/>
          <w:spacing w:val="-3"/>
        </w:rPr>
        <w:t xml:space="preserve"> </w:t>
      </w:r>
      <w:r w:rsidRPr="00680B5B">
        <w:rPr>
          <w:rFonts w:ascii="Times New Roman" w:hAnsi="Times New Roman" w:cs="Times New Roman"/>
        </w:rPr>
        <w:t>da</w:t>
      </w:r>
      <w:r w:rsidRPr="00680B5B">
        <w:rPr>
          <w:rFonts w:ascii="Times New Roman" w:hAnsi="Times New Roman" w:cs="Times New Roman"/>
          <w:spacing w:val="-2"/>
        </w:rPr>
        <w:t xml:space="preserve"> </w:t>
      </w:r>
      <w:r w:rsidRPr="00680B5B">
        <w:rPr>
          <w:rFonts w:ascii="Times New Roman" w:hAnsi="Times New Roman" w:cs="Times New Roman"/>
        </w:rPr>
        <w:t>respectiva legislação</w:t>
      </w:r>
      <w:r w:rsidRPr="00680B5B">
        <w:rPr>
          <w:rFonts w:ascii="Times New Roman" w:hAnsi="Times New Roman" w:cs="Times New Roman"/>
          <w:spacing w:val="1"/>
        </w:rPr>
        <w:t xml:space="preserve"> </w:t>
      </w:r>
      <w:r w:rsidRPr="00680B5B">
        <w:rPr>
          <w:rFonts w:ascii="Times New Roman" w:hAnsi="Times New Roman" w:cs="Times New Roman"/>
        </w:rPr>
        <w:t>municipal, no</w:t>
      </w:r>
      <w:r w:rsidRPr="00680B5B">
        <w:rPr>
          <w:rFonts w:ascii="Times New Roman" w:hAnsi="Times New Roman" w:cs="Times New Roman"/>
          <w:spacing w:val="-1"/>
        </w:rPr>
        <w:t xml:space="preserve"> </w:t>
      </w:r>
      <w:r w:rsidRPr="00680B5B">
        <w:rPr>
          <w:rFonts w:ascii="Times New Roman" w:hAnsi="Times New Roman" w:cs="Times New Roman"/>
        </w:rPr>
        <w:t>padrão</w:t>
      </w:r>
      <w:r w:rsidRPr="00680B5B">
        <w:rPr>
          <w:rFonts w:ascii="Times New Roman" w:hAnsi="Times New Roman" w:cs="Times New Roman"/>
          <w:spacing w:val="1"/>
        </w:rPr>
        <w:t xml:space="preserve"> </w:t>
      </w:r>
      <w:r w:rsidRPr="00680B5B">
        <w:rPr>
          <w:rFonts w:ascii="Times New Roman" w:hAnsi="Times New Roman" w:cs="Times New Roman"/>
        </w:rPr>
        <w:t>ABRASF</w:t>
      </w:r>
    </w:p>
    <w:p w14:paraId="5E2A3BEF"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49.</w:t>
      </w:r>
      <w:r w:rsidRPr="00680B5B">
        <w:rPr>
          <w:rFonts w:ascii="Times New Roman" w:hAnsi="Times New Roman" w:cs="Times New Roman"/>
        </w:rPr>
        <w:t>Possibilitar a importação de arquivos de Informações Comuns aos Municípios, com</w:t>
      </w:r>
      <w:r w:rsidRPr="00680B5B">
        <w:rPr>
          <w:rFonts w:ascii="Times New Roman" w:hAnsi="Times New Roman" w:cs="Times New Roman"/>
          <w:spacing w:val="-52"/>
        </w:rPr>
        <w:t xml:space="preserve"> </w:t>
      </w:r>
      <w:r w:rsidRPr="00680B5B">
        <w:rPr>
          <w:rFonts w:ascii="Times New Roman" w:hAnsi="Times New Roman" w:cs="Times New Roman"/>
        </w:rPr>
        <w:t>as informações do Plano Geral de Contas Comentado (PGCC), bem como a Tabela de Tarifas</w:t>
      </w:r>
      <w:r w:rsidRPr="00680B5B">
        <w:rPr>
          <w:rFonts w:ascii="Times New Roman" w:hAnsi="Times New Roman" w:cs="Times New Roman"/>
          <w:spacing w:val="1"/>
        </w:rPr>
        <w:t xml:space="preserve"> </w:t>
      </w:r>
      <w:r w:rsidRPr="00680B5B">
        <w:rPr>
          <w:rFonts w:ascii="Times New Roman" w:hAnsi="Times New Roman" w:cs="Times New Roman"/>
        </w:rPr>
        <w:t>da</w:t>
      </w:r>
      <w:r w:rsidRPr="00680B5B">
        <w:rPr>
          <w:rFonts w:ascii="Times New Roman" w:hAnsi="Times New Roman" w:cs="Times New Roman"/>
          <w:spacing w:val="-1"/>
        </w:rPr>
        <w:t xml:space="preserve"> </w:t>
      </w:r>
      <w:r w:rsidRPr="00680B5B">
        <w:rPr>
          <w:rFonts w:ascii="Times New Roman" w:hAnsi="Times New Roman" w:cs="Times New Roman"/>
        </w:rPr>
        <w:t>Instituição</w:t>
      </w:r>
      <w:r w:rsidRPr="00680B5B">
        <w:rPr>
          <w:rFonts w:ascii="Times New Roman" w:hAnsi="Times New Roman" w:cs="Times New Roman"/>
          <w:spacing w:val="1"/>
        </w:rPr>
        <w:t xml:space="preserve"> </w:t>
      </w:r>
      <w:r w:rsidRPr="00680B5B">
        <w:rPr>
          <w:rFonts w:ascii="Times New Roman" w:hAnsi="Times New Roman" w:cs="Times New Roman"/>
        </w:rPr>
        <w:t>Financeira</w:t>
      </w:r>
      <w:r w:rsidRPr="00680B5B">
        <w:rPr>
          <w:rFonts w:ascii="Times New Roman" w:hAnsi="Times New Roman" w:cs="Times New Roman"/>
          <w:spacing w:val="-5"/>
        </w:rPr>
        <w:t xml:space="preserve"> </w:t>
      </w:r>
      <w:r w:rsidRPr="00680B5B">
        <w:rPr>
          <w:rFonts w:ascii="Times New Roman" w:hAnsi="Times New Roman" w:cs="Times New Roman"/>
        </w:rPr>
        <w:t>quando</w:t>
      </w:r>
      <w:r w:rsidRPr="00680B5B">
        <w:rPr>
          <w:rFonts w:ascii="Times New Roman" w:hAnsi="Times New Roman" w:cs="Times New Roman"/>
          <w:spacing w:val="-2"/>
        </w:rPr>
        <w:t xml:space="preserve"> </w:t>
      </w:r>
      <w:r w:rsidRPr="00680B5B">
        <w:rPr>
          <w:rFonts w:ascii="Times New Roman" w:hAnsi="Times New Roman" w:cs="Times New Roman"/>
        </w:rPr>
        <w:t>obrigatório,</w:t>
      </w:r>
      <w:r w:rsidRPr="00680B5B">
        <w:rPr>
          <w:rFonts w:ascii="Times New Roman" w:hAnsi="Times New Roman" w:cs="Times New Roman"/>
          <w:spacing w:val="-1"/>
        </w:rPr>
        <w:t xml:space="preserve"> </w:t>
      </w:r>
      <w:r w:rsidRPr="00680B5B">
        <w:rPr>
          <w:rFonts w:ascii="Times New Roman" w:hAnsi="Times New Roman" w:cs="Times New Roman"/>
        </w:rPr>
        <w:t>no</w:t>
      </w:r>
      <w:r w:rsidRPr="00680B5B">
        <w:rPr>
          <w:rFonts w:ascii="Times New Roman" w:hAnsi="Times New Roman" w:cs="Times New Roman"/>
          <w:spacing w:val="-2"/>
        </w:rPr>
        <w:t xml:space="preserve"> </w:t>
      </w:r>
      <w:r w:rsidRPr="00680B5B">
        <w:rPr>
          <w:rFonts w:ascii="Times New Roman" w:hAnsi="Times New Roman" w:cs="Times New Roman"/>
        </w:rPr>
        <w:t>padrão</w:t>
      </w:r>
      <w:r w:rsidRPr="00680B5B">
        <w:rPr>
          <w:rFonts w:ascii="Times New Roman" w:hAnsi="Times New Roman" w:cs="Times New Roman"/>
          <w:spacing w:val="-1"/>
        </w:rPr>
        <w:t xml:space="preserve"> </w:t>
      </w:r>
      <w:r w:rsidRPr="00680B5B">
        <w:rPr>
          <w:rFonts w:ascii="Times New Roman" w:hAnsi="Times New Roman" w:cs="Times New Roman"/>
        </w:rPr>
        <w:t>ABRASF;</w:t>
      </w:r>
    </w:p>
    <w:p w14:paraId="154A19D1"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50.</w:t>
      </w:r>
      <w:r w:rsidRPr="00680B5B">
        <w:rPr>
          <w:rFonts w:ascii="Times New Roman" w:hAnsi="Times New Roman" w:cs="Times New Roman"/>
        </w:rPr>
        <w:t>Possibilitar a importação de arquivos de Demonstrativo Contábil, discriminando a</w:t>
      </w:r>
      <w:r w:rsidRPr="00680B5B">
        <w:rPr>
          <w:rFonts w:ascii="Times New Roman" w:hAnsi="Times New Roman" w:cs="Times New Roman"/>
          <w:spacing w:val="1"/>
        </w:rPr>
        <w:t xml:space="preserve"> </w:t>
      </w:r>
      <w:r w:rsidRPr="00680B5B">
        <w:rPr>
          <w:rFonts w:ascii="Times New Roman" w:hAnsi="Times New Roman" w:cs="Times New Roman"/>
        </w:rPr>
        <w:t>identificação</w:t>
      </w:r>
      <w:r w:rsidRPr="00680B5B">
        <w:rPr>
          <w:rFonts w:ascii="Times New Roman" w:hAnsi="Times New Roman" w:cs="Times New Roman"/>
          <w:spacing w:val="1"/>
        </w:rPr>
        <w:t xml:space="preserve"> </w:t>
      </w:r>
      <w:r w:rsidRPr="00680B5B">
        <w:rPr>
          <w:rFonts w:ascii="Times New Roman" w:hAnsi="Times New Roman" w:cs="Times New Roman"/>
        </w:rPr>
        <w:t>da</w:t>
      </w:r>
      <w:r w:rsidRPr="00680B5B">
        <w:rPr>
          <w:rFonts w:ascii="Times New Roman" w:hAnsi="Times New Roman" w:cs="Times New Roman"/>
          <w:spacing w:val="1"/>
        </w:rPr>
        <w:t xml:space="preserve"> </w:t>
      </w:r>
      <w:r w:rsidRPr="00680B5B">
        <w:rPr>
          <w:rFonts w:ascii="Times New Roman" w:hAnsi="Times New Roman" w:cs="Times New Roman"/>
        </w:rPr>
        <w:t>dependência,</w:t>
      </w:r>
      <w:r w:rsidRPr="00680B5B">
        <w:rPr>
          <w:rFonts w:ascii="Times New Roman" w:hAnsi="Times New Roman" w:cs="Times New Roman"/>
          <w:spacing w:val="1"/>
        </w:rPr>
        <w:t xml:space="preserve"> </w:t>
      </w:r>
      <w:r w:rsidRPr="00680B5B">
        <w:rPr>
          <w:rFonts w:ascii="Times New Roman" w:hAnsi="Times New Roman" w:cs="Times New Roman"/>
        </w:rPr>
        <w:t>balancete</w:t>
      </w:r>
      <w:r w:rsidRPr="00680B5B">
        <w:rPr>
          <w:rFonts w:ascii="Times New Roman" w:hAnsi="Times New Roman" w:cs="Times New Roman"/>
          <w:spacing w:val="1"/>
        </w:rPr>
        <w:t xml:space="preserve"> </w:t>
      </w:r>
      <w:r w:rsidRPr="00680B5B">
        <w:rPr>
          <w:rFonts w:ascii="Times New Roman" w:hAnsi="Times New Roman" w:cs="Times New Roman"/>
        </w:rPr>
        <w:t>analítico</w:t>
      </w:r>
      <w:r w:rsidRPr="00680B5B">
        <w:rPr>
          <w:rFonts w:ascii="Times New Roman" w:hAnsi="Times New Roman" w:cs="Times New Roman"/>
          <w:spacing w:val="1"/>
        </w:rPr>
        <w:t xml:space="preserve"> </w:t>
      </w:r>
      <w:r w:rsidRPr="00680B5B">
        <w:rPr>
          <w:rFonts w:ascii="Times New Roman" w:hAnsi="Times New Roman" w:cs="Times New Roman"/>
        </w:rPr>
        <w:t>mensal</w:t>
      </w:r>
      <w:r w:rsidRPr="00680B5B">
        <w:rPr>
          <w:rFonts w:ascii="Times New Roman" w:hAnsi="Times New Roman" w:cs="Times New Roman"/>
          <w:spacing w:val="1"/>
        </w:rPr>
        <w:t xml:space="preserve"> </w:t>
      </w:r>
      <w:r w:rsidRPr="00680B5B">
        <w:rPr>
          <w:rFonts w:ascii="Times New Roman" w:hAnsi="Times New Roman" w:cs="Times New Roman"/>
        </w:rPr>
        <w:t>e</w:t>
      </w:r>
      <w:r w:rsidRPr="00680B5B">
        <w:rPr>
          <w:rFonts w:ascii="Times New Roman" w:hAnsi="Times New Roman" w:cs="Times New Roman"/>
          <w:spacing w:val="1"/>
        </w:rPr>
        <w:t xml:space="preserve"> </w:t>
      </w:r>
      <w:r w:rsidRPr="00680B5B">
        <w:rPr>
          <w:rFonts w:ascii="Times New Roman" w:hAnsi="Times New Roman" w:cs="Times New Roman"/>
        </w:rPr>
        <w:t>demonstrativo</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rateio</w:t>
      </w:r>
      <w:r w:rsidRPr="00680B5B">
        <w:rPr>
          <w:rFonts w:ascii="Times New Roman" w:hAnsi="Times New Roman" w:cs="Times New Roman"/>
          <w:spacing w:val="1"/>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receitas,</w:t>
      </w:r>
      <w:r w:rsidRPr="00680B5B">
        <w:rPr>
          <w:rFonts w:ascii="Times New Roman" w:hAnsi="Times New Roman" w:cs="Times New Roman"/>
          <w:spacing w:val="-3"/>
        </w:rPr>
        <w:t xml:space="preserve"> </w:t>
      </w:r>
      <w:r w:rsidRPr="00680B5B">
        <w:rPr>
          <w:rFonts w:ascii="Times New Roman" w:hAnsi="Times New Roman" w:cs="Times New Roman"/>
        </w:rPr>
        <w:t>no</w:t>
      </w:r>
      <w:r w:rsidRPr="00680B5B">
        <w:rPr>
          <w:rFonts w:ascii="Times New Roman" w:hAnsi="Times New Roman" w:cs="Times New Roman"/>
          <w:spacing w:val="-1"/>
        </w:rPr>
        <w:t xml:space="preserve"> </w:t>
      </w:r>
      <w:r w:rsidRPr="00680B5B">
        <w:rPr>
          <w:rFonts w:ascii="Times New Roman" w:hAnsi="Times New Roman" w:cs="Times New Roman"/>
        </w:rPr>
        <w:t>padrão</w:t>
      </w:r>
      <w:r w:rsidRPr="00680B5B">
        <w:rPr>
          <w:rFonts w:ascii="Times New Roman" w:hAnsi="Times New Roman" w:cs="Times New Roman"/>
          <w:spacing w:val="1"/>
        </w:rPr>
        <w:t xml:space="preserve"> </w:t>
      </w:r>
      <w:r w:rsidRPr="00680B5B">
        <w:rPr>
          <w:rFonts w:ascii="Times New Roman" w:hAnsi="Times New Roman" w:cs="Times New Roman"/>
        </w:rPr>
        <w:t>ABRASF;</w:t>
      </w:r>
    </w:p>
    <w:p w14:paraId="56CD202C"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51.</w:t>
      </w:r>
      <w:r w:rsidRPr="00680B5B">
        <w:rPr>
          <w:rFonts w:ascii="Times New Roman" w:hAnsi="Times New Roman" w:cs="Times New Roman"/>
        </w:rPr>
        <w:t>Possibilitar</w:t>
      </w:r>
      <w:r w:rsidRPr="00680B5B">
        <w:rPr>
          <w:rFonts w:ascii="Times New Roman" w:hAnsi="Times New Roman" w:cs="Times New Roman"/>
          <w:spacing w:val="-6"/>
        </w:rPr>
        <w:t xml:space="preserve"> </w:t>
      </w:r>
      <w:r w:rsidRPr="00680B5B">
        <w:rPr>
          <w:rFonts w:ascii="Times New Roman" w:hAnsi="Times New Roman" w:cs="Times New Roman"/>
        </w:rPr>
        <w:t>a</w:t>
      </w:r>
      <w:r w:rsidRPr="00680B5B">
        <w:rPr>
          <w:rFonts w:ascii="Times New Roman" w:hAnsi="Times New Roman" w:cs="Times New Roman"/>
          <w:spacing w:val="-4"/>
        </w:rPr>
        <w:t xml:space="preserve"> </w:t>
      </w:r>
      <w:r w:rsidRPr="00680B5B">
        <w:rPr>
          <w:rFonts w:ascii="Times New Roman" w:hAnsi="Times New Roman" w:cs="Times New Roman"/>
        </w:rPr>
        <w:t>importação</w:t>
      </w:r>
      <w:r w:rsidRPr="00680B5B">
        <w:rPr>
          <w:rFonts w:ascii="Times New Roman" w:hAnsi="Times New Roman" w:cs="Times New Roman"/>
          <w:spacing w:val="-7"/>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arquivos</w:t>
      </w:r>
      <w:r w:rsidRPr="00680B5B">
        <w:rPr>
          <w:rFonts w:ascii="Times New Roman" w:hAnsi="Times New Roman" w:cs="Times New Roman"/>
          <w:spacing w:val="-5"/>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Apuração</w:t>
      </w:r>
      <w:r w:rsidRPr="00680B5B">
        <w:rPr>
          <w:rFonts w:ascii="Times New Roman" w:hAnsi="Times New Roman" w:cs="Times New Roman"/>
          <w:spacing w:val="-6"/>
        </w:rPr>
        <w:t xml:space="preserve"> </w:t>
      </w:r>
      <w:r w:rsidRPr="00680B5B">
        <w:rPr>
          <w:rFonts w:ascii="Times New Roman" w:hAnsi="Times New Roman" w:cs="Times New Roman"/>
        </w:rPr>
        <w:t>Mensal</w:t>
      </w:r>
      <w:r w:rsidRPr="00680B5B">
        <w:rPr>
          <w:rFonts w:ascii="Times New Roman" w:hAnsi="Times New Roman" w:cs="Times New Roman"/>
          <w:spacing w:val="-5"/>
        </w:rPr>
        <w:t xml:space="preserve"> </w:t>
      </w:r>
      <w:r w:rsidRPr="00680B5B">
        <w:rPr>
          <w:rFonts w:ascii="Times New Roman" w:hAnsi="Times New Roman" w:cs="Times New Roman"/>
        </w:rPr>
        <w:t>do</w:t>
      </w:r>
      <w:r w:rsidRPr="00680B5B">
        <w:rPr>
          <w:rFonts w:ascii="Times New Roman" w:hAnsi="Times New Roman" w:cs="Times New Roman"/>
          <w:spacing w:val="-6"/>
        </w:rPr>
        <w:t xml:space="preserve"> </w:t>
      </w:r>
      <w:r w:rsidRPr="00680B5B">
        <w:rPr>
          <w:rFonts w:ascii="Times New Roman" w:hAnsi="Times New Roman" w:cs="Times New Roman"/>
        </w:rPr>
        <w:t>ISSQN,</w:t>
      </w:r>
      <w:r w:rsidRPr="00680B5B">
        <w:rPr>
          <w:rFonts w:ascii="Times New Roman" w:hAnsi="Times New Roman" w:cs="Times New Roman"/>
          <w:spacing w:val="-5"/>
        </w:rPr>
        <w:t xml:space="preserve"> </w:t>
      </w:r>
      <w:r w:rsidRPr="00680B5B">
        <w:rPr>
          <w:rFonts w:ascii="Times New Roman" w:hAnsi="Times New Roman" w:cs="Times New Roman"/>
        </w:rPr>
        <w:t>discriminando</w:t>
      </w:r>
      <w:r w:rsidRPr="00680B5B">
        <w:rPr>
          <w:rFonts w:ascii="Times New Roman" w:hAnsi="Times New Roman" w:cs="Times New Roman"/>
          <w:spacing w:val="-52"/>
        </w:rPr>
        <w:t xml:space="preserve"> </w:t>
      </w:r>
      <w:r w:rsidRPr="00680B5B">
        <w:rPr>
          <w:rFonts w:ascii="Times New Roman" w:hAnsi="Times New Roman" w:cs="Times New Roman"/>
        </w:rPr>
        <w:t>a Identificação da dependência, Demonstrativo da apuração da receita tributável e do ISSQN</w:t>
      </w:r>
      <w:r w:rsidRPr="00680B5B">
        <w:rPr>
          <w:rFonts w:ascii="Times New Roman" w:hAnsi="Times New Roman" w:cs="Times New Roman"/>
          <w:spacing w:val="1"/>
        </w:rPr>
        <w:t xml:space="preserve"> </w:t>
      </w:r>
      <w:r w:rsidRPr="00680B5B">
        <w:rPr>
          <w:rFonts w:ascii="Times New Roman" w:hAnsi="Times New Roman" w:cs="Times New Roman"/>
        </w:rPr>
        <w:t>mensal</w:t>
      </w:r>
      <w:r w:rsidRPr="00680B5B">
        <w:rPr>
          <w:rFonts w:ascii="Times New Roman" w:hAnsi="Times New Roman" w:cs="Times New Roman"/>
          <w:spacing w:val="-12"/>
        </w:rPr>
        <w:t xml:space="preserve"> </w:t>
      </w:r>
      <w:r w:rsidRPr="00680B5B">
        <w:rPr>
          <w:rFonts w:ascii="Times New Roman" w:hAnsi="Times New Roman" w:cs="Times New Roman"/>
        </w:rPr>
        <w:t>devido</w:t>
      </w:r>
      <w:r w:rsidRPr="00680B5B">
        <w:rPr>
          <w:rFonts w:ascii="Times New Roman" w:hAnsi="Times New Roman" w:cs="Times New Roman"/>
          <w:spacing w:val="-11"/>
        </w:rPr>
        <w:t xml:space="preserve"> </w:t>
      </w:r>
      <w:r w:rsidRPr="00680B5B">
        <w:rPr>
          <w:rFonts w:ascii="Times New Roman" w:hAnsi="Times New Roman" w:cs="Times New Roman"/>
        </w:rPr>
        <w:t>por</w:t>
      </w:r>
      <w:r w:rsidRPr="00680B5B">
        <w:rPr>
          <w:rFonts w:ascii="Times New Roman" w:hAnsi="Times New Roman" w:cs="Times New Roman"/>
          <w:spacing w:val="-10"/>
        </w:rPr>
        <w:t xml:space="preserve"> </w:t>
      </w:r>
      <w:r w:rsidRPr="00680B5B">
        <w:rPr>
          <w:rFonts w:ascii="Times New Roman" w:hAnsi="Times New Roman" w:cs="Times New Roman"/>
        </w:rPr>
        <w:t>Subtítulo</w:t>
      </w:r>
      <w:r w:rsidRPr="00680B5B">
        <w:rPr>
          <w:rFonts w:ascii="Times New Roman" w:hAnsi="Times New Roman" w:cs="Times New Roman"/>
          <w:spacing w:val="-11"/>
        </w:rPr>
        <w:t xml:space="preserve"> </w:t>
      </w:r>
      <w:r w:rsidRPr="00680B5B">
        <w:rPr>
          <w:rFonts w:ascii="Times New Roman" w:hAnsi="Times New Roman" w:cs="Times New Roman"/>
        </w:rPr>
        <w:t>e</w:t>
      </w:r>
      <w:r w:rsidRPr="00680B5B">
        <w:rPr>
          <w:rFonts w:ascii="Times New Roman" w:hAnsi="Times New Roman" w:cs="Times New Roman"/>
          <w:spacing w:val="-10"/>
        </w:rPr>
        <w:t xml:space="preserve"> </w:t>
      </w:r>
      <w:r w:rsidRPr="00680B5B">
        <w:rPr>
          <w:rFonts w:ascii="Times New Roman" w:hAnsi="Times New Roman" w:cs="Times New Roman"/>
        </w:rPr>
        <w:t>Demonstrativo</w:t>
      </w:r>
      <w:r w:rsidRPr="00680B5B">
        <w:rPr>
          <w:rFonts w:ascii="Times New Roman" w:hAnsi="Times New Roman" w:cs="Times New Roman"/>
          <w:spacing w:val="-11"/>
        </w:rPr>
        <w:t xml:space="preserve"> </w:t>
      </w:r>
      <w:r w:rsidRPr="00680B5B">
        <w:rPr>
          <w:rFonts w:ascii="Times New Roman" w:hAnsi="Times New Roman" w:cs="Times New Roman"/>
        </w:rPr>
        <w:t>do</w:t>
      </w:r>
      <w:r w:rsidRPr="00680B5B">
        <w:rPr>
          <w:rFonts w:ascii="Times New Roman" w:hAnsi="Times New Roman" w:cs="Times New Roman"/>
          <w:spacing w:val="-12"/>
        </w:rPr>
        <w:t xml:space="preserve"> </w:t>
      </w:r>
      <w:r w:rsidRPr="00680B5B">
        <w:rPr>
          <w:rFonts w:ascii="Times New Roman" w:hAnsi="Times New Roman" w:cs="Times New Roman"/>
        </w:rPr>
        <w:t>ISSQN</w:t>
      </w:r>
      <w:r w:rsidRPr="00680B5B">
        <w:rPr>
          <w:rFonts w:ascii="Times New Roman" w:hAnsi="Times New Roman" w:cs="Times New Roman"/>
          <w:spacing w:val="-8"/>
        </w:rPr>
        <w:t xml:space="preserve"> </w:t>
      </w:r>
      <w:r w:rsidRPr="00680B5B">
        <w:rPr>
          <w:rFonts w:ascii="Times New Roman" w:hAnsi="Times New Roman" w:cs="Times New Roman"/>
        </w:rPr>
        <w:t>mensal</w:t>
      </w:r>
      <w:r w:rsidRPr="00680B5B">
        <w:rPr>
          <w:rFonts w:ascii="Times New Roman" w:hAnsi="Times New Roman" w:cs="Times New Roman"/>
          <w:spacing w:val="-10"/>
        </w:rPr>
        <w:t xml:space="preserve"> </w:t>
      </w:r>
      <w:r w:rsidRPr="00680B5B">
        <w:rPr>
          <w:rFonts w:ascii="Times New Roman" w:hAnsi="Times New Roman" w:cs="Times New Roman"/>
        </w:rPr>
        <w:t>a</w:t>
      </w:r>
      <w:r w:rsidRPr="00680B5B">
        <w:rPr>
          <w:rFonts w:ascii="Times New Roman" w:hAnsi="Times New Roman" w:cs="Times New Roman"/>
          <w:spacing w:val="-11"/>
        </w:rPr>
        <w:t xml:space="preserve"> </w:t>
      </w:r>
      <w:r w:rsidRPr="00680B5B">
        <w:rPr>
          <w:rFonts w:ascii="Times New Roman" w:hAnsi="Times New Roman" w:cs="Times New Roman"/>
        </w:rPr>
        <w:t>recolher,</w:t>
      </w:r>
      <w:r w:rsidRPr="00680B5B">
        <w:rPr>
          <w:rFonts w:ascii="Times New Roman" w:hAnsi="Times New Roman" w:cs="Times New Roman"/>
          <w:spacing w:val="-9"/>
        </w:rPr>
        <w:t xml:space="preserve"> </w:t>
      </w:r>
      <w:r w:rsidRPr="00680B5B">
        <w:rPr>
          <w:rFonts w:ascii="Times New Roman" w:hAnsi="Times New Roman" w:cs="Times New Roman"/>
        </w:rPr>
        <w:t>no</w:t>
      </w:r>
      <w:r w:rsidRPr="00680B5B">
        <w:rPr>
          <w:rFonts w:ascii="Times New Roman" w:hAnsi="Times New Roman" w:cs="Times New Roman"/>
          <w:spacing w:val="-12"/>
        </w:rPr>
        <w:t xml:space="preserve"> </w:t>
      </w:r>
      <w:r w:rsidRPr="00680B5B">
        <w:rPr>
          <w:rFonts w:ascii="Times New Roman" w:hAnsi="Times New Roman" w:cs="Times New Roman"/>
        </w:rPr>
        <w:t>padrão</w:t>
      </w:r>
      <w:r w:rsidRPr="00680B5B">
        <w:rPr>
          <w:rFonts w:ascii="Times New Roman" w:hAnsi="Times New Roman" w:cs="Times New Roman"/>
          <w:spacing w:val="-10"/>
        </w:rPr>
        <w:t xml:space="preserve"> </w:t>
      </w:r>
      <w:r w:rsidRPr="00680B5B">
        <w:rPr>
          <w:rFonts w:ascii="Times New Roman" w:hAnsi="Times New Roman" w:cs="Times New Roman"/>
        </w:rPr>
        <w:t>ABRASF</w:t>
      </w:r>
    </w:p>
    <w:p w14:paraId="16580922"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52.</w:t>
      </w:r>
      <w:r w:rsidRPr="00680B5B">
        <w:rPr>
          <w:rFonts w:ascii="Times New Roman" w:hAnsi="Times New Roman" w:cs="Times New Roman"/>
        </w:rPr>
        <w:t>Possibilitar</w:t>
      </w:r>
      <w:r w:rsidRPr="00680B5B">
        <w:rPr>
          <w:rFonts w:ascii="Times New Roman" w:hAnsi="Times New Roman" w:cs="Times New Roman"/>
          <w:spacing w:val="-4"/>
        </w:rPr>
        <w:t xml:space="preserve"> </w:t>
      </w:r>
      <w:r w:rsidRPr="00680B5B">
        <w:rPr>
          <w:rFonts w:ascii="Times New Roman" w:hAnsi="Times New Roman" w:cs="Times New Roman"/>
        </w:rPr>
        <w:t>a</w:t>
      </w:r>
      <w:r w:rsidRPr="00680B5B">
        <w:rPr>
          <w:rFonts w:ascii="Times New Roman" w:hAnsi="Times New Roman" w:cs="Times New Roman"/>
          <w:spacing w:val="-6"/>
        </w:rPr>
        <w:t xml:space="preserve"> </w:t>
      </w:r>
      <w:r w:rsidRPr="00680B5B">
        <w:rPr>
          <w:rFonts w:ascii="Times New Roman" w:hAnsi="Times New Roman" w:cs="Times New Roman"/>
        </w:rPr>
        <w:t>consulta</w:t>
      </w:r>
      <w:r w:rsidRPr="00680B5B">
        <w:rPr>
          <w:rFonts w:ascii="Times New Roman" w:hAnsi="Times New Roman" w:cs="Times New Roman"/>
          <w:spacing w:val="-9"/>
        </w:rPr>
        <w:t xml:space="preserve"> </w:t>
      </w:r>
      <w:r w:rsidRPr="00680B5B">
        <w:rPr>
          <w:rFonts w:ascii="Times New Roman" w:hAnsi="Times New Roman" w:cs="Times New Roman"/>
        </w:rPr>
        <w:t>do</w:t>
      </w:r>
      <w:r w:rsidRPr="00680B5B">
        <w:rPr>
          <w:rFonts w:ascii="Times New Roman" w:hAnsi="Times New Roman" w:cs="Times New Roman"/>
          <w:spacing w:val="-7"/>
        </w:rPr>
        <w:t xml:space="preserve"> </w:t>
      </w:r>
      <w:r w:rsidRPr="00680B5B">
        <w:rPr>
          <w:rFonts w:ascii="Times New Roman" w:hAnsi="Times New Roman" w:cs="Times New Roman"/>
        </w:rPr>
        <w:t>Plano</w:t>
      </w:r>
      <w:r w:rsidRPr="00680B5B">
        <w:rPr>
          <w:rFonts w:ascii="Times New Roman" w:hAnsi="Times New Roman" w:cs="Times New Roman"/>
          <w:spacing w:val="-3"/>
        </w:rPr>
        <w:t xml:space="preserve"> </w:t>
      </w:r>
      <w:r w:rsidRPr="00680B5B">
        <w:rPr>
          <w:rFonts w:ascii="Times New Roman" w:hAnsi="Times New Roman" w:cs="Times New Roman"/>
        </w:rPr>
        <w:t>Geral</w:t>
      </w:r>
      <w:r w:rsidRPr="00680B5B">
        <w:rPr>
          <w:rFonts w:ascii="Times New Roman" w:hAnsi="Times New Roman" w:cs="Times New Roman"/>
          <w:spacing w:val="-6"/>
        </w:rPr>
        <w:t xml:space="preserve"> </w:t>
      </w:r>
      <w:r w:rsidRPr="00680B5B">
        <w:rPr>
          <w:rFonts w:ascii="Times New Roman" w:hAnsi="Times New Roman" w:cs="Times New Roman"/>
        </w:rPr>
        <w:t>de</w:t>
      </w:r>
      <w:r w:rsidRPr="00680B5B">
        <w:rPr>
          <w:rFonts w:ascii="Times New Roman" w:hAnsi="Times New Roman" w:cs="Times New Roman"/>
          <w:spacing w:val="-7"/>
        </w:rPr>
        <w:t xml:space="preserve"> </w:t>
      </w:r>
      <w:r w:rsidRPr="00680B5B">
        <w:rPr>
          <w:rFonts w:ascii="Times New Roman" w:hAnsi="Times New Roman" w:cs="Times New Roman"/>
        </w:rPr>
        <w:t>Contas</w:t>
      </w:r>
      <w:r w:rsidRPr="00680B5B">
        <w:rPr>
          <w:rFonts w:ascii="Times New Roman" w:hAnsi="Times New Roman" w:cs="Times New Roman"/>
          <w:spacing w:val="-4"/>
        </w:rPr>
        <w:t xml:space="preserve"> </w:t>
      </w:r>
      <w:r w:rsidRPr="00680B5B">
        <w:rPr>
          <w:rFonts w:ascii="Times New Roman" w:hAnsi="Times New Roman" w:cs="Times New Roman"/>
        </w:rPr>
        <w:t>Comentado</w:t>
      </w:r>
      <w:r w:rsidRPr="00680B5B">
        <w:rPr>
          <w:rFonts w:ascii="Times New Roman" w:hAnsi="Times New Roman" w:cs="Times New Roman"/>
          <w:spacing w:val="-6"/>
        </w:rPr>
        <w:t xml:space="preserve"> </w:t>
      </w:r>
      <w:r w:rsidRPr="00680B5B">
        <w:rPr>
          <w:rFonts w:ascii="Times New Roman" w:hAnsi="Times New Roman" w:cs="Times New Roman"/>
        </w:rPr>
        <w:t>de</w:t>
      </w:r>
      <w:r w:rsidRPr="00680B5B">
        <w:rPr>
          <w:rFonts w:ascii="Times New Roman" w:hAnsi="Times New Roman" w:cs="Times New Roman"/>
          <w:spacing w:val="-4"/>
        </w:rPr>
        <w:t xml:space="preserve"> </w:t>
      </w:r>
      <w:r w:rsidRPr="00680B5B">
        <w:rPr>
          <w:rFonts w:ascii="Times New Roman" w:hAnsi="Times New Roman" w:cs="Times New Roman"/>
        </w:rPr>
        <w:t>atual</w:t>
      </w:r>
      <w:r w:rsidRPr="00680B5B">
        <w:rPr>
          <w:rFonts w:ascii="Times New Roman" w:hAnsi="Times New Roman" w:cs="Times New Roman"/>
          <w:spacing w:val="-9"/>
        </w:rPr>
        <w:t xml:space="preserve"> </w:t>
      </w:r>
      <w:r w:rsidRPr="00680B5B">
        <w:rPr>
          <w:rFonts w:ascii="Times New Roman" w:hAnsi="Times New Roman" w:cs="Times New Roman"/>
        </w:rPr>
        <w:t>utilização</w:t>
      </w:r>
      <w:r w:rsidRPr="00680B5B">
        <w:rPr>
          <w:rFonts w:ascii="Times New Roman" w:hAnsi="Times New Roman" w:cs="Times New Roman"/>
          <w:spacing w:val="-3"/>
        </w:rPr>
        <w:t xml:space="preserve"> </w:t>
      </w:r>
      <w:r w:rsidRPr="00680B5B">
        <w:rPr>
          <w:rFonts w:ascii="Times New Roman" w:hAnsi="Times New Roman" w:cs="Times New Roman"/>
        </w:rPr>
        <w:t>e</w:t>
      </w:r>
      <w:r w:rsidRPr="00680B5B">
        <w:rPr>
          <w:rFonts w:ascii="Times New Roman" w:hAnsi="Times New Roman" w:cs="Times New Roman"/>
          <w:spacing w:val="-7"/>
        </w:rPr>
        <w:t xml:space="preserve"> </w:t>
      </w:r>
      <w:r w:rsidRPr="00680B5B">
        <w:rPr>
          <w:rFonts w:ascii="Times New Roman" w:hAnsi="Times New Roman" w:cs="Times New Roman"/>
        </w:rPr>
        <w:t>de</w:t>
      </w:r>
      <w:r w:rsidRPr="00680B5B">
        <w:rPr>
          <w:rFonts w:ascii="Times New Roman" w:hAnsi="Times New Roman" w:cs="Times New Roman"/>
          <w:spacing w:val="-51"/>
        </w:rPr>
        <w:t xml:space="preserve"> </w:t>
      </w:r>
      <w:r w:rsidRPr="00680B5B">
        <w:rPr>
          <w:rFonts w:ascii="Times New Roman" w:hAnsi="Times New Roman" w:cs="Times New Roman"/>
        </w:rPr>
        <w:t>utilizações anteriores;</w:t>
      </w:r>
    </w:p>
    <w:p w14:paraId="4A632C53"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53.</w:t>
      </w:r>
      <w:r w:rsidRPr="00680B5B">
        <w:rPr>
          <w:rFonts w:ascii="Times New Roman" w:hAnsi="Times New Roman" w:cs="Times New Roman"/>
        </w:rPr>
        <w:t>Possibilitar</w:t>
      </w:r>
      <w:r w:rsidRPr="00680B5B">
        <w:rPr>
          <w:rFonts w:ascii="Times New Roman" w:hAnsi="Times New Roman" w:cs="Times New Roman"/>
          <w:spacing w:val="-7"/>
        </w:rPr>
        <w:t xml:space="preserve"> </w:t>
      </w:r>
      <w:r w:rsidRPr="00680B5B">
        <w:rPr>
          <w:rFonts w:ascii="Times New Roman" w:hAnsi="Times New Roman" w:cs="Times New Roman"/>
        </w:rPr>
        <w:t>a</w:t>
      </w:r>
      <w:r w:rsidRPr="00680B5B">
        <w:rPr>
          <w:rFonts w:ascii="Times New Roman" w:hAnsi="Times New Roman" w:cs="Times New Roman"/>
          <w:spacing w:val="-5"/>
        </w:rPr>
        <w:t xml:space="preserve"> </w:t>
      </w:r>
      <w:r w:rsidRPr="00680B5B">
        <w:rPr>
          <w:rFonts w:ascii="Times New Roman" w:hAnsi="Times New Roman" w:cs="Times New Roman"/>
        </w:rPr>
        <w:t>consulta</w:t>
      </w:r>
      <w:r w:rsidRPr="00680B5B">
        <w:rPr>
          <w:rFonts w:ascii="Times New Roman" w:hAnsi="Times New Roman" w:cs="Times New Roman"/>
          <w:spacing w:val="-7"/>
        </w:rPr>
        <w:t xml:space="preserve"> </w:t>
      </w:r>
      <w:r w:rsidRPr="00680B5B">
        <w:rPr>
          <w:rFonts w:ascii="Times New Roman" w:hAnsi="Times New Roman" w:cs="Times New Roman"/>
        </w:rPr>
        <w:t>do</w:t>
      </w:r>
      <w:r w:rsidRPr="00680B5B">
        <w:rPr>
          <w:rFonts w:ascii="Times New Roman" w:hAnsi="Times New Roman" w:cs="Times New Roman"/>
          <w:spacing w:val="-6"/>
        </w:rPr>
        <w:t xml:space="preserve"> </w:t>
      </w:r>
      <w:r w:rsidRPr="00680B5B">
        <w:rPr>
          <w:rFonts w:ascii="Times New Roman" w:hAnsi="Times New Roman" w:cs="Times New Roman"/>
        </w:rPr>
        <w:t>Balancete</w:t>
      </w:r>
      <w:r w:rsidRPr="00680B5B">
        <w:rPr>
          <w:rFonts w:ascii="Times New Roman" w:hAnsi="Times New Roman" w:cs="Times New Roman"/>
          <w:spacing w:val="-5"/>
        </w:rPr>
        <w:t xml:space="preserve"> </w:t>
      </w:r>
      <w:r w:rsidRPr="00680B5B">
        <w:rPr>
          <w:rFonts w:ascii="Times New Roman" w:hAnsi="Times New Roman" w:cs="Times New Roman"/>
        </w:rPr>
        <w:t>Analítico</w:t>
      </w:r>
      <w:r w:rsidRPr="00680B5B">
        <w:rPr>
          <w:rFonts w:ascii="Times New Roman" w:hAnsi="Times New Roman" w:cs="Times New Roman"/>
          <w:spacing w:val="-7"/>
        </w:rPr>
        <w:t xml:space="preserve"> </w:t>
      </w:r>
      <w:r w:rsidRPr="00680B5B">
        <w:rPr>
          <w:rFonts w:ascii="Times New Roman" w:hAnsi="Times New Roman" w:cs="Times New Roman"/>
        </w:rPr>
        <w:t>por</w:t>
      </w:r>
      <w:r w:rsidRPr="00680B5B">
        <w:rPr>
          <w:rFonts w:ascii="Times New Roman" w:hAnsi="Times New Roman" w:cs="Times New Roman"/>
          <w:spacing w:val="-8"/>
        </w:rPr>
        <w:t xml:space="preserve"> </w:t>
      </w:r>
      <w:r w:rsidRPr="00680B5B">
        <w:rPr>
          <w:rFonts w:ascii="Times New Roman" w:hAnsi="Times New Roman" w:cs="Times New Roman"/>
        </w:rPr>
        <w:t>cadastro</w:t>
      </w:r>
      <w:r w:rsidRPr="00680B5B">
        <w:rPr>
          <w:rFonts w:ascii="Times New Roman" w:hAnsi="Times New Roman" w:cs="Times New Roman"/>
          <w:spacing w:val="-6"/>
        </w:rPr>
        <w:t xml:space="preserve"> </w:t>
      </w:r>
      <w:r w:rsidRPr="00680B5B">
        <w:rPr>
          <w:rFonts w:ascii="Times New Roman" w:hAnsi="Times New Roman" w:cs="Times New Roman"/>
        </w:rPr>
        <w:t>econômico,</w:t>
      </w:r>
      <w:r w:rsidRPr="00680B5B">
        <w:rPr>
          <w:rFonts w:ascii="Times New Roman" w:hAnsi="Times New Roman" w:cs="Times New Roman"/>
          <w:spacing w:val="-2"/>
        </w:rPr>
        <w:t xml:space="preserve"> </w:t>
      </w:r>
      <w:r w:rsidRPr="00680B5B">
        <w:rPr>
          <w:rFonts w:ascii="Times New Roman" w:hAnsi="Times New Roman" w:cs="Times New Roman"/>
        </w:rPr>
        <w:t>CPF/CNPJ</w:t>
      </w:r>
      <w:r w:rsidRPr="00680B5B">
        <w:rPr>
          <w:rFonts w:ascii="Times New Roman" w:hAnsi="Times New Roman" w:cs="Times New Roman"/>
          <w:spacing w:val="-5"/>
        </w:rPr>
        <w:t xml:space="preserve"> </w:t>
      </w:r>
      <w:r w:rsidRPr="00680B5B">
        <w:rPr>
          <w:rFonts w:ascii="Times New Roman" w:hAnsi="Times New Roman" w:cs="Times New Roman"/>
        </w:rPr>
        <w:t>da</w:t>
      </w:r>
      <w:r w:rsidRPr="00680B5B">
        <w:rPr>
          <w:rFonts w:ascii="Times New Roman" w:hAnsi="Times New Roman" w:cs="Times New Roman"/>
          <w:spacing w:val="-52"/>
        </w:rPr>
        <w:t xml:space="preserve"> </w:t>
      </w:r>
      <w:r w:rsidRPr="00680B5B">
        <w:rPr>
          <w:rFonts w:ascii="Times New Roman" w:hAnsi="Times New Roman" w:cs="Times New Roman"/>
        </w:rPr>
        <w:t>instituição</w:t>
      </w:r>
      <w:r w:rsidRPr="00680B5B">
        <w:rPr>
          <w:rFonts w:ascii="Times New Roman" w:hAnsi="Times New Roman" w:cs="Times New Roman"/>
          <w:spacing w:val="-2"/>
        </w:rPr>
        <w:t xml:space="preserve"> </w:t>
      </w:r>
      <w:r w:rsidRPr="00680B5B">
        <w:rPr>
          <w:rFonts w:ascii="Times New Roman" w:hAnsi="Times New Roman" w:cs="Times New Roman"/>
        </w:rPr>
        <w:t>financeira</w:t>
      </w:r>
      <w:r w:rsidRPr="00680B5B">
        <w:rPr>
          <w:rFonts w:ascii="Times New Roman" w:hAnsi="Times New Roman" w:cs="Times New Roman"/>
          <w:spacing w:val="-2"/>
        </w:rPr>
        <w:t xml:space="preserve"> </w:t>
      </w:r>
      <w:r w:rsidRPr="00680B5B">
        <w:rPr>
          <w:rFonts w:ascii="Times New Roman" w:hAnsi="Times New Roman" w:cs="Times New Roman"/>
        </w:rPr>
        <w:t>e</w:t>
      </w:r>
      <w:r w:rsidRPr="00680B5B">
        <w:rPr>
          <w:rFonts w:ascii="Times New Roman" w:hAnsi="Times New Roman" w:cs="Times New Roman"/>
          <w:spacing w:val="-1"/>
        </w:rPr>
        <w:t xml:space="preserve"> </w:t>
      </w:r>
      <w:r w:rsidRPr="00680B5B">
        <w:rPr>
          <w:rFonts w:ascii="Times New Roman" w:hAnsi="Times New Roman" w:cs="Times New Roman"/>
        </w:rPr>
        <w:t>pela</w:t>
      </w:r>
      <w:r w:rsidRPr="00680B5B">
        <w:rPr>
          <w:rFonts w:ascii="Times New Roman" w:hAnsi="Times New Roman" w:cs="Times New Roman"/>
          <w:spacing w:val="1"/>
        </w:rPr>
        <w:t xml:space="preserve"> </w:t>
      </w:r>
      <w:r w:rsidRPr="00680B5B">
        <w:rPr>
          <w:rFonts w:ascii="Times New Roman" w:hAnsi="Times New Roman" w:cs="Times New Roman"/>
        </w:rPr>
        <w:t>data</w:t>
      </w:r>
      <w:r w:rsidRPr="00680B5B">
        <w:rPr>
          <w:rFonts w:ascii="Times New Roman" w:hAnsi="Times New Roman" w:cs="Times New Roman"/>
          <w:spacing w:val="-2"/>
        </w:rPr>
        <w:t xml:space="preserve"> </w:t>
      </w:r>
      <w:r w:rsidRPr="00680B5B">
        <w:rPr>
          <w:rFonts w:ascii="Times New Roman" w:hAnsi="Times New Roman" w:cs="Times New Roman"/>
        </w:rPr>
        <w:t>da</w:t>
      </w:r>
      <w:r w:rsidRPr="00680B5B">
        <w:rPr>
          <w:rFonts w:ascii="Times New Roman" w:hAnsi="Times New Roman" w:cs="Times New Roman"/>
          <w:spacing w:val="-1"/>
        </w:rPr>
        <w:t xml:space="preserve"> </w:t>
      </w:r>
      <w:r w:rsidRPr="00680B5B">
        <w:rPr>
          <w:rFonts w:ascii="Times New Roman" w:hAnsi="Times New Roman" w:cs="Times New Roman"/>
        </w:rPr>
        <w:t>importação;</w:t>
      </w:r>
    </w:p>
    <w:p w14:paraId="59A85739" w14:textId="77777777" w:rsidR="00B307DB" w:rsidRPr="00680B5B" w:rsidRDefault="00B307DB" w:rsidP="00B307DB">
      <w:pPr>
        <w:pStyle w:val="TableParagraph"/>
        <w:tabs>
          <w:tab w:val="left" w:pos="567"/>
        </w:tabs>
        <w:ind w:right="-568"/>
        <w:jc w:val="both"/>
        <w:rPr>
          <w:rFonts w:ascii="Times New Roman" w:hAnsi="Times New Roman" w:cs="Times New Roman"/>
        </w:rPr>
      </w:pPr>
      <w:r w:rsidRPr="00680B5B">
        <w:rPr>
          <w:rFonts w:ascii="Times New Roman" w:hAnsi="Times New Roman" w:cs="Times New Roman"/>
          <w:b/>
        </w:rPr>
        <w:t>54.</w:t>
      </w:r>
      <w:r w:rsidRPr="00680B5B">
        <w:rPr>
          <w:rFonts w:ascii="Times New Roman" w:hAnsi="Times New Roman" w:cs="Times New Roman"/>
        </w:rPr>
        <w:t>Possibilitar a geração de comprovante de entrega do arquivo (DESIF) referente ao</w:t>
      </w:r>
      <w:r w:rsidRPr="00680B5B">
        <w:rPr>
          <w:rFonts w:ascii="Times New Roman" w:hAnsi="Times New Roman" w:cs="Times New Roman"/>
          <w:spacing w:val="1"/>
        </w:rPr>
        <w:t xml:space="preserve"> </w:t>
      </w:r>
      <w:r w:rsidRPr="00680B5B">
        <w:rPr>
          <w:rFonts w:ascii="Times New Roman" w:hAnsi="Times New Roman" w:cs="Times New Roman"/>
        </w:rPr>
        <w:t>módulo de</w:t>
      </w:r>
      <w:r w:rsidRPr="00680B5B">
        <w:rPr>
          <w:rFonts w:ascii="Times New Roman" w:hAnsi="Times New Roman" w:cs="Times New Roman"/>
          <w:spacing w:val="1"/>
        </w:rPr>
        <w:t xml:space="preserve"> </w:t>
      </w:r>
      <w:r w:rsidRPr="00680B5B">
        <w:rPr>
          <w:rFonts w:ascii="Times New Roman" w:hAnsi="Times New Roman" w:cs="Times New Roman"/>
        </w:rPr>
        <w:t>informações</w:t>
      </w:r>
      <w:r w:rsidRPr="00680B5B">
        <w:rPr>
          <w:rFonts w:ascii="Times New Roman" w:hAnsi="Times New Roman" w:cs="Times New Roman"/>
          <w:spacing w:val="-2"/>
        </w:rPr>
        <w:t xml:space="preserve"> </w:t>
      </w:r>
      <w:r w:rsidRPr="00680B5B">
        <w:rPr>
          <w:rFonts w:ascii="Times New Roman" w:hAnsi="Times New Roman" w:cs="Times New Roman"/>
        </w:rPr>
        <w:t>comuns</w:t>
      </w:r>
      <w:r w:rsidRPr="00680B5B">
        <w:rPr>
          <w:rFonts w:ascii="Times New Roman" w:hAnsi="Times New Roman" w:cs="Times New Roman"/>
          <w:spacing w:val="-1"/>
        </w:rPr>
        <w:t xml:space="preserve"> </w:t>
      </w:r>
      <w:r w:rsidRPr="00680B5B">
        <w:rPr>
          <w:rFonts w:ascii="Times New Roman" w:hAnsi="Times New Roman" w:cs="Times New Roman"/>
        </w:rPr>
        <w:t>aos</w:t>
      </w:r>
      <w:r w:rsidRPr="00680B5B">
        <w:rPr>
          <w:rFonts w:ascii="Times New Roman" w:hAnsi="Times New Roman" w:cs="Times New Roman"/>
          <w:spacing w:val="4"/>
        </w:rPr>
        <w:t xml:space="preserve"> </w:t>
      </w:r>
      <w:r w:rsidRPr="00680B5B">
        <w:rPr>
          <w:rFonts w:ascii="Times New Roman" w:hAnsi="Times New Roman" w:cs="Times New Roman"/>
        </w:rPr>
        <w:t>municípios;</w:t>
      </w:r>
    </w:p>
    <w:p w14:paraId="2A271534" w14:textId="77777777" w:rsidR="00B307DB" w:rsidRPr="00680B5B" w:rsidRDefault="00B307DB" w:rsidP="00B307DB">
      <w:pPr>
        <w:pStyle w:val="Corpodetexto31"/>
        <w:tabs>
          <w:tab w:val="left" w:pos="3448"/>
        </w:tabs>
        <w:ind w:right="-568"/>
        <w:rPr>
          <w:rFonts w:ascii="Times New Roman" w:hAnsi="Times New Roman" w:cs="Times New Roman"/>
          <w:bCs/>
          <w:sz w:val="22"/>
          <w:szCs w:val="22"/>
        </w:rPr>
      </w:pPr>
    </w:p>
    <w:p w14:paraId="38652A28" w14:textId="77777777" w:rsidR="00B307DB" w:rsidRPr="00680B5B" w:rsidRDefault="00B307DB" w:rsidP="00B307DB">
      <w:pPr>
        <w:pStyle w:val="Corpodetexto31"/>
        <w:ind w:right="-568"/>
        <w:rPr>
          <w:rFonts w:ascii="Times New Roman" w:hAnsi="Times New Roman" w:cs="Times New Roman"/>
          <w:sz w:val="22"/>
          <w:szCs w:val="22"/>
        </w:rPr>
      </w:pPr>
      <w:r w:rsidRPr="00680B5B">
        <w:rPr>
          <w:rFonts w:ascii="Times New Roman" w:hAnsi="Times New Roman" w:cs="Times New Roman"/>
          <w:b/>
          <w:sz w:val="22"/>
          <w:szCs w:val="22"/>
        </w:rPr>
        <w:t>2.14 MÓDULO: GESTÃO DE NOTA FISCAL ELETRÔNICA DE SERVIÇOS</w:t>
      </w:r>
    </w:p>
    <w:p w14:paraId="1C0F1833"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Possuir aplicativo a ser instalado em disponível móvel compatível pelo menos com os sistemas operacionais IOS e Android;</w:t>
      </w:r>
    </w:p>
    <w:p w14:paraId="0A2023F0"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NFS-e contendo todas as informações mínimas necessárias previstas em legislação;</w:t>
      </w:r>
    </w:p>
    <w:p w14:paraId="0E0F65A3"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Enviar qualquer nota já emitida por e-mail;</w:t>
      </w:r>
    </w:p>
    <w:p w14:paraId="7FBAE192"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Cancelar a NFS-e desde que esta esteja dentro do período permitido para o cancelamento;</w:t>
      </w:r>
    </w:p>
    <w:p w14:paraId="3F6CA98E"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lastRenderedPageBreak/>
        <w:t>Visualizar as NFS-e já emitidas do prestador do serviço;</w:t>
      </w:r>
    </w:p>
    <w:p w14:paraId="46B18ED1"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aos fiscais liberar ou cancelar qualquer autorização para emissão de notas fiscais eletrônicas;</w:t>
      </w:r>
    </w:p>
    <w:p w14:paraId="24C0C6C9"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NFS-e utilizando vários itens da lista de serviços, conforme classificação da Lei Complementar 116/03, inclusive na mesma nota;</w:t>
      </w:r>
    </w:p>
    <w:p w14:paraId="1296E537" w14:textId="77777777" w:rsidR="00B307DB" w:rsidRPr="00680B5B" w:rsidRDefault="00B307DB" w:rsidP="00B307DB">
      <w:pPr>
        <w:pStyle w:val="TableParagraph"/>
        <w:numPr>
          <w:ilvl w:val="3"/>
          <w:numId w:val="212"/>
        </w:numPr>
        <w:tabs>
          <w:tab w:val="left" w:pos="567"/>
          <w:tab w:val="left" w:pos="1603"/>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o emissor possa cadastrar endereço, nome fantasia e e-mail alternativo para o tomador do serviço no momento de emissão da NFS-E;</w:t>
      </w:r>
    </w:p>
    <w:p w14:paraId="41E41A70"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 qualquer usuário (cidadão, entidade, empresa, etc.), verificar a autenticidade das Notas Fiscais eletrônicas emitidas via QR code;</w:t>
      </w:r>
    </w:p>
    <w:p w14:paraId="66D72203"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que o fisco defina se o contador do contribuinte terá permissão para realizar a emissão da Nota Fiscal de Serviço Eletrônica;</w:t>
      </w:r>
    </w:p>
    <w:p w14:paraId="6640B96F"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prestador de serviço configurar logo da empresa para ser utilizado no corpo da NFS-e;</w:t>
      </w:r>
    </w:p>
    <w:p w14:paraId="5C16CA30"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prestador de serviço configurar observação padrão a ser sugerida em toda a emissão de NFS-e;</w:t>
      </w:r>
    </w:p>
    <w:p w14:paraId="71577EBB"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prestador de serviço configurar informação complementar padrão, em momento anterior a emissão da NFS-e, a  ser sugerida em toda a emissão de</w:t>
      </w:r>
      <w:r w:rsidRPr="00680B5B">
        <w:rPr>
          <w:rFonts w:ascii="Times New Roman" w:hAnsi="Times New Roman" w:cs="Times New Roman"/>
          <w:spacing w:val="-10"/>
        </w:rPr>
        <w:t xml:space="preserve"> </w:t>
      </w:r>
      <w:r w:rsidRPr="00680B5B">
        <w:rPr>
          <w:rFonts w:ascii="Times New Roman" w:hAnsi="Times New Roman" w:cs="Times New Roman"/>
        </w:rPr>
        <w:t>NFSe;</w:t>
      </w:r>
    </w:p>
    <w:p w14:paraId="44A5D055"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o uso de tabelas (linhas x colunas) personalizadas na configuração e na emissão da NFS-e para as informações complementares, escolhendo número de linhas e colunas, o software deve permitir que sejam digitadas informação nas células da tabela;</w:t>
      </w:r>
    </w:p>
    <w:p w14:paraId="28362539"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prestador de serviço configurar um e-mail, em momento anterior a emissão da NFS-e, para o qual todas as NFS-e sejam encaminhadas automaticamente, independente do tomador do</w:t>
      </w:r>
      <w:r w:rsidRPr="00680B5B">
        <w:rPr>
          <w:rFonts w:ascii="Times New Roman" w:hAnsi="Times New Roman" w:cs="Times New Roman"/>
          <w:spacing w:val="-6"/>
        </w:rPr>
        <w:t xml:space="preserve"> </w:t>
      </w:r>
      <w:r w:rsidRPr="00680B5B">
        <w:rPr>
          <w:rFonts w:ascii="Times New Roman" w:hAnsi="Times New Roman" w:cs="Times New Roman"/>
        </w:rPr>
        <w:t>serviço;</w:t>
      </w:r>
    </w:p>
    <w:p w14:paraId="403EB51A"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número de dias após a emissão da NFS-e onde o prestador de serviço está autorizado a cancelar a NFS-e;</w:t>
      </w:r>
    </w:p>
    <w:p w14:paraId="40B68588"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quantidade de horas que a NFS- e poderá ser cancelada pelo prestador após sua emissão;</w:t>
      </w:r>
    </w:p>
    <w:p w14:paraId="352D7924"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usuário emissor de NFS-e que efetue uma solicitação para cancelamento de determinada nota, informando o motivo e sua respectiva substituta quando</w:t>
      </w:r>
      <w:r w:rsidRPr="00680B5B">
        <w:rPr>
          <w:rFonts w:ascii="Times New Roman" w:hAnsi="Times New Roman" w:cs="Times New Roman"/>
          <w:spacing w:val="-5"/>
        </w:rPr>
        <w:t xml:space="preserve"> </w:t>
      </w:r>
      <w:r w:rsidRPr="00680B5B">
        <w:rPr>
          <w:rFonts w:ascii="Times New Roman" w:hAnsi="Times New Roman" w:cs="Times New Roman"/>
        </w:rPr>
        <w:t>houver;</w:t>
      </w:r>
    </w:p>
    <w:p w14:paraId="2C8D1F8A"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Disponibilizar ao usuário fiscal, o controle para as solicitações de cancelamentos de NFS-e, podendo o mesmo deferir/indeferir as respectivas solicitações, informando o motivo;</w:t>
      </w:r>
    </w:p>
    <w:p w14:paraId="3CFFB338" w14:textId="77777777" w:rsidR="00B307DB" w:rsidRPr="00680B5B" w:rsidRDefault="00B307DB" w:rsidP="00B307DB">
      <w:pPr>
        <w:pStyle w:val="TableParagraph"/>
        <w:numPr>
          <w:ilvl w:val="3"/>
          <w:numId w:val="212"/>
        </w:numPr>
        <w:tabs>
          <w:tab w:val="left" w:pos="567"/>
          <w:tab w:val="left" w:pos="1168"/>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As notas emitidas deverão ser automaticamente declaradas nas escrituração fiscal do prestador;</w:t>
      </w:r>
    </w:p>
    <w:p w14:paraId="388B4D20" w14:textId="77777777" w:rsidR="00B307DB" w:rsidRPr="00680B5B" w:rsidRDefault="00B307DB" w:rsidP="00B307DB">
      <w:pPr>
        <w:pStyle w:val="TableParagraph"/>
        <w:numPr>
          <w:ilvl w:val="3"/>
          <w:numId w:val="212"/>
        </w:numPr>
        <w:tabs>
          <w:tab w:val="left" w:pos="567"/>
          <w:tab w:val="left" w:pos="2486"/>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Se o tomador do serviço destacado na NFS-e possuir empresa estabelecida no municípios, a nota deverá ser declarada automaticamente da sua escrituração de serviços tomados;</w:t>
      </w:r>
    </w:p>
    <w:p w14:paraId="531AA009"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Enviar e-mail automaticamente ao tomador do serviço quando a NFS-e for cancelada;</w:t>
      </w:r>
    </w:p>
    <w:p w14:paraId="3F7A6A30"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se o nome fantasia dos prestadores de serviço usuários da NFS-e sairá no corpo da NFS-e;</w:t>
      </w:r>
    </w:p>
    <w:p w14:paraId="56488303"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usuário emissor de NFS-e, copiar os dados de um documento já emitido para emissão de nova nota;</w:t>
      </w:r>
    </w:p>
    <w:p w14:paraId="36D6E02F"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quantos dias após a emissão a nota poderá ser substituída pelo contribuinte;</w:t>
      </w:r>
    </w:p>
    <w:p w14:paraId="6C633999"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Realizar o download do arquivo de retorno (XML) resultado da integração, para cada NFS-e, quando esta for feita via integração;</w:t>
      </w:r>
    </w:p>
    <w:p w14:paraId="35A58A35"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Utilizar Recibo Provisório de Serviço (RPS) com numeração sequencial crescente, devendo ser convertido em NFS-e no prazo estipulado pela legislação tributária municipal;</w:t>
      </w:r>
    </w:p>
    <w:p w14:paraId="2AB3F530"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w:t>
      </w:r>
      <w:r w:rsidRPr="00680B5B">
        <w:rPr>
          <w:rFonts w:ascii="Times New Roman" w:hAnsi="Times New Roman" w:cs="Times New Roman"/>
          <w:spacing w:val="-6"/>
        </w:rPr>
        <w:t xml:space="preserve"> </w:t>
      </w:r>
      <w:r w:rsidRPr="00680B5B">
        <w:rPr>
          <w:rFonts w:ascii="Times New Roman" w:hAnsi="Times New Roman" w:cs="Times New Roman"/>
        </w:rPr>
        <w:t>que</w:t>
      </w:r>
      <w:r w:rsidRPr="00680B5B">
        <w:rPr>
          <w:rFonts w:ascii="Times New Roman" w:hAnsi="Times New Roman" w:cs="Times New Roman"/>
          <w:spacing w:val="-6"/>
        </w:rPr>
        <w:t xml:space="preserve"> </w:t>
      </w:r>
      <w:r w:rsidRPr="00680B5B">
        <w:rPr>
          <w:rFonts w:ascii="Times New Roman" w:hAnsi="Times New Roman" w:cs="Times New Roman"/>
        </w:rPr>
        <w:t>o</w:t>
      </w:r>
      <w:r w:rsidRPr="00680B5B">
        <w:rPr>
          <w:rFonts w:ascii="Times New Roman" w:hAnsi="Times New Roman" w:cs="Times New Roman"/>
          <w:spacing w:val="-6"/>
        </w:rPr>
        <w:t xml:space="preserve"> </w:t>
      </w:r>
      <w:r w:rsidRPr="00680B5B">
        <w:rPr>
          <w:rFonts w:ascii="Times New Roman" w:hAnsi="Times New Roman" w:cs="Times New Roman"/>
        </w:rPr>
        <w:t>tomador</w:t>
      </w:r>
      <w:r w:rsidRPr="00680B5B">
        <w:rPr>
          <w:rFonts w:ascii="Times New Roman" w:hAnsi="Times New Roman" w:cs="Times New Roman"/>
          <w:spacing w:val="-5"/>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serviço</w:t>
      </w:r>
      <w:r w:rsidRPr="00680B5B">
        <w:rPr>
          <w:rFonts w:ascii="Times New Roman" w:hAnsi="Times New Roman" w:cs="Times New Roman"/>
          <w:spacing w:val="-6"/>
        </w:rPr>
        <w:t xml:space="preserve"> </w:t>
      </w:r>
      <w:r w:rsidRPr="00680B5B">
        <w:rPr>
          <w:rFonts w:ascii="Times New Roman" w:hAnsi="Times New Roman" w:cs="Times New Roman"/>
        </w:rPr>
        <w:t>efetue</w:t>
      </w:r>
      <w:r w:rsidRPr="00680B5B">
        <w:rPr>
          <w:rFonts w:ascii="Times New Roman" w:hAnsi="Times New Roman" w:cs="Times New Roman"/>
          <w:spacing w:val="-5"/>
        </w:rPr>
        <w:t xml:space="preserve"> </w:t>
      </w:r>
      <w:r w:rsidRPr="00680B5B">
        <w:rPr>
          <w:rFonts w:ascii="Times New Roman" w:hAnsi="Times New Roman" w:cs="Times New Roman"/>
        </w:rPr>
        <w:t>denúncia</w:t>
      </w:r>
      <w:r w:rsidRPr="00680B5B">
        <w:rPr>
          <w:rFonts w:ascii="Times New Roman" w:hAnsi="Times New Roman" w:cs="Times New Roman"/>
          <w:spacing w:val="-5"/>
        </w:rPr>
        <w:t xml:space="preserve"> </w:t>
      </w:r>
      <w:r w:rsidRPr="00680B5B">
        <w:rPr>
          <w:rFonts w:ascii="Times New Roman" w:hAnsi="Times New Roman" w:cs="Times New Roman"/>
        </w:rPr>
        <w:t>da</w:t>
      </w:r>
      <w:r w:rsidRPr="00680B5B">
        <w:rPr>
          <w:rFonts w:ascii="Times New Roman" w:hAnsi="Times New Roman" w:cs="Times New Roman"/>
          <w:spacing w:val="-9"/>
        </w:rPr>
        <w:t xml:space="preserve"> </w:t>
      </w:r>
      <w:r w:rsidRPr="00680B5B">
        <w:rPr>
          <w:rFonts w:ascii="Times New Roman" w:hAnsi="Times New Roman" w:cs="Times New Roman"/>
        </w:rPr>
        <w:t>não</w:t>
      </w:r>
      <w:r w:rsidRPr="00680B5B">
        <w:rPr>
          <w:rFonts w:ascii="Times New Roman" w:hAnsi="Times New Roman" w:cs="Times New Roman"/>
          <w:spacing w:val="-5"/>
        </w:rPr>
        <w:t xml:space="preserve"> </w:t>
      </w:r>
      <w:r w:rsidRPr="00680B5B">
        <w:rPr>
          <w:rFonts w:ascii="Times New Roman" w:hAnsi="Times New Roman" w:cs="Times New Roman"/>
        </w:rPr>
        <w:t>conversão</w:t>
      </w:r>
      <w:r w:rsidRPr="00680B5B">
        <w:rPr>
          <w:rFonts w:ascii="Times New Roman" w:hAnsi="Times New Roman" w:cs="Times New Roman"/>
          <w:spacing w:val="-8"/>
        </w:rPr>
        <w:t xml:space="preserve"> </w:t>
      </w:r>
      <w:r w:rsidRPr="00680B5B">
        <w:rPr>
          <w:rFonts w:ascii="Times New Roman" w:hAnsi="Times New Roman" w:cs="Times New Roman"/>
        </w:rPr>
        <w:t>do</w:t>
      </w:r>
      <w:r w:rsidRPr="00680B5B">
        <w:rPr>
          <w:rFonts w:ascii="Times New Roman" w:hAnsi="Times New Roman" w:cs="Times New Roman"/>
          <w:spacing w:val="-5"/>
        </w:rPr>
        <w:t xml:space="preserve"> </w:t>
      </w:r>
      <w:r w:rsidRPr="00680B5B">
        <w:rPr>
          <w:rFonts w:ascii="Times New Roman" w:hAnsi="Times New Roman" w:cs="Times New Roman"/>
        </w:rPr>
        <w:t>RPS</w:t>
      </w:r>
      <w:r w:rsidRPr="00680B5B">
        <w:rPr>
          <w:rFonts w:ascii="Times New Roman" w:hAnsi="Times New Roman" w:cs="Times New Roman"/>
          <w:spacing w:val="-5"/>
        </w:rPr>
        <w:t xml:space="preserve"> </w:t>
      </w:r>
      <w:r w:rsidRPr="00680B5B">
        <w:rPr>
          <w:rFonts w:ascii="Times New Roman" w:hAnsi="Times New Roman" w:cs="Times New Roman"/>
        </w:rPr>
        <w:t>em</w:t>
      </w:r>
      <w:r w:rsidRPr="00680B5B">
        <w:rPr>
          <w:rFonts w:ascii="Times New Roman" w:hAnsi="Times New Roman" w:cs="Times New Roman"/>
          <w:spacing w:val="-52"/>
        </w:rPr>
        <w:t xml:space="preserve"> </w:t>
      </w:r>
      <w:r w:rsidRPr="00680B5B">
        <w:rPr>
          <w:rFonts w:ascii="Times New Roman" w:hAnsi="Times New Roman" w:cs="Times New Roman"/>
        </w:rPr>
        <w:t>nota</w:t>
      </w:r>
      <w:r w:rsidRPr="00680B5B">
        <w:rPr>
          <w:rFonts w:ascii="Times New Roman" w:hAnsi="Times New Roman" w:cs="Times New Roman"/>
          <w:spacing w:val="-3"/>
        </w:rPr>
        <w:t xml:space="preserve"> </w:t>
      </w:r>
      <w:r w:rsidRPr="00680B5B">
        <w:rPr>
          <w:rFonts w:ascii="Times New Roman" w:hAnsi="Times New Roman" w:cs="Times New Roman"/>
        </w:rPr>
        <w:t>fiscal</w:t>
      </w:r>
      <w:r w:rsidRPr="00680B5B">
        <w:rPr>
          <w:rFonts w:ascii="Times New Roman" w:hAnsi="Times New Roman" w:cs="Times New Roman"/>
          <w:spacing w:val="-2"/>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serviço</w:t>
      </w:r>
      <w:r w:rsidRPr="00680B5B">
        <w:rPr>
          <w:rFonts w:ascii="Times New Roman" w:hAnsi="Times New Roman" w:cs="Times New Roman"/>
          <w:spacing w:val="1"/>
        </w:rPr>
        <w:t xml:space="preserve"> </w:t>
      </w:r>
      <w:r w:rsidRPr="00680B5B">
        <w:rPr>
          <w:rFonts w:ascii="Times New Roman" w:hAnsi="Times New Roman" w:cs="Times New Roman"/>
        </w:rPr>
        <w:t>eletrônica;</w:t>
      </w:r>
    </w:p>
    <w:p w14:paraId="54D1F56C"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O</w:t>
      </w:r>
      <w:r w:rsidRPr="00680B5B">
        <w:rPr>
          <w:rFonts w:ascii="Times New Roman" w:hAnsi="Times New Roman" w:cs="Times New Roman"/>
          <w:spacing w:val="-3"/>
        </w:rPr>
        <w:t xml:space="preserve"> </w:t>
      </w:r>
      <w:r w:rsidRPr="00680B5B">
        <w:rPr>
          <w:rFonts w:ascii="Times New Roman" w:hAnsi="Times New Roman" w:cs="Times New Roman"/>
        </w:rPr>
        <w:t>software</w:t>
      </w:r>
      <w:r w:rsidRPr="00680B5B">
        <w:rPr>
          <w:rFonts w:ascii="Times New Roman" w:hAnsi="Times New Roman" w:cs="Times New Roman"/>
          <w:spacing w:val="-4"/>
        </w:rPr>
        <w:t xml:space="preserve"> </w:t>
      </w:r>
      <w:r w:rsidRPr="00680B5B">
        <w:rPr>
          <w:rFonts w:ascii="Times New Roman" w:hAnsi="Times New Roman" w:cs="Times New Roman"/>
        </w:rPr>
        <w:t>deverá</w:t>
      </w:r>
      <w:r w:rsidRPr="00680B5B">
        <w:rPr>
          <w:rFonts w:ascii="Times New Roman" w:hAnsi="Times New Roman" w:cs="Times New Roman"/>
          <w:spacing w:val="-2"/>
        </w:rPr>
        <w:t xml:space="preserve"> </w:t>
      </w:r>
      <w:r w:rsidRPr="00680B5B">
        <w:rPr>
          <w:rFonts w:ascii="Times New Roman" w:hAnsi="Times New Roman" w:cs="Times New Roman"/>
        </w:rPr>
        <w:t>negar</w:t>
      </w:r>
      <w:r w:rsidRPr="00680B5B">
        <w:rPr>
          <w:rFonts w:ascii="Times New Roman" w:hAnsi="Times New Roman" w:cs="Times New Roman"/>
          <w:spacing w:val="-3"/>
        </w:rPr>
        <w:t xml:space="preserve"> </w:t>
      </w:r>
      <w:r w:rsidRPr="00680B5B">
        <w:rPr>
          <w:rFonts w:ascii="Times New Roman" w:hAnsi="Times New Roman" w:cs="Times New Roman"/>
        </w:rPr>
        <w:t>o</w:t>
      </w:r>
      <w:r w:rsidRPr="00680B5B">
        <w:rPr>
          <w:rFonts w:ascii="Times New Roman" w:hAnsi="Times New Roman" w:cs="Times New Roman"/>
          <w:spacing w:val="-1"/>
        </w:rPr>
        <w:t xml:space="preserve"> </w:t>
      </w:r>
      <w:r w:rsidRPr="00680B5B">
        <w:rPr>
          <w:rFonts w:ascii="Times New Roman" w:hAnsi="Times New Roman" w:cs="Times New Roman"/>
        </w:rPr>
        <w:t>recebimento</w:t>
      </w:r>
      <w:r w:rsidRPr="00680B5B">
        <w:rPr>
          <w:rFonts w:ascii="Times New Roman" w:hAnsi="Times New Roman" w:cs="Times New Roman"/>
          <w:spacing w:val="-4"/>
        </w:rPr>
        <w:t xml:space="preserve"> </w:t>
      </w:r>
      <w:r w:rsidRPr="00680B5B">
        <w:rPr>
          <w:rFonts w:ascii="Times New Roman" w:hAnsi="Times New Roman" w:cs="Times New Roman"/>
        </w:rPr>
        <w:t>de RPS</w:t>
      </w:r>
      <w:r w:rsidRPr="00680B5B">
        <w:rPr>
          <w:rFonts w:ascii="Times New Roman" w:hAnsi="Times New Roman" w:cs="Times New Roman"/>
          <w:spacing w:val="-2"/>
        </w:rPr>
        <w:t xml:space="preserve"> </w:t>
      </w:r>
      <w:r w:rsidRPr="00680B5B">
        <w:rPr>
          <w:rFonts w:ascii="Times New Roman" w:hAnsi="Times New Roman" w:cs="Times New Roman"/>
        </w:rPr>
        <w:t>já</w:t>
      </w:r>
      <w:r w:rsidRPr="00680B5B">
        <w:rPr>
          <w:rFonts w:ascii="Times New Roman" w:hAnsi="Times New Roman" w:cs="Times New Roman"/>
          <w:spacing w:val="-4"/>
        </w:rPr>
        <w:t xml:space="preserve"> </w:t>
      </w:r>
      <w:r w:rsidRPr="00680B5B">
        <w:rPr>
          <w:rFonts w:ascii="Times New Roman" w:hAnsi="Times New Roman" w:cs="Times New Roman"/>
        </w:rPr>
        <w:t>transformado</w:t>
      </w:r>
      <w:r w:rsidRPr="00680B5B">
        <w:rPr>
          <w:rFonts w:ascii="Times New Roman" w:hAnsi="Times New Roman" w:cs="Times New Roman"/>
          <w:spacing w:val="-3"/>
        </w:rPr>
        <w:t xml:space="preserve"> </w:t>
      </w:r>
      <w:r w:rsidRPr="00680B5B">
        <w:rPr>
          <w:rFonts w:ascii="Times New Roman" w:hAnsi="Times New Roman" w:cs="Times New Roman"/>
        </w:rPr>
        <w:t>em</w:t>
      </w:r>
      <w:r w:rsidRPr="00680B5B">
        <w:rPr>
          <w:rFonts w:ascii="Times New Roman" w:hAnsi="Times New Roman" w:cs="Times New Roman"/>
          <w:spacing w:val="-3"/>
        </w:rPr>
        <w:t xml:space="preserve"> </w:t>
      </w:r>
      <w:r w:rsidRPr="00680B5B">
        <w:rPr>
          <w:rFonts w:ascii="Times New Roman" w:hAnsi="Times New Roman" w:cs="Times New Roman"/>
        </w:rPr>
        <w:t>NFS-e;</w:t>
      </w:r>
    </w:p>
    <w:p w14:paraId="15C118E9"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Registrar de forma automática denúncia da conversão irregular do RPS em nota</w:t>
      </w:r>
      <w:r w:rsidRPr="00680B5B">
        <w:rPr>
          <w:rFonts w:ascii="Times New Roman" w:hAnsi="Times New Roman" w:cs="Times New Roman"/>
          <w:spacing w:val="1"/>
        </w:rPr>
        <w:t xml:space="preserve"> </w:t>
      </w:r>
      <w:r w:rsidRPr="00680B5B">
        <w:rPr>
          <w:rFonts w:ascii="Times New Roman" w:hAnsi="Times New Roman" w:cs="Times New Roman"/>
        </w:rPr>
        <w:t>fiscal de serviço eletrônica, quando via integração houver tentativa de envio de um RPS que</w:t>
      </w:r>
      <w:r w:rsidRPr="00680B5B">
        <w:rPr>
          <w:rFonts w:ascii="Times New Roman" w:hAnsi="Times New Roman" w:cs="Times New Roman"/>
          <w:spacing w:val="1"/>
        </w:rPr>
        <w:t xml:space="preserve"> </w:t>
      </w:r>
      <w:r w:rsidRPr="00680B5B">
        <w:rPr>
          <w:rFonts w:ascii="Times New Roman" w:hAnsi="Times New Roman" w:cs="Times New Roman"/>
        </w:rPr>
        <w:t>esteja</w:t>
      </w:r>
      <w:r w:rsidRPr="00680B5B">
        <w:rPr>
          <w:rFonts w:ascii="Times New Roman" w:hAnsi="Times New Roman" w:cs="Times New Roman"/>
          <w:spacing w:val="-1"/>
        </w:rPr>
        <w:t xml:space="preserve"> </w:t>
      </w:r>
      <w:r w:rsidRPr="00680B5B">
        <w:rPr>
          <w:rFonts w:ascii="Times New Roman" w:hAnsi="Times New Roman" w:cs="Times New Roman"/>
        </w:rPr>
        <w:t>sendo</w:t>
      </w:r>
      <w:r w:rsidRPr="00680B5B">
        <w:rPr>
          <w:rFonts w:ascii="Times New Roman" w:hAnsi="Times New Roman" w:cs="Times New Roman"/>
          <w:spacing w:val="1"/>
        </w:rPr>
        <w:t xml:space="preserve"> </w:t>
      </w:r>
      <w:r w:rsidRPr="00680B5B">
        <w:rPr>
          <w:rFonts w:ascii="Times New Roman" w:hAnsi="Times New Roman" w:cs="Times New Roman"/>
        </w:rPr>
        <w:t>convertido</w:t>
      </w:r>
      <w:r w:rsidRPr="00680B5B">
        <w:rPr>
          <w:rFonts w:ascii="Times New Roman" w:hAnsi="Times New Roman" w:cs="Times New Roman"/>
          <w:spacing w:val="-1"/>
        </w:rPr>
        <w:t xml:space="preserve"> </w:t>
      </w:r>
      <w:r w:rsidRPr="00680B5B">
        <w:rPr>
          <w:rFonts w:ascii="Times New Roman" w:hAnsi="Times New Roman" w:cs="Times New Roman"/>
        </w:rPr>
        <w:t>fora</w:t>
      </w:r>
      <w:r w:rsidRPr="00680B5B">
        <w:rPr>
          <w:rFonts w:ascii="Times New Roman" w:hAnsi="Times New Roman" w:cs="Times New Roman"/>
          <w:spacing w:val="-2"/>
        </w:rPr>
        <w:t xml:space="preserve"> </w:t>
      </w:r>
      <w:r w:rsidRPr="00680B5B">
        <w:rPr>
          <w:rFonts w:ascii="Times New Roman" w:hAnsi="Times New Roman" w:cs="Times New Roman"/>
        </w:rPr>
        <w:t>do</w:t>
      </w:r>
      <w:r w:rsidRPr="00680B5B">
        <w:rPr>
          <w:rFonts w:ascii="Times New Roman" w:hAnsi="Times New Roman" w:cs="Times New Roman"/>
          <w:spacing w:val="-1"/>
        </w:rPr>
        <w:t xml:space="preserve"> </w:t>
      </w:r>
      <w:r w:rsidRPr="00680B5B">
        <w:rPr>
          <w:rFonts w:ascii="Times New Roman" w:hAnsi="Times New Roman" w:cs="Times New Roman"/>
        </w:rPr>
        <w:t>prazo;</w:t>
      </w:r>
    </w:p>
    <w:p w14:paraId="2BE572F8"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se o tomador do serviço receberá créditos para serem utilizados no abatimento do IPTU;</w:t>
      </w:r>
    </w:p>
    <w:p w14:paraId="1C786325"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percentual individual de créditos para abatimento de IPTU por tipo do tomador de serviço: Pessoa Física ou Jurídica;</w:t>
      </w:r>
    </w:p>
    <w:p w14:paraId="51804E1E"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Configurar para quais itens da lista de serviço deverá ser informado o número C.N.O, relacionado a  construção civil, no momento de emissão da NFS-e. Deve ser possível definir ainda se a informação será obrigatória ou opcional.</w:t>
      </w:r>
    </w:p>
    <w:p w14:paraId="4241C045"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consulta dos arquivos XMLs de importação de NFS-e. Deverá ser possível identificar a situação do arquivo, se importado com sucesso ou com erro. Deverá ser discriminado o motivo para os que apresentarem erro;</w:t>
      </w:r>
    </w:p>
    <w:p w14:paraId="6F79FC11"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relatório dos maiores emissores de NFS-e selecionando o serviço e período de data de emissão;</w:t>
      </w:r>
    </w:p>
    <w:p w14:paraId="35C812AF"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lastRenderedPageBreak/>
        <w:t>Gerar relatório de contribuintes autorizados a emitirem NFS-e, mas que não emitiram nenhuma nota, com filtros de: cadastro mobiliário e</w:t>
      </w:r>
      <w:r w:rsidRPr="00680B5B">
        <w:rPr>
          <w:rFonts w:ascii="Times New Roman" w:hAnsi="Times New Roman" w:cs="Times New Roman"/>
          <w:spacing w:val="-2"/>
        </w:rPr>
        <w:t xml:space="preserve"> </w:t>
      </w:r>
      <w:r w:rsidRPr="00680B5B">
        <w:rPr>
          <w:rFonts w:ascii="Times New Roman" w:hAnsi="Times New Roman" w:cs="Times New Roman"/>
        </w:rPr>
        <w:t>competência;</w:t>
      </w:r>
    </w:p>
    <w:p w14:paraId="57819CD0"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Gerar relatório de créditos de IPTU, com filtros por tomador do serviço e por situação do crédito;</w:t>
      </w:r>
    </w:p>
    <w:p w14:paraId="2269BE37"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Visualizar a prévia da NFS-e antes de sua emissão, podendo imprimir;</w:t>
      </w:r>
    </w:p>
    <w:p w14:paraId="4DB317F9"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salvar NFS-e em rascunho, podendo continuar seu preenchimento em momento posterior;</w:t>
      </w:r>
    </w:p>
    <w:p w14:paraId="6AAB9D0C" w14:textId="77777777" w:rsidR="00B307DB" w:rsidRPr="00680B5B" w:rsidRDefault="00B307DB" w:rsidP="00B307DB">
      <w:pPr>
        <w:pStyle w:val="TableParagraph"/>
        <w:numPr>
          <w:ilvl w:val="3"/>
          <w:numId w:val="212"/>
        </w:numPr>
        <w:tabs>
          <w:tab w:val="left" w:pos="56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Emitir notas fiscais eletrônicas, podendo informar vários municípios onde os serviços foram prestados, bem como o local de recolhimento do ISS, inclusive na mesma nota, conforme Lei complementar</w:t>
      </w:r>
      <w:r w:rsidRPr="00680B5B">
        <w:rPr>
          <w:rFonts w:ascii="Times New Roman" w:hAnsi="Times New Roman" w:cs="Times New Roman"/>
          <w:spacing w:val="-7"/>
        </w:rPr>
        <w:t xml:space="preserve"> </w:t>
      </w:r>
      <w:r w:rsidRPr="00680B5B">
        <w:rPr>
          <w:rFonts w:ascii="Times New Roman" w:hAnsi="Times New Roman" w:cs="Times New Roman"/>
        </w:rPr>
        <w:t>116/03;</w:t>
      </w:r>
    </w:p>
    <w:p w14:paraId="54B4BD49"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Possibilidade de emissão de NFS-E com data retroativa, quando desta situação a</w:t>
      </w:r>
      <w:r w:rsidRPr="00680B5B">
        <w:rPr>
          <w:rFonts w:ascii="Times New Roman" w:hAnsi="Times New Roman" w:cs="Times New Roman"/>
          <w:spacing w:val="1"/>
        </w:rPr>
        <w:t xml:space="preserve"> </w:t>
      </w:r>
      <w:r w:rsidRPr="00680B5B">
        <w:rPr>
          <w:rFonts w:ascii="Times New Roman" w:hAnsi="Times New Roman" w:cs="Times New Roman"/>
        </w:rPr>
        <w:t>nota</w:t>
      </w:r>
      <w:r w:rsidRPr="00680B5B">
        <w:rPr>
          <w:rFonts w:ascii="Times New Roman" w:hAnsi="Times New Roman" w:cs="Times New Roman"/>
          <w:spacing w:val="-3"/>
        </w:rPr>
        <w:t xml:space="preserve"> </w:t>
      </w:r>
      <w:r w:rsidRPr="00680B5B">
        <w:rPr>
          <w:rFonts w:ascii="Times New Roman" w:hAnsi="Times New Roman" w:cs="Times New Roman"/>
        </w:rPr>
        <w:t>deverá</w:t>
      </w:r>
      <w:r w:rsidRPr="00680B5B">
        <w:rPr>
          <w:rFonts w:ascii="Times New Roman" w:hAnsi="Times New Roman" w:cs="Times New Roman"/>
          <w:spacing w:val="1"/>
        </w:rPr>
        <w:t xml:space="preserve"> </w:t>
      </w:r>
      <w:r w:rsidRPr="00680B5B">
        <w:rPr>
          <w:rFonts w:ascii="Times New Roman" w:hAnsi="Times New Roman" w:cs="Times New Roman"/>
        </w:rPr>
        <w:t>ser</w:t>
      </w:r>
      <w:r w:rsidRPr="00680B5B">
        <w:rPr>
          <w:rFonts w:ascii="Times New Roman" w:hAnsi="Times New Roman" w:cs="Times New Roman"/>
          <w:spacing w:val="-2"/>
        </w:rPr>
        <w:t xml:space="preserve"> </w:t>
      </w:r>
      <w:r w:rsidRPr="00680B5B">
        <w:rPr>
          <w:rFonts w:ascii="Times New Roman" w:hAnsi="Times New Roman" w:cs="Times New Roman"/>
        </w:rPr>
        <w:t>escriturada</w:t>
      </w:r>
      <w:r w:rsidRPr="00680B5B">
        <w:rPr>
          <w:rFonts w:ascii="Times New Roman" w:hAnsi="Times New Roman" w:cs="Times New Roman"/>
          <w:spacing w:val="-1"/>
        </w:rPr>
        <w:t xml:space="preserve"> </w:t>
      </w:r>
      <w:r w:rsidRPr="00680B5B">
        <w:rPr>
          <w:rFonts w:ascii="Times New Roman" w:hAnsi="Times New Roman" w:cs="Times New Roman"/>
        </w:rPr>
        <w:t>na</w:t>
      </w:r>
      <w:r w:rsidRPr="00680B5B">
        <w:rPr>
          <w:rFonts w:ascii="Times New Roman" w:hAnsi="Times New Roman" w:cs="Times New Roman"/>
          <w:spacing w:val="-2"/>
        </w:rPr>
        <w:t xml:space="preserve"> </w:t>
      </w:r>
      <w:r w:rsidRPr="00680B5B">
        <w:rPr>
          <w:rFonts w:ascii="Times New Roman" w:hAnsi="Times New Roman" w:cs="Times New Roman"/>
        </w:rPr>
        <w:t>competência</w:t>
      </w:r>
      <w:r w:rsidRPr="00680B5B">
        <w:rPr>
          <w:rFonts w:ascii="Times New Roman" w:hAnsi="Times New Roman" w:cs="Times New Roman"/>
          <w:spacing w:val="-1"/>
        </w:rPr>
        <w:t xml:space="preserve"> </w:t>
      </w:r>
      <w:r w:rsidRPr="00680B5B">
        <w:rPr>
          <w:rFonts w:ascii="Times New Roman" w:hAnsi="Times New Roman" w:cs="Times New Roman"/>
        </w:rPr>
        <w:t>do</w:t>
      </w:r>
      <w:r w:rsidRPr="00680B5B">
        <w:rPr>
          <w:rFonts w:ascii="Times New Roman" w:hAnsi="Times New Roman" w:cs="Times New Roman"/>
          <w:spacing w:val="-1"/>
        </w:rPr>
        <w:t xml:space="preserve"> </w:t>
      </w:r>
      <w:r w:rsidRPr="00680B5B">
        <w:rPr>
          <w:rFonts w:ascii="Times New Roman" w:hAnsi="Times New Roman" w:cs="Times New Roman"/>
        </w:rPr>
        <w:t>fato gerador;</w:t>
      </w:r>
    </w:p>
    <w:p w14:paraId="34CE70E3"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Quando da emissão de NFSE retroativa e a competência do fato gerador já estiver</w:t>
      </w:r>
      <w:r w:rsidRPr="00680B5B">
        <w:rPr>
          <w:rFonts w:ascii="Times New Roman" w:hAnsi="Times New Roman" w:cs="Times New Roman"/>
          <w:spacing w:val="1"/>
        </w:rPr>
        <w:t xml:space="preserve"> </w:t>
      </w:r>
      <w:r w:rsidRPr="00680B5B">
        <w:rPr>
          <w:rFonts w:ascii="Times New Roman" w:hAnsi="Times New Roman" w:cs="Times New Roman"/>
        </w:rPr>
        <w:t>paga,</w:t>
      </w:r>
      <w:r w:rsidRPr="00680B5B">
        <w:rPr>
          <w:rFonts w:ascii="Times New Roman" w:hAnsi="Times New Roman" w:cs="Times New Roman"/>
          <w:spacing w:val="1"/>
        </w:rPr>
        <w:t xml:space="preserve"> </w:t>
      </w:r>
      <w:r w:rsidRPr="00680B5B">
        <w:rPr>
          <w:rFonts w:ascii="Times New Roman" w:hAnsi="Times New Roman" w:cs="Times New Roman"/>
        </w:rPr>
        <w:t>sistema</w:t>
      </w:r>
      <w:r w:rsidRPr="00680B5B">
        <w:rPr>
          <w:rFonts w:ascii="Times New Roman" w:hAnsi="Times New Roman" w:cs="Times New Roman"/>
          <w:spacing w:val="1"/>
        </w:rPr>
        <w:t xml:space="preserve"> </w:t>
      </w:r>
      <w:r w:rsidRPr="00680B5B">
        <w:rPr>
          <w:rFonts w:ascii="Times New Roman" w:hAnsi="Times New Roman" w:cs="Times New Roman"/>
        </w:rPr>
        <w:t>deverá</w:t>
      </w:r>
      <w:r w:rsidRPr="00680B5B">
        <w:rPr>
          <w:rFonts w:ascii="Times New Roman" w:hAnsi="Times New Roman" w:cs="Times New Roman"/>
          <w:spacing w:val="1"/>
        </w:rPr>
        <w:t xml:space="preserve"> </w:t>
      </w:r>
      <w:r w:rsidRPr="00680B5B">
        <w:rPr>
          <w:rFonts w:ascii="Times New Roman" w:hAnsi="Times New Roman" w:cs="Times New Roman"/>
        </w:rPr>
        <w:t>lançar</w:t>
      </w:r>
      <w:r w:rsidRPr="00680B5B">
        <w:rPr>
          <w:rFonts w:ascii="Times New Roman" w:hAnsi="Times New Roman" w:cs="Times New Roman"/>
          <w:spacing w:val="1"/>
        </w:rPr>
        <w:t xml:space="preserve"> </w:t>
      </w:r>
      <w:r w:rsidRPr="00680B5B">
        <w:rPr>
          <w:rFonts w:ascii="Times New Roman" w:hAnsi="Times New Roman" w:cs="Times New Roman"/>
        </w:rPr>
        <w:t>uma</w:t>
      </w:r>
      <w:r w:rsidRPr="00680B5B">
        <w:rPr>
          <w:rFonts w:ascii="Times New Roman" w:hAnsi="Times New Roman" w:cs="Times New Roman"/>
          <w:spacing w:val="1"/>
        </w:rPr>
        <w:t xml:space="preserve"> </w:t>
      </w:r>
      <w:r w:rsidRPr="00680B5B">
        <w:rPr>
          <w:rFonts w:ascii="Times New Roman" w:hAnsi="Times New Roman" w:cs="Times New Roman"/>
        </w:rPr>
        <w:t>parcela</w:t>
      </w:r>
      <w:r w:rsidRPr="00680B5B">
        <w:rPr>
          <w:rFonts w:ascii="Times New Roman" w:hAnsi="Times New Roman" w:cs="Times New Roman"/>
          <w:spacing w:val="1"/>
        </w:rPr>
        <w:t xml:space="preserve"> </w:t>
      </w:r>
      <w:r w:rsidRPr="00680B5B">
        <w:rPr>
          <w:rFonts w:ascii="Times New Roman" w:hAnsi="Times New Roman" w:cs="Times New Roman"/>
        </w:rPr>
        <w:t>complementar</w:t>
      </w:r>
      <w:r w:rsidRPr="00680B5B">
        <w:rPr>
          <w:rFonts w:ascii="Times New Roman" w:hAnsi="Times New Roman" w:cs="Times New Roman"/>
          <w:spacing w:val="1"/>
        </w:rPr>
        <w:t xml:space="preserve"> </w:t>
      </w:r>
      <w:r w:rsidRPr="00680B5B">
        <w:rPr>
          <w:rFonts w:ascii="Times New Roman" w:hAnsi="Times New Roman" w:cs="Times New Roman"/>
        </w:rPr>
        <w:t>automaticamente</w:t>
      </w:r>
      <w:r w:rsidRPr="00680B5B">
        <w:rPr>
          <w:rFonts w:ascii="Times New Roman" w:hAnsi="Times New Roman" w:cs="Times New Roman"/>
          <w:spacing w:val="1"/>
        </w:rPr>
        <w:t xml:space="preserve"> </w:t>
      </w:r>
      <w:r w:rsidRPr="00680B5B">
        <w:rPr>
          <w:rFonts w:ascii="Times New Roman" w:hAnsi="Times New Roman" w:cs="Times New Roman"/>
        </w:rPr>
        <w:t>com</w:t>
      </w:r>
      <w:r w:rsidRPr="00680B5B">
        <w:rPr>
          <w:rFonts w:ascii="Times New Roman" w:hAnsi="Times New Roman" w:cs="Times New Roman"/>
          <w:spacing w:val="1"/>
        </w:rPr>
        <w:t xml:space="preserve"> </w:t>
      </w:r>
      <w:r w:rsidRPr="00680B5B">
        <w:rPr>
          <w:rFonts w:ascii="Times New Roman" w:hAnsi="Times New Roman" w:cs="Times New Roman"/>
        </w:rPr>
        <w:t>a</w:t>
      </w:r>
      <w:r w:rsidRPr="00680B5B">
        <w:rPr>
          <w:rFonts w:ascii="Times New Roman" w:hAnsi="Times New Roman" w:cs="Times New Roman"/>
          <w:spacing w:val="1"/>
        </w:rPr>
        <w:t xml:space="preserve"> </w:t>
      </w:r>
      <w:r w:rsidRPr="00680B5B">
        <w:rPr>
          <w:rFonts w:ascii="Times New Roman" w:hAnsi="Times New Roman" w:cs="Times New Roman"/>
        </w:rPr>
        <w:t>NFS-E</w:t>
      </w:r>
      <w:r w:rsidRPr="00680B5B">
        <w:rPr>
          <w:rFonts w:ascii="Times New Roman" w:hAnsi="Times New Roman" w:cs="Times New Roman"/>
          <w:spacing w:val="1"/>
        </w:rPr>
        <w:t xml:space="preserve"> </w:t>
      </w:r>
      <w:r w:rsidRPr="00680B5B">
        <w:rPr>
          <w:rFonts w:ascii="Times New Roman" w:hAnsi="Times New Roman" w:cs="Times New Roman"/>
        </w:rPr>
        <w:t>emitida;</w:t>
      </w:r>
    </w:p>
    <w:p w14:paraId="6ECD865C"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integração entre o software de faturamento do contribuinte e o software</w:t>
      </w:r>
      <w:r w:rsidRPr="00680B5B">
        <w:rPr>
          <w:rFonts w:ascii="Times New Roman" w:hAnsi="Times New Roman" w:cs="Times New Roman"/>
          <w:spacing w:val="1"/>
        </w:rPr>
        <w:t xml:space="preserve"> </w:t>
      </w:r>
      <w:r w:rsidRPr="00680B5B">
        <w:rPr>
          <w:rFonts w:ascii="Times New Roman" w:hAnsi="Times New Roman" w:cs="Times New Roman"/>
        </w:rPr>
        <w:t>de NFS-E através de Web service, utilizando arquivos no formato XML em layout pré-definido pelo município;</w:t>
      </w:r>
    </w:p>
    <w:p w14:paraId="5DA865B7"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contribuinte enviar o Recibo Provisório de Serviço (RPS) via integração</w:t>
      </w:r>
      <w:r w:rsidRPr="00680B5B">
        <w:rPr>
          <w:rFonts w:ascii="Times New Roman" w:hAnsi="Times New Roman" w:cs="Times New Roman"/>
          <w:spacing w:val="1"/>
        </w:rPr>
        <w:t xml:space="preserve"> web service </w:t>
      </w:r>
      <w:r w:rsidRPr="00680B5B">
        <w:rPr>
          <w:rFonts w:ascii="Times New Roman" w:hAnsi="Times New Roman" w:cs="Times New Roman"/>
        </w:rPr>
        <w:t>para conversão</w:t>
      </w:r>
      <w:r w:rsidRPr="00680B5B">
        <w:rPr>
          <w:rFonts w:ascii="Times New Roman" w:hAnsi="Times New Roman" w:cs="Times New Roman"/>
          <w:spacing w:val="-1"/>
        </w:rPr>
        <w:t xml:space="preserve"> </w:t>
      </w:r>
      <w:r w:rsidRPr="00680B5B">
        <w:rPr>
          <w:rFonts w:ascii="Times New Roman" w:hAnsi="Times New Roman" w:cs="Times New Roman"/>
        </w:rPr>
        <w:t>em</w:t>
      </w:r>
      <w:r w:rsidRPr="00680B5B">
        <w:rPr>
          <w:rFonts w:ascii="Times New Roman" w:hAnsi="Times New Roman" w:cs="Times New Roman"/>
          <w:spacing w:val="-1"/>
        </w:rPr>
        <w:t xml:space="preserve"> </w:t>
      </w:r>
      <w:r w:rsidRPr="00680B5B">
        <w:rPr>
          <w:rFonts w:ascii="Times New Roman" w:hAnsi="Times New Roman" w:cs="Times New Roman"/>
        </w:rPr>
        <w:t>Nota</w:t>
      </w:r>
      <w:r w:rsidRPr="00680B5B">
        <w:rPr>
          <w:rFonts w:ascii="Times New Roman" w:hAnsi="Times New Roman" w:cs="Times New Roman"/>
          <w:spacing w:val="-5"/>
        </w:rPr>
        <w:t xml:space="preserve"> </w:t>
      </w:r>
      <w:r w:rsidRPr="00680B5B">
        <w:rPr>
          <w:rFonts w:ascii="Times New Roman" w:hAnsi="Times New Roman" w:cs="Times New Roman"/>
        </w:rPr>
        <w:t>Fiscal Eletrônica</w:t>
      </w:r>
      <w:r w:rsidRPr="00680B5B">
        <w:rPr>
          <w:rFonts w:ascii="Times New Roman" w:hAnsi="Times New Roman" w:cs="Times New Roman"/>
          <w:spacing w:val="-2"/>
        </w:rPr>
        <w:t xml:space="preserve"> </w:t>
      </w:r>
      <w:r w:rsidRPr="00680B5B">
        <w:rPr>
          <w:rFonts w:ascii="Times New Roman" w:hAnsi="Times New Roman" w:cs="Times New Roman"/>
        </w:rPr>
        <w:t>de serviço</w:t>
      </w:r>
      <w:r w:rsidRPr="00680B5B">
        <w:rPr>
          <w:rFonts w:ascii="Times New Roman" w:hAnsi="Times New Roman" w:cs="Times New Roman"/>
          <w:spacing w:val="1"/>
        </w:rPr>
        <w:t xml:space="preserve"> </w:t>
      </w:r>
      <w:r w:rsidRPr="00680B5B">
        <w:rPr>
          <w:rFonts w:ascii="Times New Roman" w:hAnsi="Times New Roman" w:cs="Times New Roman"/>
        </w:rPr>
        <w:t>eletrônica;</w:t>
      </w:r>
    </w:p>
    <w:p w14:paraId="205305B5"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Possibilidade de configurar se irá ser utilizada unidade de serviço na emissão da</w:t>
      </w:r>
      <w:r w:rsidRPr="00680B5B">
        <w:rPr>
          <w:rFonts w:ascii="Times New Roman" w:hAnsi="Times New Roman" w:cs="Times New Roman"/>
          <w:spacing w:val="1"/>
        </w:rPr>
        <w:t xml:space="preserve"> </w:t>
      </w:r>
      <w:r w:rsidRPr="00680B5B">
        <w:rPr>
          <w:rFonts w:ascii="Times New Roman" w:hAnsi="Times New Roman" w:cs="Times New Roman"/>
        </w:rPr>
        <w:t>NFSE e</w:t>
      </w:r>
      <w:r w:rsidRPr="00680B5B">
        <w:rPr>
          <w:rFonts w:ascii="Times New Roman" w:hAnsi="Times New Roman" w:cs="Times New Roman"/>
          <w:spacing w:val="-2"/>
        </w:rPr>
        <w:t xml:space="preserve"> </w:t>
      </w:r>
      <w:r w:rsidRPr="00680B5B">
        <w:rPr>
          <w:rFonts w:ascii="Times New Roman" w:hAnsi="Times New Roman" w:cs="Times New Roman"/>
        </w:rPr>
        <w:t>se seu</w:t>
      </w:r>
      <w:r w:rsidRPr="00680B5B">
        <w:rPr>
          <w:rFonts w:ascii="Times New Roman" w:hAnsi="Times New Roman" w:cs="Times New Roman"/>
          <w:spacing w:val="-1"/>
        </w:rPr>
        <w:t xml:space="preserve"> </w:t>
      </w:r>
      <w:r w:rsidRPr="00680B5B">
        <w:rPr>
          <w:rFonts w:ascii="Times New Roman" w:hAnsi="Times New Roman" w:cs="Times New Roman"/>
        </w:rPr>
        <w:t>preenchimento</w:t>
      </w:r>
      <w:r w:rsidRPr="00680B5B">
        <w:rPr>
          <w:rFonts w:ascii="Times New Roman" w:hAnsi="Times New Roman" w:cs="Times New Roman"/>
          <w:spacing w:val="-2"/>
        </w:rPr>
        <w:t xml:space="preserve"> </w:t>
      </w:r>
      <w:r w:rsidRPr="00680B5B">
        <w:rPr>
          <w:rFonts w:ascii="Times New Roman" w:hAnsi="Times New Roman" w:cs="Times New Roman"/>
        </w:rPr>
        <w:t>será</w:t>
      </w:r>
      <w:r w:rsidRPr="00680B5B">
        <w:rPr>
          <w:rFonts w:ascii="Times New Roman" w:hAnsi="Times New Roman" w:cs="Times New Roman"/>
          <w:spacing w:val="-3"/>
        </w:rPr>
        <w:t xml:space="preserve"> </w:t>
      </w:r>
      <w:r w:rsidRPr="00680B5B">
        <w:rPr>
          <w:rFonts w:ascii="Times New Roman" w:hAnsi="Times New Roman" w:cs="Times New Roman"/>
        </w:rPr>
        <w:t>obrigatório;</w:t>
      </w:r>
    </w:p>
    <w:p w14:paraId="2C0EBDA2"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5"/>
        </w:rPr>
        <w:t xml:space="preserve"> </w:t>
      </w:r>
      <w:r w:rsidRPr="00680B5B">
        <w:rPr>
          <w:rFonts w:ascii="Times New Roman" w:hAnsi="Times New Roman" w:cs="Times New Roman"/>
        </w:rPr>
        <w:t>ao</w:t>
      </w:r>
      <w:r w:rsidRPr="00680B5B">
        <w:rPr>
          <w:rFonts w:ascii="Times New Roman" w:hAnsi="Times New Roman" w:cs="Times New Roman"/>
          <w:spacing w:val="-3"/>
        </w:rPr>
        <w:t xml:space="preserve"> </w:t>
      </w:r>
      <w:r w:rsidRPr="00680B5B">
        <w:rPr>
          <w:rFonts w:ascii="Times New Roman" w:hAnsi="Times New Roman" w:cs="Times New Roman"/>
        </w:rPr>
        <w:t>emissor</w:t>
      </w:r>
      <w:r w:rsidRPr="00680B5B">
        <w:rPr>
          <w:rFonts w:ascii="Times New Roman" w:hAnsi="Times New Roman" w:cs="Times New Roman"/>
          <w:spacing w:val="-6"/>
        </w:rPr>
        <w:t xml:space="preserve"> </w:t>
      </w:r>
      <w:r w:rsidRPr="00680B5B">
        <w:rPr>
          <w:rFonts w:ascii="Times New Roman" w:hAnsi="Times New Roman" w:cs="Times New Roman"/>
        </w:rPr>
        <w:t>da</w:t>
      </w:r>
      <w:r w:rsidRPr="00680B5B">
        <w:rPr>
          <w:rFonts w:ascii="Times New Roman" w:hAnsi="Times New Roman" w:cs="Times New Roman"/>
          <w:spacing w:val="-4"/>
        </w:rPr>
        <w:t xml:space="preserve"> </w:t>
      </w:r>
      <w:r w:rsidRPr="00680B5B">
        <w:rPr>
          <w:rFonts w:ascii="Times New Roman" w:hAnsi="Times New Roman" w:cs="Times New Roman"/>
        </w:rPr>
        <w:t>NFSE</w:t>
      </w:r>
      <w:r w:rsidRPr="00680B5B">
        <w:rPr>
          <w:rFonts w:ascii="Times New Roman" w:hAnsi="Times New Roman" w:cs="Times New Roman"/>
          <w:spacing w:val="-4"/>
        </w:rPr>
        <w:t xml:space="preserve"> </w:t>
      </w:r>
      <w:r w:rsidRPr="00680B5B">
        <w:rPr>
          <w:rFonts w:ascii="Times New Roman" w:hAnsi="Times New Roman" w:cs="Times New Roman"/>
        </w:rPr>
        <w:t>realizar</w:t>
      </w:r>
      <w:r w:rsidRPr="00680B5B">
        <w:rPr>
          <w:rFonts w:ascii="Times New Roman" w:hAnsi="Times New Roman" w:cs="Times New Roman"/>
          <w:spacing w:val="-4"/>
        </w:rPr>
        <w:t xml:space="preserve"> </w:t>
      </w:r>
      <w:r w:rsidRPr="00680B5B">
        <w:rPr>
          <w:rFonts w:ascii="Times New Roman" w:hAnsi="Times New Roman" w:cs="Times New Roman"/>
        </w:rPr>
        <w:t>comunicação</w:t>
      </w:r>
      <w:r w:rsidRPr="00680B5B">
        <w:rPr>
          <w:rFonts w:ascii="Times New Roman" w:hAnsi="Times New Roman" w:cs="Times New Roman"/>
          <w:spacing w:val="-3"/>
        </w:rPr>
        <w:t xml:space="preserve"> </w:t>
      </w:r>
      <w:r w:rsidRPr="00680B5B">
        <w:rPr>
          <w:rFonts w:ascii="Times New Roman" w:hAnsi="Times New Roman" w:cs="Times New Roman"/>
        </w:rPr>
        <w:t>de</w:t>
      </w:r>
      <w:r w:rsidRPr="00680B5B">
        <w:rPr>
          <w:rFonts w:ascii="Times New Roman" w:hAnsi="Times New Roman" w:cs="Times New Roman"/>
          <w:spacing w:val="-4"/>
        </w:rPr>
        <w:t xml:space="preserve"> </w:t>
      </w:r>
      <w:r w:rsidRPr="00680B5B">
        <w:rPr>
          <w:rFonts w:ascii="Times New Roman" w:hAnsi="Times New Roman" w:cs="Times New Roman"/>
        </w:rPr>
        <w:t>irregularidade</w:t>
      </w:r>
      <w:r w:rsidRPr="00680B5B">
        <w:rPr>
          <w:rFonts w:ascii="Times New Roman" w:hAnsi="Times New Roman" w:cs="Times New Roman"/>
          <w:spacing w:val="-3"/>
        </w:rPr>
        <w:t xml:space="preserve"> </w:t>
      </w:r>
      <w:r w:rsidRPr="00680B5B">
        <w:rPr>
          <w:rFonts w:ascii="Times New Roman" w:hAnsi="Times New Roman" w:cs="Times New Roman"/>
        </w:rPr>
        <w:t>cadastral,</w:t>
      </w:r>
      <w:r w:rsidRPr="00680B5B">
        <w:rPr>
          <w:rFonts w:ascii="Times New Roman" w:hAnsi="Times New Roman" w:cs="Times New Roman"/>
          <w:spacing w:val="-3"/>
        </w:rPr>
        <w:t xml:space="preserve"> </w:t>
      </w:r>
      <w:r w:rsidRPr="00680B5B">
        <w:rPr>
          <w:rFonts w:ascii="Times New Roman" w:hAnsi="Times New Roman" w:cs="Times New Roman"/>
        </w:rPr>
        <w:t>para</w:t>
      </w:r>
      <w:r w:rsidRPr="00680B5B">
        <w:rPr>
          <w:rFonts w:ascii="Times New Roman" w:hAnsi="Times New Roman" w:cs="Times New Roman"/>
          <w:spacing w:val="-52"/>
        </w:rPr>
        <w:t xml:space="preserve"> </w:t>
      </w:r>
      <w:r w:rsidRPr="00680B5B">
        <w:rPr>
          <w:rFonts w:ascii="Times New Roman" w:hAnsi="Times New Roman" w:cs="Times New Roman"/>
        </w:rPr>
        <w:t>pessoas que não possuem cadastro econômico no município no momento da emissão da</w:t>
      </w:r>
      <w:r w:rsidRPr="00680B5B">
        <w:rPr>
          <w:rFonts w:ascii="Times New Roman" w:hAnsi="Times New Roman" w:cs="Times New Roman"/>
          <w:spacing w:val="1"/>
        </w:rPr>
        <w:t xml:space="preserve"> </w:t>
      </w:r>
      <w:r w:rsidRPr="00680B5B">
        <w:rPr>
          <w:rFonts w:ascii="Times New Roman" w:hAnsi="Times New Roman" w:cs="Times New Roman"/>
        </w:rPr>
        <w:t>NFSE,</w:t>
      </w:r>
      <w:r w:rsidRPr="00680B5B">
        <w:rPr>
          <w:rFonts w:ascii="Times New Roman" w:hAnsi="Times New Roman" w:cs="Times New Roman"/>
          <w:spacing w:val="-7"/>
        </w:rPr>
        <w:t xml:space="preserve"> </w:t>
      </w:r>
      <w:r w:rsidRPr="00680B5B">
        <w:rPr>
          <w:rFonts w:ascii="Times New Roman" w:hAnsi="Times New Roman" w:cs="Times New Roman"/>
        </w:rPr>
        <w:t>gerando</w:t>
      </w:r>
      <w:r w:rsidRPr="00680B5B">
        <w:rPr>
          <w:rFonts w:ascii="Times New Roman" w:hAnsi="Times New Roman" w:cs="Times New Roman"/>
          <w:spacing w:val="-7"/>
        </w:rPr>
        <w:t xml:space="preserve"> </w:t>
      </w:r>
      <w:r w:rsidRPr="00680B5B">
        <w:rPr>
          <w:rFonts w:ascii="Times New Roman" w:hAnsi="Times New Roman" w:cs="Times New Roman"/>
        </w:rPr>
        <w:t>um</w:t>
      </w:r>
      <w:r w:rsidRPr="00680B5B">
        <w:rPr>
          <w:rFonts w:ascii="Times New Roman" w:hAnsi="Times New Roman" w:cs="Times New Roman"/>
          <w:spacing w:val="-7"/>
        </w:rPr>
        <w:t xml:space="preserve"> </w:t>
      </w:r>
      <w:r w:rsidRPr="00680B5B">
        <w:rPr>
          <w:rFonts w:ascii="Times New Roman" w:hAnsi="Times New Roman" w:cs="Times New Roman"/>
        </w:rPr>
        <w:t>processo</w:t>
      </w:r>
      <w:r w:rsidRPr="00680B5B">
        <w:rPr>
          <w:rFonts w:ascii="Times New Roman" w:hAnsi="Times New Roman" w:cs="Times New Roman"/>
          <w:spacing w:val="-5"/>
        </w:rPr>
        <w:t xml:space="preserve"> </w:t>
      </w:r>
      <w:r w:rsidRPr="00680B5B">
        <w:rPr>
          <w:rFonts w:ascii="Times New Roman" w:hAnsi="Times New Roman" w:cs="Times New Roman"/>
        </w:rPr>
        <w:t>de</w:t>
      </w:r>
      <w:r w:rsidRPr="00680B5B">
        <w:rPr>
          <w:rFonts w:ascii="Times New Roman" w:hAnsi="Times New Roman" w:cs="Times New Roman"/>
          <w:spacing w:val="-4"/>
        </w:rPr>
        <w:t xml:space="preserve"> </w:t>
      </w:r>
      <w:r w:rsidRPr="00680B5B">
        <w:rPr>
          <w:rFonts w:ascii="Times New Roman" w:hAnsi="Times New Roman" w:cs="Times New Roman"/>
        </w:rPr>
        <w:t>solicitação</w:t>
      </w:r>
      <w:r w:rsidRPr="00680B5B">
        <w:rPr>
          <w:rFonts w:ascii="Times New Roman" w:hAnsi="Times New Roman" w:cs="Times New Roman"/>
          <w:spacing w:val="-7"/>
        </w:rPr>
        <w:t xml:space="preserve"> </w:t>
      </w:r>
      <w:r w:rsidRPr="00680B5B">
        <w:rPr>
          <w:rFonts w:ascii="Times New Roman" w:hAnsi="Times New Roman" w:cs="Times New Roman"/>
        </w:rPr>
        <w:t>de</w:t>
      </w:r>
      <w:r w:rsidRPr="00680B5B">
        <w:rPr>
          <w:rFonts w:ascii="Times New Roman" w:hAnsi="Times New Roman" w:cs="Times New Roman"/>
          <w:spacing w:val="-7"/>
        </w:rPr>
        <w:t xml:space="preserve"> </w:t>
      </w:r>
      <w:r w:rsidRPr="00680B5B">
        <w:rPr>
          <w:rFonts w:ascii="Times New Roman" w:hAnsi="Times New Roman" w:cs="Times New Roman"/>
        </w:rPr>
        <w:t>alteração</w:t>
      </w:r>
      <w:r w:rsidRPr="00680B5B">
        <w:rPr>
          <w:rFonts w:ascii="Times New Roman" w:hAnsi="Times New Roman" w:cs="Times New Roman"/>
          <w:spacing w:val="-4"/>
        </w:rPr>
        <w:t xml:space="preserve"> </w:t>
      </w:r>
      <w:r w:rsidRPr="00680B5B">
        <w:rPr>
          <w:rFonts w:ascii="Times New Roman" w:hAnsi="Times New Roman" w:cs="Times New Roman"/>
        </w:rPr>
        <w:t>cadastral</w:t>
      </w:r>
      <w:r w:rsidRPr="00680B5B">
        <w:rPr>
          <w:rFonts w:ascii="Times New Roman" w:hAnsi="Times New Roman" w:cs="Times New Roman"/>
          <w:spacing w:val="-7"/>
        </w:rPr>
        <w:t xml:space="preserve"> </w:t>
      </w:r>
      <w:r w:rsidRPr="00680B5B">
        <w:rPr>
          <w:rFonts w:ascii="Times New Roman" w:hAnsi="Times New Roman" w:cs="Times New Roman"/>
        </w:rPr>
        <w:t>que</w:t>
      </w:r>
      <w:r w:rsidRPr="00680B5B">
        <w:rPr>
          <w:rFonts w:ascii="Times New Roman" w:hAnsi="Times New Roman" w:cs="Times New Roman"/>
          <w:spacing w:val="-7"/>
        </w:rPr>
        <w:t xml:space="preserve"> </w:t>
      </w:r>
      <w:r w:rsidRPr="00680B5B">
        <w:rPr>
          <w:rFonts w:ascii="Times New Roman" w:hAnsi="Times New Roman" w:cs="Times New Roman"/>
        </w:rPr>
        <w:t>ficará</w:t>
      </w:r>
      <w:r w:rsidRPr="00680B5B">
        <w:rPr>
          <w:rFonts w:ascii="Times New Roman" w:hAnsi="Times New Roman" w:cs="Times New Roman"/>
          <w:spacing w:val="-5"/>
        </w:rPr>
        <w:t xml:space="preserve"> </w:t>
      </w:r>
      <w:r w:rsidRPr="00680B5B">
        <w:rPr>
          <w:rFonts w:ascii="Times New Roman" w:hAnsi="Times New Roman" w:cs="Times New Roman"/>
        </w:rPr>
        <w:t>pendente</w:t>
      </w:r>
      <w:r w:rsidRPr="00680B5B">
        <w:rPr>
          <w:rFonts w:ascii="Times New Roman" w:hAnsi="Times New Roman" w:cs="Times New Roman"/>
          <w:spacing w:val="-7"/>
        </w:rPr>
        <w:t xml:space="preserve"> </w:t>
      </w:r>
      <w:r w:rsidRPr="00680B5B">
        <w:rPr>
          <w:rFonts w:ascii="Times New Roman" w:hAnsi="Times New Roman" w:cs="Times New Roman"/>
        </w:rPr>
        <w:t>até</w:t>
      </w:r>
      <w:r w:rsidRPr="00680B5B">
        <w:rPr>
          <w:rFonts w:ascii="Times New Roman" w:hAnsi="Times New Roman" w:cs="Times New Roman"/>
          <w:spacing w:val="-7"/>
        </w:rPr>
        <w:t xml:space="preserve"> </w:t>
      </w:r>
      <w:r w:rsidRPr="00680B5B">
        <w:rPr>
          <w:rFonts w:ascii="Times New Roman" w:hAnsi="Times New Roman" w:cs="Times New Roman"/>
        </w:rPr>
        <w:t>que</w:t>
      </w:r>
      <w:r w:rsidRPr="00680B5B">
        <w:rPr>
          <w:rFonts w:ascii="Times New Roman" w:hAnsi="Times New Roman" w:cs="Times New Roman"/>
          <w:spacing w:val="-52"/>
        </w:rPr>
        <w:t xml:space="preserve"> </w:t>
      </w:r>
      <w:r w:rsidRPr="00680B5B">
        <w:rPr>
          <w:rFonts w:ascii="Times New Roman" w:hAnsi="Times New Roman" w:cs="Times New Roman"/>
        </w:rPr>
        <w:t>um funcionário</w:t>
      </w:r>
      <w:r w:rsidRPr="00680B5B">
        <w:rPr>
          <w:rFonts w:ascii="Times New Roman" w:hAnsi="Times New Roman" w:cs="Times New Roman"/>
          <w:spacing w:val="-2"/>
        </w:rPr>
        <w:t xml:space="preserve"> </w:t>
      </w:r>
      <w:r w:rsidRPr="00680B5B">
        <w:rPr>
          <w:rFonts w:ascii="Times New Roman" w:hAnsi="Times New Roman" w:cs="Times New Roman"/>
        </w:rPr>
        <w:t>do</w:t>
      </w:r>
      <w:r w:rsidRPr="00680B5B">
        <w:rPr>
          <w:rFonts w:ascii="Times New Roman" w:hAnsi="Times New Roman" w:cs="Times New Roman"/>
          <w:spacing w:val="-3"/>
        </w:rPr>
        <w:t xml:space="preserve"> </w:t>
      </w:r>
      <w:r w:rsidRPr="00680B5B">
        <w:rPr>
          <w:rFonts w:ascii="Times New Roman" w:hAnsi="Times New Roman" w:cs="Times New Roman"/>
        </w:rPr>
        <w:t>município</w:t>
      </w:r>
      <w:r w:rsidRPr="00680B5B">
        <w:rPr>
          <w:rFonts w:ascii="Times New Roman" w:hAnsi="Times New Roman" w:cs="Times New Roman"/>
          <w:spacing w:val="1"/>
        </w:rPr>
        <w:t xml:space="preserve"> </w:t>
      </w:r>
      <w:r w:rsidRPr="00680B5B">
        <w:rPr>
          <w:rFonts w:ascii="Times New Roman" w:hAnsi="Times New Roman" w:cs="Times New Roman"/>
        </w:rPr>
        <w:t>realize a</w:t>
      </w:r>
      <w:r w:rsidRPr="00680B5B">
        <w:rPr>
          <w:rFonts w:ascii="Times New Roman" w:hAnsi="Times New Roman" w:cs="Times New Roman"/>
          <w:spacing w:val="-1"/>
        </w:rPr>
        <w:t xml:space="preserve"> </w:t>
      </w:r>
      <w:r w:rsidRPr="00680B5B">
        <w:rPr>
          <w:rFonts w:ascii="Times New Roman" w:hAnsi="Times New Roman" w:cs="Times New Roman"/>
        </w:rPr>
        <w:t>liberação</w:t>
      </w:r>
      <w:r w:rsidRPr="00680B5B">
        <w:rPr>
          <w:rFonts w:ascii="Times New Roman" w:hAnsi="Times New Roman" w:cs="Times New Roman"/>
          <w:spacing w:val="-2"/>
        </w:rPr>
        <w:t xml:space="preserve"> </w:t>
      </w:r>
      <w:r w:rsidRPr="00680B5B">
        <w:rPr>
          <w:rFonts w:ascii="Times New Roman" w:hAnsi="Times New Roman" w:cs="Times New Roman"/>
        </w:rPr>
        <w:t>ou indeferimento da</w:t>
      </w:r>
      <w:r w:rsidRPr="00680B5B">
        <w:rPr>
          <w:rFonts w:ascii="Times New Roman" w:hAnsi="Times New Roman" w:cs="Times New Roman"/>
          <w:spacing w:val="-3"/>
        </w:rPr>
        <w:t xml:space="preserve"> </w:t>
      </w:r>
      <w:r w:rsidRPr="00680B5B">
        <w:rPr>
          <w:rFonts w:ascii="Times New Roman" w:hAnsi="Times New Roman" w:cs="Times New Roman"/>
        </w:rPr>
        <w:t>mesma;</w:t>
      </w:r>
    </w:p>
    <w:p w14:paraId="4C8DB143"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Possibilitar</w:t>
      </w:r>
      <w:r w:rsidRPr="00680B5B">
        <w:rPr>
          <w:rFonts w:ascii="Times New Roman" w:hAnsi="Times New Roman" w:cs="Times New Roman"/>
          <w:spacing w:val="-3"/>
        </w:rPr>
        <w:t xml:space="preserve"> </w:t>
      </w:r>
      <w:r w:rsidRPr="00680B5B">
        <w:rPr>
          <w:rFonts w:ascii="Times New Roman" w:hAnsi="Times New Roman" w:cs="Times New Roman"/>
        </w:rPr>
        <w:t>o</w:t>
      </w:r>
      <w:r w:rsidRPr="00680B5B">
        <w:rPr>
          <w:rFonts w:ascii="Times New Roman" w:hAnsi="Times New Roman" w:cs="Times New Roman"/>
          <w:spacing w:val="-6"/>
        </w:rPr>
        <w:t xml:space="preserve"> </w:t>
      </w:r>
      <w:r w:rsidRPr="00680B5B">
        <w:rPr>
          <w:rFonts w:ascii="Times New Roman" w:hAnsi="Times New Roman" w:cs="Times New Roman"/>
        </w:rPr>
        <w:t>usuário</w:t>
      </w:r>
      <w:r w:rsidRPr="00680B5B">
        <w:rPr>
          <w:rFonts w:ascii="Times New Roman" w:hAnsi="Times New Roman" w:cs="Times New Roman"/>
          <w:spacing w:val="-4"/>
        </w:rPr>
        <w:t xml:space="preserve"> </w:t>
      </w:r>
      <w:r w:rsidRPr="00680B5B">
        <w:rPr>
          <w:rFonts w:ascii="Times New Roman" w:hAnsi="Times New Roman" w:cs="Times New Roman"/>
        </w:rPr>
        <w:t>emissor</w:t>
      </w:r>
      <w:r w:rsidRPr="00680B5B">
        <w:rPr>
          <w:rFonts w:ascii="Times New Roman" w:hAnsi="Times New Roman" w:cs="Times New Roman"/>
          <w:spacing w:val="-4"/>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NFSE</w:t>
      </w:r>
      <w:r w:rsidRPr="00680B5B">
        <w:rPr>
          <w:rFonts w:ascii="Times New Roman" w:hAnsi="Times New Roman" w:cs="Times New Roman"/>
          <w:spacing w:val="-3"/>
        </w:rPr>
        <w:t xml:space="preserve"> </w:t>
      </w:r>
      <w:r w:rsidRPr="00680B5B">
        <w:rPr>
          <w:rFonts w:ascii="Times New Roman" w:hAnsi="Times New Roman" w:cs="Times New Roman"/>
        </w:rPr>
        <w:t>verificar</w:t>
      </w:r>
      <w:r w:rsidRPr="00680B5B">
        <w:rPr>
          <w:rFonts w:ascii="Times New Roman" w:hAnsi="Times New Roman" w:cs="Times New Roman"/>
          <w:spacing w:val="-6"/>
        </w:rPr>
        <w:t xml:space="preserve"> </w:t>
      </w:r>
      <w:r w:rsidRPr="00680B5B">
        <w:rPr>
          <w:rFonts w:ascii="Times New Roman" w:hAnsi="Times New Roman" w:cs="Times New Roman"/>
        </w:rPr>
        <w:t>na</w:t>
      </w:r>
      <w:r w:rsidRPr="00680B5B">
        <w:rPr>
          <w:rFonts w:ascii="Times New Roman" w:hAnsi="Times New Roman" w:cs="Times New Roman"/>
          <w:spacing w:val="-6"/>
        </w:rPr>
        <w:t xml:space="preserve"> </w:t>
      </w:r>
      <w:r w:rsidRPr="00680B5B">
        <w:rPr>
          <w:rFonts w:ascii="Times New Roman" w:hAnsi="Times New Roman" w:cs="Times New Roman"/>
        </w:rPr>
        <w:t>tela</w:t>
      </w:r>
      <w:r w:rsidRPr="00680B5B">
        <w:rPr>
          <w:rFonts w:ascii="Times New Roman" w:hAnsi="Times New Roman" w:cs="Times New Roman"/>
          <w:spacing w:val="-5"/>
        </w:rPr>
        <w:t xml:space="preserve"> </w:t>
      </w:r>
      <w:r w:rsidRPr="00680B5B">
        <w:rPr>
          <w:rFonts w:ascii="Times New Roman" w:hAnsi="Times New Roman" w:cs="Times New Roman"/>
        </w:rPr>
        <w:t>de</w:t>
      </w:r>
      <w:r w:rsidRPr="00680B5B">
        <w:rPr>
          <w:rFonts w:ascii="Times New Roman" w:hAnsi="Times New Roman" w:cs="Times New Roman"/>
          <w:spacing w:val="-6"/>
        </w:rPr>
        <w:t xml:space="preserve"> </w:t>
      </w:r>
      <w:r w:rsidRPr="00680B5B">
        <w:rPr>
          <w:rFonts w:ascii="Times New Roman" w:hAnsi="Times New Roman" w:cs="Times New Roman"/>
        </w:rPr>
        <w:t>emissão,</w:t>
      </w:r>
      <w:r w:rsidRPr="00680B5B">
        <w:rPr>
          <w:rFonts w:ascii="Times New Roman" w:hAnsi="Times New Roman" w:cs="Times New Roman"/>
          <w:spacing w:val="-5"/>
        </w:rPr>
        <w:t xml:space="preserve"> </w:t>
      </w:r>
      <w:r w:rsidRPr="00680B5B">
        <w:rPr>
          <w:rFonts w:ascii="Times New Roman" w:hAnsi="Times New Roman" w:cs="Times New Roman"/>
        </w:rPr>
        <w:t>o</w:t>
      </w:r>
      <w:r w:rsidRPr="00680B5B">
        <w:rPr>
          <w:rFonts w:ascii="Times New Roman" w:hAnsi="Times New Roman" w:cs="Times New Roman"/>
          <w:spacing w:val="-6"/>
        </w:rPr>
        <w:t xml:space="preserve"> </w:t>
      </w:r>
      <w:r w:rsidRPr="00680B5B">
        <w:rPr>
          <w:rFonts w:ascii="Times New Roman" w:hAnsi="Times New Roman" w:cs="Times New Roman"/>
        </w:rPr>
        <w:t>total</w:t>
      </w:r>
      <w:r w:rsidRPr="00680B5B">
        <w:rPr>
          <w:rFonts w:ascii="Times New Roman" w:hAnsi="Times New Roman" w:cs="Times New Roman"/>
          <w:spacing w:val="-6"/>
        </w:rPr>
        <w:t xml:space="preserve"> </w:t>
      </w:r>
      <w:r w:rsidRPr="00680B5B">
        <w:rPr>
          <w:rFonts w:ascii="Times New Roman" w:hAnsi="Times New Roman" w:cs="Times New Roman"/>
        </w:rPr>
        <w:t>de</w:t>
      </w:r>
      <w:r w:rsidRPr="00680B5B">
        <w:rPr>
          <w:rFonts w:ascii="Times New Roman" w:hAnsi="Times New Roman" w:cs="Times New Roman"/>
          <w:spacing w:val="-2"/>
        </w:rPr>
        <w:t xml:space="preserve"> </w:t>
      </w:r>
      <w:r w:rsidRPr="00680B5B">
        <w:rPr>
          <w:rFonts w:ascii="Times New Roman" w:hAnsi="Times New Roman" w:cs="Times New Roman"/>
        </w:rPr>
        <w:t>ISSQN</w:t>
      </w:r>
      <w:r w:rsidRPr="00680B5B">
        <w:rPr>
          <w:rFonts w:ascii="Times New Roman" w:hAnsi="Times New Roman" w:cs="Times New Roman"/>
          <w:spacing w:val="-52"/>
        </w:rPr>
        <w:t xml:space="preserve"> </w:t>
      </w:r>
      <w:r w:rsidRPr="00680B5B">
        <w:rPr>
          <w:rFonts w:ascii="Times New Roman" w:hAnsi="Times New Roman" w:cs="Times New Roman"/>
        </w:rPr>
        <w:t>de suas notas</w:t>
      </w:r>
      <w:r w:rsidRPr="00680B5B">
        <w:rPr>
          <w:rFonts w:ascii="Times New Roman" w:hAnsi="Times New Roman" w:cs="Times New Roman"/>
          <w:spacing w:val="-2"/>
        </w:rPr>
        <w:t xml:space="preserve"> </w:t>
      </w:r>
      <w:r w:rsidRPr="00680B5B">
        <w:rPr>
          <w:rFonts w:ascii="Times New Roman" w:hAnsi="Times New Roman" w:cs="Times New Roman"/>
        </w:rPr>
        <w:t>emitidas</w:t>
      </w:r>
      <w:r w:rsidRPr="00680B5B">
        <w:rPr>
          <w:rFonts w:ascii="Times New Roman" w:hAnsi="Times New Roman" w:cs="Times New Roman"/>
          <w:spacing w:val="-2"/>
        </w:rPr>
        <w:t xml:space="preserve"> </w:t>
      </w:r>
      <w:r w:rsidRPr="00680B5B">
        <w:rPr>
          <w:rFonts w:ascii="Times New Roman" w:hAnsi="Times New Roman" w:cs="Times New Roman"/>
        </w:rPr>
        <w:t>na competência</w:t>
      </w:r>
      <w:r w:rsidRPr="00680B5B">
        <w:rPr>
          <w:rFonts w:ascii="Times New Roman" w:hAnsi="Times New Roman" w:cs="Times New Roman"/>
          <w:spacing w:val="-2"/>
        </w:rPr>
        <w:t xml:space="preserve"> </w:t>
      </w:r>
      <w:r w:rsidRPr="00680B5B">
        <w:rPr>
          <w:rFonts w:ascii="Times New Roman" w:hAnsi="Times New Roman" w:cs="Times New Roman"/>
        </w:rPr>
        <w:t>atual;</w:t>
      </w:r>
    </w:p>
    <w:p w14:paraId="72D64721"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o contribuinte emissor de nota, parametrizar a utilização de canhoto a ser</w:t>
      </w:r>
      <w:r w:rsidRPr="00680B5B">
        <w:rPr>
          <w:rFonts w:ascii="Times New Roman" w:hAnsi="Times New Roman" w:cs="Times New Roman"/>
          <w:spacing w:val="-52"/>
        </w:rPr>
        <w:t xml:space="preserve"> </w:t>
      </w:r>
      <w:r w:rsidRPr="00680B5B">
        <w:rPr>
          <w:rFonts w:ascii="Times New Roman" w:hAnsi="Times New Roman" w:cs="Times New Roman"/>
        </w:rPr>
        <w:t>impresso</w:t>
      </w:r>
      <w:r w:rsidRPr="00680B5B">
        <w:rPr>
          <w:rFonts w:ascii="Times New Roman" w:hAnsi="Times New Roman" w:cs="Times New Roman"/>
          <w:spacing w:val="-1"/>
        </w:rPr>
        <w:t xml:space="preserve"> </w:t>
      </w:r>
      <w:r w:rsidRPr="00680B5B">
        <w:rPr>
          <w:rFonts w:ascii="Times New Roman" w:hAnsi="Times New Roman" w:cs="Times New Roman"/>
        </w:rPr>
        <w:t>junto</w:t>
      </w:r>
      <w:r w:rsidRPr="00680B5B">
        <w:rPr>
          <w:rFonts w:ascii="Times New Roman" w:hAnsi="Times New Roman" w:cs="Times New Roman"/>
          <w:spacing w:val="-2"/>
        </w:rPr>
        <w:t xml:space="preserve"> </w:t>
      </w:r>
      <w:r w:rsidRPr="00680B5B">
        <w:rPr>
          <w:rFonts w:ascii="Times New Roman" w:hAnsi="Times New Roman" w:cs="Times New Roman"/>
        </w:rPr>
        <w:t>a NFSE;</w:t>
      </w:r>
    </w:p>
    <w:p w14:paraId="2173BD7E"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w:t>
      </w:r>
      <w:r w:rsidRPr="00680B5B">
        <w:rPr>
          <w:rFonts w:ascii="Times New Roman" w:hAnsi="Times New Roman" w:cs="Times New Roman"/>
          <w:spacing w:val="-1"/>
        </w:rPr>
        <w:t xml:space="preserve"> </w:t>
      </w:r>
      <w:r w:rsidRPr="00680B5B">
        <w:rPr>
          <w:rFonts w:ascii="Times New Roman" w:hAnsi="Times New Roman" w:cs="Times New Roman"/>
        </w:rPr>
        <w:t>selecionar</w:t>
      </w:r>
      <w:r w:rsidRPr="00680B5B">
        <w:rPr>
          <w:rFonts w:ascii="Times New Roman" w:hAnsi="Times New Roman" w:cs="Times New Roman"/>
          <w:spacing w:val="-1"/>
        </w:rPr>
        <w:t xml:space="preserve"> </w:t>
      </w:r>
      <w:r w:rsidRPr="00680B5B">
        <w:rPr>
          <w:rFonts w:ascii="Times New Roman" w:hAnsi="Times New Roman" w:cs="Times New Roman"/>
        </w:rPr>
        <w:t>se</w:t>
      </w:r>
      <w:r w:rsidRPr="00680B5B">
        <w:rPr>
          <w:rFonts w:ascii="Times New Roman" w:hAnsi="Times New Roman" w:cs="Times New Roman"/>
          <w:spacing w:val="-1"/>
        </w:rPr>
        <w:t xml:space="preserve"> </w:t>
      </w:r>
      <w:r w:rsidRPr="00680B5B">
        <w:rPr>
          <w:rFonts w:ascii="Times New Roman" w:hAnsi="Times New Roman" w:cs="Times New Roman"/>
        </w:rPr>
        <w:t>o</w:t>
      </w:r>
      <w:r w:rsidRPr="00680B5B">
        <w:rPr>
          <w:rFonts w:ascii="Times New Roman" w:hAnsi="Times New Roman" w:cs="Times New Roman"/>
          <w:spacing w:val="-4"/>
        </w:rPr>
        <w:t xml:space="preserve"> </w:t>
      </w:r>
      <w:r w:rsidRPr="00680B5B">
        <w:rPr>
          <w:rFonts w:ascii="Times New Roman" w:hAnsi="Times New Roman" w:cs="Times New Roman"/>
        </w:rPr>
        <w:t>campo</w:t>
      </w:r>
      <w:r w:rsidRPr="00680B5B">
        <w:rPr>
          <w:rFonts w:ascii="Times New Roman" w:hAnsi="Times New Roman" w:cs="Times New Roman"/>
          <w:spacing w:val="-1"/>
        </w:rPr>
        <w:t xml:space="preserve"> </w:t>
      </w:r>
      <w:r w:rsidRPr="00680B5B">
        <w:rPr>
          <w:rFonts w:ascii="Times New Roman" w:hAnsi="Times New Roman" w:cs="Times New Roman"/>
        </w:rPr>
        <w:t>valor</w:t>
      </w:r>
      <w:r w:rsidRPr="00680B5B">
        <w:rPr>
          <w:rFonts w:ascii="Times New Roman" w:hAnsi="Times New Roman" w:cs="Times New Roman"/>
          <w:spacing w:val="-1"/>
        </w:rPr>
        <w:t xml:space="preserve"> </w:t>
      </w:r>
      <w:r w:rsidRPr="00680B5B">
        <w:rPr>
          <w:rFonts w:ascii="Times New Roman" w:hAnsi="Times New Roman" w:cs="Times New Roman"/>
        </w:rPr>
        <w:t>líquido</w:t>
      </w:r>
      <w:r w:rsidRPr="00680B5B">
        <w:rPr>
          <w:rFonts w:ascii="Times New Roman" w:hAnsi="Times New Roman" w:cs="Times New Roman"/>
          <w:spacing w:val="-1"/>
        </w:rPr>
        <w:t xml:space="preserve"> </w:t>
      </w:r>
      <w:r w:rsidRPr="00680B5B">
        <w:rPr>
          <w:rFonts w:ascii="Times New Roman" w:hAnsi="Times New Roman" w:cs="Times New Roman"/>
        </w:rPr>
        <w:t>será</w:t>
      </w:r>
      <w:r w:rsidRPr="00680B5B">
        <w:rPr>
          <w:rFonts w:ascii="Times New Roman" w:hAnsi="Times New Roman" w:cs="Times New Roman"/>
          <w:spacing w:val="-3"/>
        </w:rPr>
        <w:t xml:space="preserve"> </w:t>
      </w:r>
      <w:r w:rsidRPr="00680B5B">
        <w:rPr>
          <w:rFonts w:ascii="Times New Roman" w:hAnsi="Times New Roman" w:cs="Times New Roman"/>
        </w:rPr>
        <w:t>descriminado</w:t>
      </w:r>
      <w:r w:rsidRPr="00680B5B">
        <w:rPr>
          <w:rFonts w:ascii="Times New Roman" w:hAnsi="Times New Roman" w:cs="Times New Roman"/>
          <w:spacing w:val="-3"/>
        </w:rPr>
        <w:t xml:space="preserve"> </w:t>
      </w:r>
      <w:r w:rsidRPr="00680B5B">
        <w:rPr>
          <w:rFonts w:ascii="Times New Roman" w:hAnsi="Times New Roman" w:cs="Times New Roman"/>
        </w:rPr>
        <w:t>no</w:t>
      </w:r>
      <w:r w:rsidRPr="00680B5B">
        <w:rPr>
          <w:rFonts w:ascii="Times New Roman" w:hAnsi="Times New Roman" w:cs="Times New Roman"/>
          <w:spacing w:val="-1"/>
        </w:rPr>
        <w:t xml:space="preserve"> </w:t>
      </w:r>
      <w:r w:rsidRPr="00680B5B">
        <w:rPr>
          <w:rFonts w:ascii="Times New Roman" w:hAnsi="Times New Roman" w:cs="Times New Roman"/>
        </w:rPr>
        <w:t>corpo</w:t>
      </w:r>
      <w:r w:rsidRPr="00680B5B">
        <w:rPr>
          <w:rFonts w:ascii="Times New Roman" w:hAnsi="Times New Roman" w:cs="Times New Roman"/>
          <w:spacing w:val="-4"/>
        </w:rPr>
        <w:t xml:space="preserve"> </w:t>
      </w:r>
      <w:r w:rsidRPr="00680B5B">
        <w:rPr>
          <w:rFonts w:ascii="Times New Roman" w:hAnsi="Times New Roman" w:cs="Times New Roman"/>
        </w:rPr>
        <w:t>da</w:t>
      </w:r>
      <w:r w:rsidRPr="00680B5B">
        <w:rPr>
          <w:rFonts w:ascii="Times New Roman" w:hAnsi="Times New Roman" w:cs="Times New Roman"/>
          <w:spacing w:val="-2"/>
        </w:rPr>
        <w:t xml:space="preserve"> </w:t>
      </w:r>
      <w:r w:rsidRPr="00680B5B">
        <w:rPr>
          <w:rFonts w:ascii="Times New Roman" w:hAnsi="Times New Roman" w:cs="Times New Roman"/>
        </w:rPr>
        <w:t>NFS-e;</w:t>
      </w:r>
    </w:p>
    <w:p w14:paraId="70395207"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rPr>
        <w:t>Permitir ao contribuinte no momento da emissão da NFSE, informar a forma de</w:t>
      </w:r>
      <w:r w:rsidRPr="00680B5B">
        <w:rPr>
          <w:rFonts w:ascii="Times New Roman" w:hAnsi="Times New Roman" w:cs="Times New Roman"/>
          <w:spacing w:val="1"/>
        </w:rPr>
        <w:t xml:space="preserve"> </w:t>
      </w:r>
      <w:r w:rsidRPr="00680B5B">
        <w:rPr>
          <w:rFonts w:ascii="Times New Roman" w:hAnsi="Times New Roman" w:cs="Times New Roman"/>
        </w:rPr>
        <w:t>pagamento da mesma, com as opções à vista, a prazo, cartão de débito e cartão de crédito.</w:t>
      </w:r>
      <w:r w:rsidRPr="00680B5B">
        <w:rPr>
          <w:rFonts w:ascii="Times New Roman" w:hAnsi="Times New Roman" w:cs="Times New Roman"/>
          <w:spacing w:val="1"/>
        </w:rPr>
        <w:t xml:space="preserve"> </w:t>
      </w:r>
      <w:r w:rsidRPr="00680B5B">
        <w:rPr>
          <w:rFonts w:ascii="Times New Roman" w:hAnsi="Times New Roman" w:cs="Times New Roman"/>
        </w:rPr>
        <w:t>Para as opções a prazo e cartão de crédito, deverá permitir informar o número de parcelas e</w:t>
      </w:r>
      <w:r w:rsidRPr="00680B5B">
        <w:rPr>
          <w:rFonts w:ascii="Times New Roman" w:hAnsi="Times New Roman" w:cs="Times New Roman"/>
          <w:spacing w:val="1"/>
        </w:rPr>
        <w:t xml:space="preserve"> </w:t>
      </w:r>
      <w:r w:rsidRPr="00680B5B">
        <w:rPr>
          <w:rFonts w:ascii="Times New Roman" w:hAnsi="Times New Roman" w:cs="Times New Roman"/>
        </w:rPr>
        <w:t>suas</w:t>
      </w:r>
      <w:r w:rsidRPr="00680B5B">
        <w:rPr>
          <w:rFonts w:ascii="Times New Roman" w:hAnsi="Times New Roman" w:cs="Times New Roman"/>
          <w:spacing w:val="-1"/>
        </w:rPr>
        <w:t xml:space="preserve"> </w:t>
      </w:r>
      <w:r w:rsidRPr="00680B5B">
        <w:rPr>
          <w:rFonts w:ascii="Times New Roman" w:hAnsi="Times New Roman" w:cs="Times New Roman"/>
        </w:rPr>
        <w:t>respectivas</w:t>
      </w:r>
      <w:r w:rsidRPr="00680B5B">
        <w:rPr>
          <w:rFonts w:ascii="Times New Roman" w:hAnsi="Times New Roman" w:cs="Times New Roman"/>
          <w:spacing w:val="-2"/>
        </w:rPr>
        <w:t xml:space="preserve"> </w:t>
      </w:r>
      <w:r w:rsidRPr="00680B5B">
        <w:rPr>
          <w:rFonts w:ascii="Times New Roman" w:hAnsi="Times New Roman" w:cs="Times New Roman"/>
        </w:rPr>
        <w:t>datas</w:t>
      </w:r>
      <w:r w:rsidRPr="00680B5B">
        <w:rPr>
          <w:rFonts w:ascii="Times New Roman" w:hAnsi="Times New Roman" w:cs="Times New Roman"/>
          <w:spacing w:val="-2"/>
        </w:rPr>
        <w:t xml:space="preserve"> </w:t>
      </w:r>
      <w:r w:rsidRPr="00680B5B">
        <w:rPr>
          <w:rFonts w:ascii="Times New Roman" w:hAnsi="Times New Roman" w:cs="Times New Roman"/>
        </w:rPr>
        <w:t>de</w:t>
      </w:r>
      <w:r w:rsidRPr="00680B5B">
        <w:rPr>
          <w:rFonts w:ascii="Times New Roman" w:hAnsi="Times New Roman" w:cs="Times New Roman"/>
          <w:spacing w:val="1"/>
        </w:rPr>
        <w:t xml:space="preserve"> </w:t>
      </w:r>
      <w:r w:rsidRPr="00680B5B">
        <w:rPr>
          <w:rFonts w:ascii="Times New Roman" w:hAnsi="Times New Roman" w:cs="Times New Roman"/>
        </w:rPr>
        <w:t>vencimento;</w:t>
      </w:r>
    </w:p>
    <w:p w14:paraId="620CCCC7"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spacing w:val="-1"/>
        </w:rPr>
        <w:t>Permitir</w:t>
      </w:r>
      <w:r w:rsidRPr="00680B5B">
        <w:rPr>
          <w:rFonts w:ascii="Times New Roman" w:hAnsi="Times New Roman" w:cs="Times New Roman"/>
          <w:spacing w:val="-11"/>
        </w:rPr>
        <w:t xml:space="preserve"> </w:t>
      </w:r>
      <w:r w:rsidRPr="00680B5B">
        <w:rPr>
          <w:rFonts w:ascii="Times New Roman" w:hAnsi="Times New Roman" w:cs="Times New Roman"/>
          <w:spacing w:val="-1"/>
        </w:rPr>
        <w:t>ao</w:t>
      </w:r>
      <w:r w:rsidRPr="00680B5B">
        <w:rPr>
          <w:rFonts w:ascii="Times New Roman" w:hAnsi="Times New Roman" w:cs="Times New Roman"/>
          <w:spacing w:val="-13"/>
        </w:rPr>
        <w:t xml:space="preserve"> </w:t>
      </w:r>
      <w:r w:rsidRPr="00680B5B">
        <w:rPr>
          <w:rFonts w:ascii="Times New Roman" w:hAnsi="Times New Roman" w:cs="Times New Roman"/>
          <w:spacing w:val="-1"/>
        </w:rPr>
        <w:t>usuário</w:t>
      </w:r>
      <w:r w:rsidRPr="00680B5B">
        <w:rPr>
          <w:rFonts w:ascii="Times New Roman" w:hAnsi="Times New Roman" w:cs="Times New Roman"/>
          <w:spacing w:val="-13"/>
        </w:rPr>
        <w:t xml:space="preserve"> </w:t>
      </w:r>
      <w:r w:rsidRPr="00680B5B">
        <w:rPr>
          <w:rFonts w:ascii="Times New Roman" w:hAnsi="Times New Roman" w:cs="Times New Roman"/>
          <w:spacing w:val="-1"/>
        </w:rPr>
        <w:t>informar</w:t>
      </w:r>
      <w:r w:rsidRPr="00680B5B">
        <w:rPr>
          <w:rFonts w:ascii="Times New Roman" w:hAnsi="Times New Roman" w:cs="Times New Roman"/>
          <w:spacing w:val="-11"/>
        </w:rPr>
        <w:t xml:space="preserve"> </w:t>
      </w:r>
      <w:r w:rsidRPr="00680B5B">
        <w:rPr>
          <w:rFonts w:ascii="Times New Roman" w:hAnsi="Times New Roman" w:cs="Times New Roman"/>
        </w:rPr>
        <w:t>a</w:t>
      </w:r>
      <w:r w:rsidRPr="00680B5B">
        <w:rPr>
          <w:rFonts w:ascii="Times New Roman" w:hAnsi="Times New Roman" w:cs="Times New Roman"/>
          <w:spacing w:val="-11"/>
        </w:rPr>
        <w:t xml:space="preserve"> </w:t>
      </w:r>
      <w:r w:rsidRPr="00680B5B">
        <w:rPr>
          <w:rFonts w:ascii="Times New Roman" w:hAnsi="Times New Roman" w:cs="Times New Roman"/>
        </w:rPr>
        <w:t>dedução</w:t>
      </w:r>
      <w:r w:rsidRPr="00680B5B">
        <w:rPr>
          <w:rFonts w:ascii="Times New Roman" w:hAnsi="Times New Roman" w:cs="Times New Roman"/>
          <w:spacing w:val="-13"/>
        </w:rPr>
        <w:t xml:space="preserve"> </w:t>
      </w:r>
      <w:r w:rsidRPr="00680B5B">
        <w:rPr>
          <w:rFonts w:ascii="Times New Roman" w:hAnsi="Times New Roman" w:cs="Times New Roman"/>
        </w:rPr>
        <w:t>de</w:t>
      </w:r>
      <w:r w:rsidRPr="00680B5B">
        <w:rPr>
          <w:rFonts w:ascii="Times New Roman" w:hAnsi="Times New Roman" w:cs="Times New Roman"/>
          <w:spacing w:val="-11"/>
        </w:rPr>
        <w:t xml:space="preserve"> </w:t>
      </w:r>
      <w:r w:rsidRPr="00680B5B">
        <w:rPr>
          <w:rFonts w:ascii="Times New Roman" w:hAnsi="Times New Roman" w:cs="Times New Roman"/>
        </w:rPr>
        <w:t>material</w:t>
      </w:r>
      <w:r w:rsidRPr="00680B5B">
        <w:rPr>
          <w:rFonts w:ascii="Times New Roman" w:hAnsi="Times New Roman" w:cs="Times New Roman"/>
          <w:spacing w:val="-11"/>
        </w:rPr>
        <w:t xml:space="preserve"> </w:t>
      </w:r>
      <w:r w:rsidRPr="00680B5B">
        <w:rPr>
          <w:rFonts w:ascii="Times New Roman" w:hAnsi="Times New Roman" w:cs="Times New Roman"/>
        </w:rPr>
        <w:t>para</w:t>
      </w:r>
      <w:r w:rsidRPr="00680B5B">
        <w:rPr>
          <w:rFonts w:ascii="Times New Roman" w:hAnsi="Times New Roman" w:cs="Times New Roman"/>
          <w:spacing w:val="-11"/>
        </w:rPr>
        <w:t xml:space="preserve"> </w:t>
      </w:r>
      <w:r w:rsidRPr="00680B5B">
        <w:rPr>
          <w:rFonts w:ascii="Times New Roman" w:hAnsi="Times New Roman" w:cs="Times New Roman"/>
        </w:rPr>
        <w:t>construção</w:t>
      </w:r>
      <w:r w:rsidRPr="00680B5B">
        <w:rPr>
          <w:rFonts w:ascii="Times New Roman" w:hAnsi="Times New Roman" w:cs="Times New Roman"/>
          <w:spacing w:val="-11"/>
        </w:rPr>
        <w:t xml:space="preserve"> </w:t>
      </w:r>
      <w:r w:rsidRPr="00680B5B">
        <w:rPr>
          <w:rFonts w:ascii="Times New Roman" w:hAnsi="Times New Roman" w:cs="Times New Roman"/>
        </w:rPr>
        <w:t>civil,</w:t>
      </w:r>
      <w:r w:rsidRPr="00680B5B">
        <w:rPr>
          <w:rFonts w:ascii="Times New Roman" w:hAnsi="Times New Roman" w:cs="Times New Roman"/>
          <w:spacing w:val="-12"/>
        </w:rPr>
        <w:t xml:space="preserve"> </w:t>
      </w:r>
      <w:r w:rsidRPr="00680B5B">
        <w:rPr>
          <w:rFonts w:ascii="Times New Roman" w:hAnsi="Times New Roman" w:cs="Times New Roman"/>
        </w:rPr>
        <w:t>em</w:t>
      </w:r>
      <w:r w:rsidRPr="00680B5B">
        <w:rPr>
          <w:rFonts w:ascii="Times New Roman" w:hAnsi="Times New Roman" w:cs="Times New Roman"/>
          <w:spacing w:val="-11"/>
        </w:rPr>
        <w:t xml:space="preserve"> </w:t>
      </w:r>
      <w:r w:rsidRPr="00680B5B">
        <w:rPr>
          <w:rFonts w:ascii="Times New Roman" w:hAnsi="Times New Roman" w:cs="Times New Roman"/>
        </w:rPr>
        <w:t>campo</w:t>
      </w:r>
      <w:r w:rsidRPr="00680B5B">
        <w:rPr>
          <w:rFonts w:ascii="Times New Roman" w:hAnsi="Times New Roman" w:cs="Times New Roman"/>
          <w:spacing w:val="-52"/>
        </w:rPr>
        <w:t xml:space="preserve"> </w:t>
      </w:r>
      <w:r w:rsidRPr="00680B5B">
        <w:rPr>
          <w:rFonts w:ascii="Times New Roman" w:hAnsi="Times New Roman" w:cs="Times New Roman"/>
        </w:rPr>
        <w:t>específico;</w:t>
      </w:r>
    </w:p>
    <w:p w14:paraId="2018E069"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spacing w:val="-1"/>
        </w:rPr>
        <w:t>Possuir cadastro onde o contribuinte poderá informar seus fornecedores do software, permitindo que esta informação seja utilizada para comunicar atualizações;</w:t>
      </w:r>
    </w:p>
    <w:p w14:paraId="7565E81E"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spacing w:val="-1"/>
        </w:rPr>
        <w:t>Permitir definir se o preenchimento do tomador no momento da emissão da NFS-e será obrigatório ou não, permitindo ainda ter exceções para exigência desta informação;</w:t>
      </w:r>
    </w:p>
    <w:p w14:paraId="6186CE24" w14:textId="77777777" w:rsidR="00B307DB" w:rsidRPr="00680B5B" w:rsidRDefault="00B307DB" w:rsidP="00B307DB">
      <w:pPr>
        <w:pStyle w:val="TableParagraph"/>
        <w:numPr>
          <w:ilvl w:val="3"/>
          <w:numId w:val="212"/>
        </w:numPr>
        <w:tabs>
          <w:tab w:val="left" w:pos="567"/>
          <w:tab w:val="left" w:pos="2717"/>
        </w:tabs>
        <w:suppressAutoHyphens/>
        <w:autoSpaceDE/>
        <w:autoSpaceDN/>
        <w:ind w:left="0" w:right="-568" w:firstLine="0"/>
        <w:jc w:val="both"/>
        <w:rPr>
          <w:rFonts w:ascii="Times New Roman" w:hAnsi="Times New Roman" w:cs="Times New Roman"/>
        </w:rPr>
      </w:pPr>
      <w:r w:rsidRPr="00680B5B">
        <w:rPr>
          <w:rFonts w:ascii="Times New Roman" w:hAnsi="Times New Roman" w:cs="Times New Roman"/>
          <w:spacing w:val="-1"/>
        </w:rPr>
        <w:t>Possuir consulta de alíquotas do Simples Nacional, onde a empresa poderá verificar qual alíquota foi calculada para a competência com base no seu faturamento informado;</w:t>
      </w:r>
    </w:p>
    <w:p w14:paraId="0B9F360A" w14:textId="77777777" w:rsidR="00B307DB" w:rsidRPr="00680B5B" w:rsidRDefault="00B307DB" w:rsidP="00B307DB">
      <w:pPr>
        <w:pStyle w:val="Corpodetexto31"/>
        <w:tabs>
          <w:tab w:val="left" w:pos="3448"/>
        </w:tabs>
        <w:ind w:right="-568"/>
        <w:rPr>
          <w:rFonts w:ascii="Times New Roman" w:hAnsi="Times New Roman" w:cs="Times New Roman"/>
          <w:b/>
          <w:sz w:val="22"/>
          <w:szCs w:val="22"/>
        </w:rPr>
      </w:pPr>
    </w:p>
    <w:p w14:paraId="75E8D3E1"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bCs/>
        </w:rPr>
        <w:t xml:space="preserve">2.15 </w:t>
      </w:r>
      <w:r w:rsidRPr="00680B5B">
        <w:rPr>
          <w:rFonts w:ascii="Times New Roman" w:hAnsi="Times New Roman" w:cs="Times New Roman"/>
          <w:b/>
        </w:rPr>
        <w:t>MÓDULO:</w:t>
      </w:r>
      <w:r w:rsidRPr="00680B5B">
        <w:rPr>
          <w:rFonts w:ascii="Times New Roman" w:hAnsi="Times New Roman" w:cs="Times New Roman"/>
          <w:b/>
          <w:bCs/>
        </w:rPr>
        <w:t xml:space="preserve"> GESTÃO DE ARRECADAÇÃO</w:t>
      </w:r>
    </w:p>
    <w:p w14:paraId="00154C10"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Trabalhar com Cadastro Único de Contribuintes Municipais, relacionando todas as propriedades que o mesmo possua (imóvel urbano, rural, sociedades ou proprietário em empresas etc);</w:t>
      </w:r>
    </w:p>
    <w:p w14:paraId="4C13B5E3"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No Cadastro Único de Contribuinte de pessoas físicas e jurídicas, possibilitar inserção de documentos de estrangeiros e ainda permitir relacionar o estrangeiro a imóveis, dívidas, empresas, etc. A opção de anexar documentos deve possuir também para pessoas físicas e jurídicas;</w:t>
      </w:r>
    </w:p>
    <w:p w14:paraId="2B35A886"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Calcular todos os impostos ou taxas, pertinentes a cada cadastro técnico, sem a dependência de alterações nos programas de cálculo e ainda permitir cálculo individual ou geral;</w:t>
      </w:r>
    </w:p>
    <w:p w14:paraId="448EE2BD"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juros (simples, composto, Selic, fixo) no financiamento de todos os tributos;</w:t>
      </w:r>
    </w:p>
    <w:p w14:paraId="389D4022"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forma de cálculo e parâmetro de correção, multa e juros, informando a data de início para a regra de cálculo bem como, definir a forma de cálculo antecessora;</w:t>
      </w:r>
    </w:p>
    <w:p w14:paraId="03B2192B"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e gerenciar: bancos, tributos, moedas, mensagens de carnês;</w:t>
      </w:r>
    </w:p>
    <w:p w14:paraId="627C3EAA"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Classificar receitas tributárias, informando as movimentações executadas (lançamento, pagamento, remissão, restituição, cancelamento, imunidade, isenção, descontos) disponibilizando as informações para a contabilidade;</w:t>
      </w:r>
    </w:p>
    <w:p w14:paraId="537CFADD"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Inscrever em dívida ativa os débitos vencidos e não pagos;</w:t>
      </w:r>
    </w:p>
    <w:p w14:paraId="7CB0DAD4"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Ao realizar um parcelamento/reparcelamento sistema não deve criar uma nova inscrição em dívida, deve manter os históricos das origens do débito no próprio parcelamento/reparcelamento. No caso de </w:t>
      </w:r>
      <w:r w:rsidRPr="00680B5B">
        <w:rPr>
          <w:rFonts w:ascii="Times New Roman" w:hAnsi="Times New Roman" w:cs="Times New Roman"/>
        </w:rPr>
        <w:lastRenderedPageBreak/>
        <w:t xml:space="preserve">rompimento do parcelamento acrescer nova sequência em cada origem com o saldo restante, ou então, se não houver nenhuma parcela paga, voltam as dívidas de origem; </w:t>
      </w:r>
    </w:p>
    <w:p w14:paraId="27C80275"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Imprimir carnê com código de barras padrão FEBRABAN;</w:t>
      </w:r>
    </w:p>
    <w:p w14:paraId="3F131DB1"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Guia Única de pelo menos: IPTU, ISS e taxas.</w:t>
      </w:r>
    </w:p>
    <w:p w14:paraId="5B66EB50"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nas guias de pagamento: Data Limite válida, acréscimos legais (Juros, Multa e Correção Monetária), Desconto, associando a um código único de baixa;</w:t>
      </w:r>
    </w:p>
    <w:p w14:paraId="165E3801"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2° via de guias de recolhimentos de tributos/taxas;</w:t>
      </w:r>
    </w:p>
    <w:p w14:paraId="37972CF8"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guia de recolhimento com diversos tipos de modelos, obedecendo às regras exigidas no convênio bancário;</w:t>
      </w:r>
    </w:p>
    <w:p w14:paraId="3DA4FF2F"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várias moedas, tendo a facilidade de cadastramento de valores de indexadores para intervalos de datas;</w:t>
      </w:r>
    </w:p>
    <w:p w14:paraId="7DDE86C9"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dias não úteis para fins de cálculo de atualização monetária;</w:t>
      </w:r>
    </w:p>
    <w:p w14:paraId="5CE5CF9E"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Habilitar a verificação de autenticidade de certidões de débitos emitidas on-line;</w:t>
      </w:r>
    </w:p>
    <w:p w14:paraId="775AD150"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digitação manual ou através de leitura de código de barras de carnes recebidos/devolvidos, informando o motivo da devolução e permitir o registro e controle de entrega e devolução de documentos emitidos podendo registrar/devolver: Carnês, Notificações, aviso de débitos, certidão, termo de parcelamento. Permitir registrar a entrega e devolução de forma Individual e/ou geral. No registro de entrega/Devolução poder adicionar arquivos/imagens.</w:t>
      </w:r>
    </w:p>
    <w:p w14:paraId="721CDFFF"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Consultar documentos devolvidos e entregues;</w:t>
      </w:r>
    </w:p>
    <w:p w14:paraId="58CA363E"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Certidão Negativa, Positiva e Positiva com Efeito de Negativa de tributos municipais;</w:t>
      </w:r>
    </w:p>
    <w:p w14:paraId="608FC50F"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Certidão Positiva com efeito Negativa, para contribuintes que possuir débitos parcelados, com situação a vencer, sendo débitos em exercício ou em dívida ativa;</w:t>
      </w:r>
    </w:p>
    <w:p w14:paraId="0687B6CE"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cálculo de restituição parcial ou total do débito;</w:t>
      </w:r>
    </w:p>
    <w:p w14:paraId="1F7CB4F6"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gerar um único lançamento tributário de um (imóvel, contribuinte e/ou empresa) contendo vários tributos (impostos e taxas);  </w:t>
      </w:r>
    </w:p>
    <w:p w14:paraId="0E36F6B8"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baixas de pagamento dos débitos de qualquer origem tributária forma centralizada, através dos movimentos de arrecadação fornecidos pelos Bancos, realizando diferenciação entre data de pagamento e data de baixa;</w:t>
      </w:r>
    </w:p>
    <w:p w14:paraId="6DA3B0E8"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diferenças de pagamento de forma automática e centralizada, podendo realizar lançamento complementar da diferença (quando recolhimento a menor), para o contribuinte ou para o banco responsável pelo recolhimento, e permitir ainda definir um valor mínimo para o lançamento da diferença.</w:t>
      </w:r>
    </w:p>
    <w:p w14:paraId="3BC699BC"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Baixar pagamentos por lote e impossibilitar qualquer alteração no lote de pagamento a partir do momento que a contabilidade tiver realizado os devidos lançamentos de receita;</w:t>
      </w:r>
    </w:p>
    <w:p w14:paraId="4D04990A"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Propiciar que na consulta de extrato de débitos seja pesquisado de forma individual por contribuinte, por cadastros (imobiliário e econômico), com ações de: emitir a guia de recolhimento, parcelar, cancelar parcelamentos, bem como a impressão do relatório em layout totalmente configurável;</w:t>
      </w:r>
    </w:p>
    <w:p w14:paraId="446FE302"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w:t>
      </w:r>
      <w:r w:rsidRPr="00680B5B">
        <w:rPr>
          <w:rFonts w:ascii="Times New Roman" w:hAnsi="Times New Roman" w:cs="Times New Roman"/>
        </w:rPr>
        <w:tab/>
        <w:t>todo conjunto de fórmulas relativas ao cálculo dos tributos;</w:t>
      </w:r>
    </w:p>
    <w:p w14:paraId="13649D6B"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relatórios com as parcelas arrecadadas por tributo, com no mínimo os filtros de: data de pagamento, data de crédito, lote, receita, banco e agência;</w:t>
      </w:r>
    </w:p>
    <w:p w14:paraId="15F7D59C"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totalmente o layout dos modelos de carnês, inclusive quanto ao tamanho do papel a ser utilizado;</w:t>
      </w:r>
    </w:p>
    <w:p w14:paraId="5FCA7CF0"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relacionamento com protocolo em processos de: cancelamento, suspensão e remissão de qualquer lançamento tributário, com possibilidade de incluir o motivo e uma observação;</w:t>
      </w:r>
    </w:p>
    <w:p w14:paraId="7627F706"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Simular lançamentos de qualquer receita, não interferindo nos lançamentos que estão ativos, a partir da simulação pode-se efetivar os lançamentos;</w:t>
      </w:r>
    </w:p>
    <w:p w14:paraId="763C9A56"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tipos de isenções, bem como a identificação da receita que poderá ser isenta;</w:t>
      </w:r>
    </w:p>
    <w:p w14:paraId="0DF9CA82"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definir o método de deferimento/Indeferimento da Isenção por processo, possibilitando, por exemplo, de forma automatizada validar se o contribuinte possui débitos vencidos e indeferir automaticamente a isenção, e/ou se possuir mais de um imóvel indeferir automaticamente a solicitação de isenção.</w:t>
      </w:r>
    </w:p>
    <w:p w14:paraId="42DA9B0B"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recálculos de lançamentos, possibilitando ao usuário definir se será descontado os valores pagos da referida dívida e, lançar a diferença ou gerar o crédito automático ao cidadão (caso o valor pago for maior que o recalculo),  ou não deduzir os valores pagos.</w:t>
      </w:r>
    </w:p>
    <w:p w14:paraId="577AC937"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a quantidade de tributos necessários para o cálculo de qualquer taxa ou imposto realizada pelo município;</w:t>
      </w:r>
    </w:p>
    <w:p w14:paraId="1C86231E"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Lançar um crédito tributário em várias modalidades de opções de pagamento, possuindo sempre uma como principal optada e as demais não optadas. Por exemplo, permitir lançar IPTU com duas opções de vencimento em cota única com descontos diferenciados, e uma opção parcelada.</w:t>
      </w:r>
    </w:p>
    <w:p w14:paraId="60FDEB19"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Inscrever débitos de IPTU e Taxas em Dívida Ativa transferindo os demais proprietários do imóvel como coproprietários do débito;</w:t>
      </w:r>
    </w:p>
    <w:p w14:paraId="0830F693"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Propiciar que a inscrição em dívida ativa seja realizada por tributo do lançamento, ou até mesmo agrupada em apenas um único lançamento em dívida, várias parcelas vencidas do exercício, configurando de acordo com a classificação do débito;</w:t>
      </w:r>
    </w:p>
    <w:p w14:paraId="59702CBC"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Propiciar que na transferência para Dívida Ativa seja cobrada uma taxa por Inscrição, podendo ser percentual ou valor;</w:t>
      </w:r>
    </w:p>
    <w:p w14:paraId="3F70FF24"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Lançar crédito tributário considerando o desconto diferenciado, ou seja, um desconto reduzido para contribuintes que possuírem débitos vencidos;</w:t>
      </w:r>
    </w:p>
    <w:p w14:paraId="6CF8CF8F"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um valor mínimo para o lançamento de um crédito tributário de acordo com cada classificação, informando um valor mínimo para o total do débito e também por parcela;</w:t>
      </w:r>
    </w:p>
    <w:p w14:paraId="203F85BB"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Classificar</w:t>
      </w:r>
      <w:r w:rsidRPr="00680B5B">
        <w:rPr>
          <w:rFonts w:ascii="Times New Roman" w:hAnsi="Times New Roman" w:cs="Times New Roman"/>
        </w:rPr>
        <w:tab/>
        <w:t>o</w:t>
      </w:r>
      <w:r w:rsidRPr="00680B5B">
        <w:rPr>
          <w:rFonts w:ascii="Times New Roman" w:hAnsi="Times New Roman" w:cs="Times New Roman"/>
        </w:rPr>
        <w:tab/>
        <w:t>tributo</w:t>
      </w:r>
      <w:r w:rsidRPr="00680B5B">
        <w:rPr>
          <w:rFonts w:ascii="Times New Roman" w:hAnsi="Times New Roman" w:cs="Times New Roman"/>
        </w:rPr>
        <w:tab/>
        <w:t>entre</w:t>
      </w:r>
      <w:r w:rsidRPr="00680B5B">
        <w:rPr>
          <w:rFonts w:ascii="Times New Roman" w:hAnsi="Times New Roman" w:cs="Times New Roman"/>
        </w:rPr>
        <w:tab/>
        <w:t>imposto, contribuição de melhoria e taxa;</w:t>
      </w:r>
    </w:p>
    <w:p w14:paraId="3FFA1640"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Conter histórico de todo o processamento de arquivos magnéticos que contém informações dos pagamentos realizados, habilitando o download do arquivo e consulta das críticas geradas;</w:t>
      </w:r>
    </w:p>
    <w:p w14:paraId="78345B61"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Calcular créditos tributários como IPTU e ISS de forma simulada, ou seja, enquanto estiver simulado não está disponível para o contribuinte, sendo necessária a efetivação do processo de cálculo para ser liberado ao contribuinte;</w:t>
      </w:r>
    </w:p>
    <w:p w14:paraId="0BA2990B"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Disponibilizar consulta da movimentação tributária, filtrando por período e mostrando valores de forma detalhada para conferência, entre reconhecimento de receita, valores pagos, pagos a maior, pago a menor, pagos duplicados, descontos, cancelamentos, isenções, remissões, prescrições, dação em pagamento, restituições e compensações;</w:t>
      </w:r>
    </w:p>
    <w:p w14:paraId="77D5F7C3"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Prorrogar vencimento de um débito de forma individual ou geral, por receita e/ou por período de vencimento;</w:t>
      </w:r>
    </w:p>
    <w:p w14:paraId="668ED997"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deferir de forma geral os processos de isenções via portal do cidadão, enviando e-mail automaticamente ao solicitante do resultado do processo.</w:t>
      </w:r>
    </w:p>
    <w:p w14:paraId="113E6979"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compensação de valores, sendo que os créditos pagos a maior, pagos duplicados ou até pagos de forma equivocadas, possam ser compensados com outros créditos do mesmo contribuinte ou de outro contribuinte que estejam em aberto, podendo compensar o crédito em aberto em sua totalidade ou não;</w:t>
      </w:r>
    </w:p>
    <w:p w14:paraId="226104DA"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os carnês impressos para determinado convênio estejam disponíveis para envio do arquivo com o registro do boleto impresso ao banco que o boleto foi gerado, estando disponível o envio por arquivo e por WebService;</w:t>
      </w:r>
    </w:p>
    <w:p w14:paraId="7F03D404"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integração automática dos registros bancários de carnês por integração via webservice, registrando automaticamente uma guia emitida junto ao Banco conveniado. Não gerar novo registro bancário para emissão de nova guia, caso a parcela selecionada possua um registro bancário registrado com vencimento igual ou superior ao da segunda emissão, com a finalidade de evitar gastos com taxas de registros bancários.</w:t>
      </w:r>
    </w:p>
    <w:p w14:paraId="50E99FD4"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prorrogação geral de débitos com a opção de prorrogar de forma automática os carnês existentes a vencer já registrados no banco. O sistema deverá permitir enviar o registro de prorrogação junto ao Banco conveniado.</w:t>
      </w:r>
    </w:p>
    <w:p w14:paraId="2DA563F4"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 Permitir a consulta dos carnês emitidos, contendo os seguintes dados: código de barras, linha digitável, emissor, vencimento, banco, convênio, agência, valor da guia, descontos e permitir a reimpressão do documento. Nesta mesma consulta permitir acompanhar e visualizar a situação do registro bancário contendo: Aguardando envio, registro enviado, registrado, não registrado, cancelado, pago, pedido de baixa, baixa solicitado e prorrogação.</w:t>
      </w:r>
    </w:p>
    <w:p w14:paraId="3CF85C9C"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desconto para emissão de guia unificada, podendo conceder desconto na multa ou juros na emissão via portal do cidadão e na emissão interna;</w:t>
      </w:r>
    </w:p>
    <w:p w14:paraId="1F05A5C4"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Validar na emissão de Certidão Negativa de Débitos, considerando os sócios quando for empresa, os responsáveis do cadastro quando for imóvel e o corresponsável do débito quando for dívida ativa;</w:t>
      </w:r>
    </w:p>
    <w:p w14:paraId="36B5028E"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Inicializar exercício de forma automática no dia 01/01 de cada ano de: processos, parâmetros de cálculos e parâmetros de planilhamento;</w:t>
      </w:r>
    </w:p>
    <w:p w14:paraId="592FDDD2"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Consultar Débitos em aberto do contribuinte por cadastro imobiliário ou mobiliário, exibir separadamente os débitos que estão em cobrança administrativa, judicial, cartório, bem como débitos parcelados administrativo, parcelados judiciais e parcelados em cartório;</w:t>
      </w:r>
    </w:p>
    <w:p w14:paraId="1C5DB222"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automaticamente: suspensão, cancelamento e prescrição de débitos, com prazos e parâmetros configurados, onde o sistema irá executar os procedimentos de tempo em tempo, enviando notificação e e-mail aos usuários configurados;</w:t>
      </w:r>
    </w:p>
    <w:p w14:paraId="51878AF5"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Exibir qual parâmetro foi utilizado para cálculo de correção, multa e juros ao calcular o valor atualizado de um débito;</w:t>
      </w:r>
    </w:p>
    <w:p w14:paraId="57EAB337"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posição financeira dos débitos em aberto em determinado mês, estes valores devem levar em consideração os valores abertos no final do mês informado;</w:t>
      </w:r>
    </w:p>
    <w:p w14:paraId="61EA397E"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todos os tributos com a contabilidade, registrando todas as movimentações;</w:t>
      </w:r>
    </w:p>
    <w:p w14:paraId="71AC81EB"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Integrar saldos de tributos em aberto com as respectivas contas contábeis de reconhecimento de receita, no final de cada mês, com o objetivo de atualizar para a contabilidade os valores a receber de correção, multa e juros de exercício e dívida ativa, demonstrando o saldo total a receber em cada mês, inclusive de valor original de tributo.</w:t>
      </w:r>
    </w:p>
    <w:p w14:paraId="02010AD6"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no cadastramento do tributo a Fundamentação Legal.</w:t>
      </w:r>
    </w:p>
    <w:p w14:paraId="7D096DF5"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Notificar débitos com possibilidade de adicionar guia de pagamento para contribuinte com créditos vencidos, com filtros mínimos de: bairro, contribuinte, período de vencimento dos créditos, quantidade de parcelas em atraso, valor mínimo e máximo do débito;</w:t>
      </w:r>
    </w:p>
    <w:p w14:paraId="6DCC5560"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aviso de débitos para contribuinte com créditos vencidos, com filtros mínimos de: bairro, contribuinte, período de vencimento dos créditos, quantidade de parcelas em atraso, valor mínimo e máximo do débito;</w:t>
      </w:r>
    </w:p>
    <w:p w14:paraId="52F44114"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Exportar dados de avisos/notificação de débitos para impressão em empresas terceirizadas;</w:t>
      </w:r>
    </w:p>
    <w:p w14:paraId="7F718A2F"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o cadastramento de Restrição de contribuintes, permitindo relacionar os usuários que poderão ter acesso a restrição. Quando cadastrado a restrição de um determinado contribuinte o sistema deverá dar um alerta em tela para o usuário nas rotinas de extrato de débitos e ficha financeira.</w:t>
      </w:r>
    </w:p>
    <w:p w14:paraId="41CF18D2"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cálculo Geral de qualquer receita em segundo plano. Ex: O usuário poderá calcular o IPTU de forma geral, habilitar a opção segundo plano, fechar o sistema que o cálculo irá ser processado normalmente.</w:t>
      </w:r>
    </w:p>
    <w:p w14:paraId="40F811EC"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configurar privilégio de realização do cálculo tributário de cada receita por usuários, não permitindo que usuário de outro setor ou departamento possam calcular débitos de outro.</w:t>
      </w:r>
    </w:p>
    <w:p w14:paraId="07D45837"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Obter configuração para não permitir efetuar cálculo tributário com CPF/CNPJ inválido. Ex.:CPF/CNPJ zerado bloquear o cálculo.</w:t>
      </w:r>
    </w:p>
    <w:p w14:paraId="7848E269" w14:textId="77777777" w:rsidR="00B307DB" w:rsidRPr="00680B5B" w:rsidRDefault="00B307DB" w:rsidP="00CC7709">
      <w:pPr>
        <w:pStyle w:val="PargrafodaLista"/>
        <w:numPr>
          <w:ilvl w:val="0"/>
          <w:numId w:val="316"/>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 consulta de Extrato de débitos deve possuir em uma mesma tela rotinas para: Parcelar débitos, Gerar notificação e aviso de débito, cancelar débitos, efetuar remissão de débitos, suspender e prorrogar parcelas.</w:t>
      </w:r>
    </w:p>
    <w:p w14:paraId="1F22CB56" w14:textId="77777777" w:rsidR="00B307DB" w:rsidRPr="00680B5B" w:rsidRDefault="00B307DB" w:rsidP="00B307DB">
      <w:pPr>
        <w:spacing w:after="0" w:line="240" w:lineRule="auto"/>
        <w:ind w:right="-568"/>
        <w:jc w:val="both"/>
        <w:rPr>
          <w:rFonts w:ascii="Times New Roman" w:hAnsi="Times New Roman" w:cs="Times New Roman"/>
        </w:rPr>
      </w:pPr>
    </w:p>
    <w:p w14:paraId="14DF5905"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2.16 MÓDULO: GESTÃO DE IPTU E TAXAS</w:t>
      </w:r>
    </w:p>
    <w:p w14:paraId="5766BFD3"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bairros, logradouros, planta de valores, loteamentos, condomínios, contribuintes, edifícios e zoneamentos;</w:t>
      </w:r>
    </w:p>
    <w:p w14:paraId="1BD9E589"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logradouros com todos os bairros por onde passam e que esta informação seja utilizada para consistência de entrada de dados cadastrais no cadastro imobiliário;</w:t>
      </w:r>
    </w:p>
    <w:p w14:paraId="1147711E"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filtros de consulta dos imóveis por: nome, parte do nome, cadastro, inscrição, logradouros e CPF/CNPJ;</w:t>
      </w:r>
    </w:p>
    <w:p w14:paraId="7CCB5626"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Na própria rotina de cadastro de imóveis ter a opção para detalhar dados de: Isenções, Alvarás, Vistorias, Entregas/Devoluções de documentos, Processo de ITBI, e Protocolos diversos relacionado ao imóvel (listar todos os protocolos que o imóvel obteve durante todos os exercícios).</w:t>
      </w:r>
    </w:p>
    <w:p w14:paraId="1FB4F03C"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histórico de alterações e emitir espelho das informações do cadastro imobiliário com data/hora retroativa;</w:t>
      </w:r>
    </w:p>
    <w:p w14:paraId="7B70EE28"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cadastro de mais de um contribuinte por imóvel.</w:t>
      </w:r>
    </w:p>
    <w:p w14:paraId="366D75DC"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histórico dos valores calculados de cada exercício;</w:t>
      </w:r>
    </w:p>
    <w:p w14:paraId="204F402E"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cobrança ou não da taxa da coleta de lixo para cada unidade imobiliária, de acordo com a utilização da edificação;</w:t>
      </w:r>
    </w:p>
    <w:p w14:paraId="1B5DF496"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simulação de IPTU individual de um determinado imóvel, possibilitando alterações de dados cadastrais do imóvel sem afetar a base cadastral atual do imóvel apenas para simulação. Por exemplo, permitir simular o IPTU do Imóvel x no ano de 2011 com área construída e área territorial de </w:t>
      </w:r>
      <w:r w:rsidRPr="00680B5B">
        <w:rPr>
          <w:rFonts w:ascii="Times New Roman" w:hAnsi="Times New Roman" w:cs="Times New Roman"/>
        </w:rPr>
        <w:lastRenderedPageBreak/>
        <w:t>X m², sistema deve apresentar os valores venais e de Imposto e permitir a efetivação do lançamento se o usuário assim desejar. Na efetivação não poderá alterar os dados cadastrais atuais do imóvel. Nesta mesma rotina deverá dispor de opção para o usuário alterar dados de unidades englobadas para fins de simulação, se o imóvel possuir englobamentos;</w:t>
      </w:r>
    </w:p>
    <w:p w14:paraId="7E7CEA17"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 planta de valores seja configurável, baseada no boletim de cadastro e na localização do imóvel;</w:t>
      </w:r>
    </w:p>
    <w:p w14:paraId="192D7F20"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valor mínimo do débito e da parcela;</w:t>
      </w:r>
    </w:p>
    <w:p w14:paraId="0172B164"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Entrega e Devolução dos carnês de IPTU;</w:t>
      </w:r>
    </w:p>
    <w:p w14:paraId="280BF6BD"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desconto de pagamento à vista do IPTU de modo diferenciado para os contribuintes inscritos em dívida ativa;</w:t>
      </w:r>
    </w:p>
    <w:p w14:paraId="6E0566FB"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Prorrogar os vencimentos sem cobrança de multa e juros individualizada por cadastro, receita ou forma de pagamento;</w:t>
      </w:r>
    </w:p>
    <w:p w14:paraId="604CAAF9"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as vistorias executadas nos imóveis, bem como identificar o grupo de fiscal que realizou a vistoria;</w:t>
      </w:r>
    </w:p>
    <w:p w14:paraId="7847F762"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endereço de correspondência com as seguintes opções: no imóvel, responsável, contribuinte, imobiliárias ou endereço alternativo;</w:t>
      </w:r>
    </w:p>
    <w:p w14:paraId="7BEA5E23"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Não permitir cadastrar endereço do imóvel sem relacionamento entre o logradouro e bairro e, caso necessário, permitir o relacionamento do mesmo durante o cadastramento do endereço do imóvel;</w:t>
      </w:r>
    </w:p>
    <w:p w14:paraId="692A6883"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novas informações cadastrais imobiliárias sem necessidade de contratação de serviços de customização;</w:t>
      </w:r>
    </w:p>
    <w:p w14:paraId="1AF856EA"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novas informações no cadastro de seções, adicionando novos serviços ao trecho de logradouro, sem necessidade de contratação de serviço de customização;</w:t>
      </w:r>
    </w:p>
    <w:p w14:paraId="442B0302"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Acessar</w:t>
      </w:r>
      <w:r w:rsidRPr="00680B5B">
        <w:rPr>
          <w:rFonts w:ascii="Times New Roman" w:hAnsi="Times New Roman" w:cs="Times New Roman"/>
        </w:rPr>
        <w:tab/>
        <w:t>informações</w:t>
      </w:r>
      <w:r w:rsidRPr="00680B5B">
        <w:rPr>
          <w:rFonts w:ascii="Times New Roman" w:hAnsi="Times New Roman" w:cs="Times New Roman"/>
        </w:rPr>
        <w:tab/>
        <w:t>sobre logradouros/trechos e bairros existentes no ato de inclusão do cadastro ou sua alteração;</w:t>
      </w:r>
    </w:p>
    <w:p w14:paraId="411F3FD0"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Desabilitar determinadas informações do cadastro imobiliário conforme a necessidade do município;</w:t>
      </w:r>
    </w:p>
    <w:p w14:paraId="66DFF177"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qualquer arquivo ao cadastro imobiliário de forma individualizada por imóvel. Podendo anexar de forma geral vários arquivos no mesmo imóvel.</w:t>
      </w:r>
    </w:p>
    <w:p w14:paraId="383F5971"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Mostrar no cadastro imobiliário a data e o nome do usuário que realizou a última alteração no respectivo cadastro;</w:t>
      </w:r>
    </w:p>
    <w:p w14:paraId="71571D83"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visualizar em tela o espelho do imóvel, sendo necessário informar a data do espelho. Sistema deve listar os dados do imóvel exatamente na data informada;</w:t>
      </w:r>
    </w:p>
    <w:p w14:paraId="36142626"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na própria rotina de consulta do imóvel detalhar todos protocolos/processos digitais relacionado ao cadastro do imóvel selecionado, com o recurso de visualizar detalhes do processo tais como: tramites, assunto, anexos do processo, pareceres, etc;</w:t>
      </w:r>
    </w:p>
    <w:p w14:paraId="3E084783"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Desmembrar ou remembrar/unificar imóveis;</w:t>
      </w:r>
    </w:p>
    <w:p w14:paraId="5EAC3FE9"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os campos que compõem a inscrição imobiliária sejam configuráveis, podendo alterar a ordem, tamanho e a descrição dos campos. Estes campos devem permitir a inclusão de informações alfanuméricas;</w:t>
      </w:r>
    </w:p>
    <w:p w14:paraId="111CA6E3"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Alterar a situação cadastral do imóvel para no mínimo as seguintes situações: Ativo, Desativado e suspenso, desmembrado, remembrado, baixado com débito, baixado para cálculo e inativo para construir;</w:t>
      </w:r>
    </w:p>
    <w:p w14:paraId="133B12C2"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Escolher um cadastro para replicar as informações em um novo cadastro, copiando todas as suas informações, optando entre quais informações da inscrição imobiliária devem ser replicado e a quantidade de cadastros para criação;</w:t>
      </w:r>
    </w:p>
    <w:p w14:paraId="5C4B4A1B"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vincular protocolo de solicitação para alteração de qualquer dado cadastral relacionado ao cadastro imobiliário após concluir as alterações;</w:t>
      </w:r>
    </w:p>
    <w:p w14:paraId="4F66DF66"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sejam configurados os tipos de débitos que serão transferidos no momento da transferência manual de proprietário do imóvel;</w:t>
      </w:r>
    </w:p>
    <w:p w14:paraId="389533FB"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definir autorização de supervisor quando alterar proprietário de cadastros que possuem débitos vencidos; Caso o imóvel possua débitos vencidos, apenas poderá ser alterado se o supervisor autorizar, o supervisor terá que informar seu login e senha para liberar a alteração para determinado usuário.</w:t>
      </w:r>
    </w:p>
    <w:p w14:paraId="4EF7FB8D"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Visualizar alvarás com data de validade expirada para os cadastros imobiliários ativos;</w:t>
      </w:r>
    </w:p>
    <w:p w14:paraId="1A7A221F"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definir autorização de supervisor para que usuários possam alterar dados cadastrais de imóveis bloqueados;</w:t>
      </w:r>
    </w:p>
    <w:p w14:paraId="5A7BC731"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zoneamentos com o imóvel;</w:t>
      </w:r>
    </w:p>
    <w:p w14:paraId="59958B06"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Gerar notificação de débitos para cadastros imobiliários com créditos vencidos, com no mínimo os filtros: bairro, responsável pelo cadastro, período de vencimento dos créditos, Quantidade de parcelas em atraso, valor mínimo e máximo do débito;</w:t>
      </w:r>
    </w:p>
    <w:p w14:paraId="5903586B"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Exportar dados para impressão de aviso de débitos e notificação de débitos;</w:t>
      </w:r>
    </w:p>
    <w:p w14:paraId="7063E8A5"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notificação cadastral para imóveis que estiverem com irregularidades cadastrais;</w:t>
      </w:r>
    </w:p>
    <w:p w14:paraId="43E0F1BC"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aviso e/ou notificação de débitos e notificação cadastral para a imobiliária responsável pelo imóvel;</w:t>
      </w:r>
    </w:p>
    <w:p w14:paraId="27A69370"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comparativo de valores de IPTU calculados entre exercícios diferentes, contendo no mínimo filtro por: percentual de diferença nos valores venais e algum dos tributos lançados;</w:t>
      </w:r>
    </w:p>
    <w:p w14:paraId="3C72F6DF"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Unificar registros duplicados do cadastro de seção;</w:t>
      </w:r>
    </w:p>
    <w:p w14:paraId="217591EB"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valor mínimo em cada tributo ao calcular IPTU e Taxas;</w:t>
      </w:r>
    </w:p>
    <w:p w14:paraId="366BB419"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w:t>
      </w:r>
      <w:r w:rsidRPr="00680B5B">
        <w:rPr>
          <w:rFonts w:ascii="Times New Roman" w:hAnsi="Times New Roman" w:cs="Times New Roman"/>
        </w:rPr>
        <w:tab/>
        <w:t>manutenção</w:t>
      </w:r>
      <w:r w:rsidRPr="00680B5B">
        <w:rPr>
          <w:rFonts w:ascii="Times New Roman" w:hAnsi="Times New Roman" w:cs="Times New Roman"/>
        </w:rPr>
        <w:tab/>
        <w:t>nos</w:t>
      </w:r>
      <w:r w:rsidRPr="00680B5B">
        <w:rPr>
          <w:rFonts w:ascii="Times New Roman" w:hAnsi="Times New Roman" w:cs="Times New Roman"/>
        </w:rPr>
        <w:tab/>
        <w:t>cadastros imobiliários possibilitando definir critérios para determinada alteração ser realizada apenas com autorização de usuário supervisor, por exemplo, imóvel com alguma restrição de embargo, apenas permitir alteração mediante a autorização de usuário supervisor.</w:t>
      </w:r>
    </w:p>
    <w:p w14:paraId="5CE8E0BF"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inserir a numeração predial individualizada para cada testada do imóvel.</w:t>
      </w:r>
    </w:p>
    <w:p w14:paraId="6D02EC08"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definir o posicionamento geográfico do endereço do cadastro imobiliário, buscando e visualizando as coordenadas geográficas através de mapa;</w:t>
      </w:r>
    </w:p>
    <w:p w14:paraId="2425D749"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alteração geral de qualquer dado cadastral do imóvel, possibilitando filtrar quais cadastros serão alterados com filtro de: Faixa de inscrição imobiliária, cadastro imobiliário, bairro, logradouro e por situação cadastral;</w:t>
      </w:r>
    </w:p>
    <w:p w14:paraId="5AC0C00B" w14:textId="77777777" w:rsidR="00B307DB" w:rsidRPr="00680B5B" w:rsidRDefault="00B307DB" w:rsidP="00CC7709">
      <w:pPr>
        <w:pStyle w:val="PargrafodaLista"/>
        <w:numPr>
          <w:ilvl w:val="0"/>
          <w:numId w:val="317"/>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alteração geral de qualquer informação cadastral da planta genérica de valores, podendo filtrar por bairro, logradouro;</w:t>
      </w:r>
    </w:p>
    <w:p w14:paraId="2F944C80" w14:textId="77777777" w:rsidR="00B307DB" w:rsidRPr="00680B5B" w:rsidRDefault="00B307DB" w:rsidP="00B307DB">
      <w:pPr>
        <w:spacing w:after="0" w:line="240" w:lineRule="auto"/>
        <w:ind w:right="-568"/>
        <w:jc w:val="both"/>
        <w:rPr>
          <w:rFonts w:ascii="Times New Roman" w:hAnsi="Times New Roman" w:cs="Times New Roman"/>
        </w:rPr>
      </w:pPr>
    </w:p>
    <w:p w14:paraId="6747908E"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2.17 MÓDULO: GESTÃO DE ITBI E TAXAS</w:t>
      </w:r>
    </w:p>
    <w:p w14:paraId="3F81916B"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Incluir e gerenciar todos os processos de transferência de proprietário de imóveis; na inclusão depois do usuário informar o cadastro do imóvel, deverá trazer dados do imóvel como: área construída (se houver), área do terreno e endereço completo do imóvel, disponibilizar opção para visualizar o imóvel através do mapa. Estes mesmos dados devem estar disponíveis na visualização do processo, para facilitar na avaliação do imóvel;</w:t>
      </w:r>
    </w:p>
    <w:p w14:paraId="68B49D0C"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transferir em apenas um processo o terreno e todas as unidades que pertencem ao mesmo terreno;</w:t>
      </w:r>
    </w:p>
    <w:p w14:paraId="73F9B3C4"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Realizar cálculo atualizado dos valores venais de cada unidade, no momento que é lançado o processo de transferência;</w:t>
      </w:r>
    </w:p>
    <w:p w14:paraId="4D72614F"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Utilizar mais de uma alíquota para apurar o valor do imposto a ser pago pela transferência do imóvel;</w:t>
      </w:r>
    </w:p>
    <w:p w14:paraId="380BFE53"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histórico de transmissão de propriedade dos imóveis com no mínimo: data, comprador, vendedor e valor da transação;</w:t>
      </w:r>
    </w:p>
    <w:p w14:paraId="3F287BD6"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ITBI para imóveis rurais relacionado o número do cadastro imobiliário rural ao processo de ITBI;</w:t>
      </w:r>
    </w:p>
    <w:p w14:paraId="0F2397BD"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incluir ITBI de um proprietário para vários adquirentes;</w:t>
      </w:r>
    </w:p>
    <w:p w14:paraId="6380DCB7"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Atualizar endereço de entrega para correspondências dos imóveis envolvidos na transferência;</w:t>
      </w:r>
    </w:p>
    <w:p w14:paraId="61A03504"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índice de reajuste sob o valor venal predial e valor venal territorial, tendo em vista cálculo de planta de valores que estejam desatualizados;</w:t>
      </w:r>
    </w:p>
    <w:p w14:paraId="5A1EC0CE"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no mesmo documento o laudo do processo de transferência e o código de barras para pagamento do imposto;</w:t>
      </w:r>
    </w:p>
    <w:p w14:paraId="68D77D51"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Imprimir declaração de quitação do ITBI para processos cuja situação do lançamento tributário estiver paga;</w:t>
      </w:r>
    </w:p>
    <w:p w14:paraId="2DEF8E81"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Bloquear lançamento de um novo processo de transferência, cujo imóvel esteja inadimplente com o município;</w:t>
      </w:r>
    </w:p>
    <w:p w14:paraId="5A3AAAED"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Transferir parcialmente, nos casos onde o proprietário deseja transferir apenas um percentual da sua propriedade para outros proprietários;</w:t>
      </w:r>
    </w:p>
    <w:p w14:paraId="17BC2B8E"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tabelionatos e relacionar usuários do sistema ao tabelionado, podendo um tabelionato possuir vários usuários.</w:t>
      </w:r>
    </w:p>
    <w:p w14:paraId="28DF97D1"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 cadastro de alíquotas do ITBI podendo cadastrar alíquotas diferenciadas para os processos de ITBI on-line</w:t>
      </w:r>
    </w:p>
    <w:p w14:paraId="24CFED5E"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inserir arquivos/anexos ao processo de ITBI.</w:t>
      </w:r>
    </w:p>
    <w:p w14:paraId="57D1EAB7"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Permitir a inclusão do ITBI on-line pelos tabelionatos para imóveis urbanos e rurais com opção de adicionar anexos.</w:t>
      </w:r>
    </w:p>
    <w:p w14:paraId="2B2657D5"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configurar o método de inclusão do ITBI on-line, ter a configuração da inclusão pelo valor venal automático existente na base de dados, e/ou inclusão do ITBI do tipo prévia; onde será necessário análise de algum servidor para liberar o processo de ITBI originado de forma on-line;</w:t>
      </w:r>
    </w:p>
    <w:p w14:paraId="790448B0"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impugnar o ITBI on-line com campo para informar o novo valor, campo de justificativa e anexos;</w:t>
      </w:r>
    </w:p>
    <w:p w14:paraId="34657EA0"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 A consulta interna dos ITBIs deverá ter a opção de filtrar e diferenciar os processos on-line dos internos;</w:t>
      </w:r>
    </w:p>
    <w:p w14:paraId="34B78F2D"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O usuário tabelionato poderá consultar os processos de ITBIs apenas do tabelionato em que está relacionado, com possibilidade de impressão dos processos incluídos;</w:t>
      </w:r>
    </w:p>
    <w:p w14:paraId="00FC7D08"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retificar o ITBI com situação transferido, deverá gerar um novo ITBI e permitir a emissão da guia retificadora;</w:t>
      </w:r>
    </w:p>
    <w:p w14:paraId="71553A8D"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consulta dos processos de ITBI on-line, um tipo de fila dos processos de ITBI para facilitar na análise e liberação;</w:t>
      </w:r>
    </w:p>
    <w:p w14:paraId="6DB4183A"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configurar a quantidade de dias para o cancelamento automático dos ITBIs vencidos. Permitir relacionar um motivo padrão de cancelamento;</w:t>
      </w:r>
    </w:p>
    <w:p w14:paraId="311248C1"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inclusão do ITBI interno na situação de prévia, isenção, imunidade de lançamento e integralização de capital;</w:t>
      </w:r>
    </w:p>
    <w:p w14:paraId="257DEC4E"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Na inclusão do ITBI permitir selecionar no ato da inclusão se o débito será gerado para o comprador ou para o vendedor;</w:t>
      </w:r>
    </w:p>
    <w:p w14:paraId="6ADF3E28"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emissão da Certidão de Isenção e Certidão de Imunidade de ITBI;</w:t>
      </w:r>
    </w:p>
    <w:p w14:paraId="11606BDC"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Para processos de ITBI realizado de forma on-line, permitir o servidor se comunicar com o Tabelionato/Cartório através de mensagens no próprio sistema. Manter o histórico de conversas no próprio processo de ITBI;</w:t>
      </w:r>
    </w:p>
    <w:p w14:paraId="3B169CFB" w14:textId="77777777" w:rsidR="00B307DB" w:rsidRPr="00680B5B" w:rsidRDefault="00B307DB" w:rsidP="00B2664C">
      <w:pPr>
        <w:pStyle w:val="PargrafodaLista"/>
        <w:numPr>
          <w:ilvl w:val="0"/>
          <w:numId w:val="318"/>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Solicitar readequações no processo de ITBI realizado de forma on-line, por exemplo, permitir o fiscal solicitar ao cartório/tabelionato novo arquivo da matricula atualizada;</w:t>
      </w:r>
    </w:p>
    <w:p w14:paraId="6D911CA7" w14:textId="77777777" w:rsidR="00B307DB" w:rsidRPr="00680B5B" w:rsidRDefault="00B307DB" w:rsidP="00B307DB">
      <w:pPr>
        <w:spacing w:after="0" w:line="240" w:lineRule="auto"/>
        <w:ind w:right="-568"/>
        <w:jc w:val="both"/>
        <w:rPr>
          <w:rFonts w:ascii="Times New Roman" w:hAnsi="Times New Roman" w:cs="Times New Roman"/>
        </w:rPr>
      </w:pPr>
    </w:p>
    <w:p w14:paraId="730519D7"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2.18  MÓDULO: GESTÃO DE ISS e TAXAS</w:t>
      </w:r>
    </w:p>
    <w:p w14:paraId="25BD51F5"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empresas cadastradas no município, permitindo efetuar consultas por tipo de empresa, por atividade, se é empresa do simples nacional, permitir filtrar por endereço da empresa, por situação cadastral, consultas por nome, parte do nome, cadastro, CPF/CNPJ e atividade (principal ou secundária);</w:t>
      </w:r>
    </w:p>
    <w:p w14:paraId="6AFDD96D"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Na consulta das empresas quando selecionado uma determinada empresa possibilitar detalhar dados de: Vistorias realizada na empresa, Fiscalizações efetuadas, Alvarás emitidos, Processos relacionado a empresa (listar todos os processos de todos exercícios) e dispor de opção para detalhar os débitos existentes como também possibilitar a consulta do extrato financeiro da empresa.</w:t>
      </w:r>
    </w:p>
    <w:p w14:paraId="278B17FF"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Cadastrar e gerenciar os estabelecimentos vistoriados, contendo além dos dados existentes a data de vistoria;</w:t>
      </w:r>
    </w:p>
    <w:p w14:paraId="1E244C9C"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Emitir de forma on-line: Comprovante de inscrição e certidão de baixa referente ao cadastro mobiliário;</w:t>
      </w:r>
    </w:p>
    <w:p w14:paraId="719BAE46"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Referenciar o cadastro mobiliário (econômico) com o cadastro imobiliário;</w:t>
      </w:r>
    </w:p>
    <w:p w14:paraId="7C7996B5"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o cadastro de sócios de acordo com suas cotas e ações, controlando o percentual correspondente a cada um;</w:t>
      </w:r>
    </w:p>
    <w:p w14:paraId="5F979184"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histórico do cadastro mobiliário com todas as informações lançadas por alteração, desde a data de início da atividade;</w:t>
      </w:r>
    </w:p>
    <w:p w14:paraId="54B66738"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o valor mínimo do débito e da parcela no cálculo dos lançamentos para o mobiliário;</w:t>
      </w:r>
    </w:p>
    <w:p w14:paraId="74A2A941"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a entrega dos carnês de ISS e taxas mobiliárias (inclusão e devolução);</w:t>
      </w:r>
    </w:p>
    <w:p w14:paraId="1F44219E"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Manter o histórico dos valores calculados de cada exercício;</w:t>
      </w:r>
    </w:p>
    <w:p w14:paraId="13CA7FBF"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os alvarás de localização e de vigilância sanitária e seus pagamentos;</w:t>
      </w:r>
    </w:p>
    <w:p w14:paraId="5A937197"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Calcular e lançar o ISSQN Fixo Anual, ISSQN Estimativa Fiscal, ISSQN sujeito à homologação (inclusive ISSRF), Taxa de Licença Anual, Ambulante, Eventual e de utilização de logradouros públicos;</w:t>
      </w:r>
    </w:p>
    <w:p w14:paraId="65799854"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desconto de pagamento à vista dos lançamentos de ISS e taxas de modo diferenciado para os contribuintes inscritos em dívida ativa;</w:t>
      </w:r>
    </w:p>
    <w:p w14:paraId="04D5ACA1"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diversas atividades desempenhadas pelo contribuinte, destacando a atividade principal das secundárias;</w:t>
      </w:r>
    </w:p>
    <w:p w14:paraId="144C555D"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Controlar as vistorias executadas nas empresas (econômico) bem como identificar o grupo de fiscal que realizou a vistoria;</w:t>
      </w:r>
    </w:p>
    <w:p w14:paraId="4F737F17"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o cadastro de atividades com a tabela de CBO para identificação dos autônomos;</w:t>
      </w:r>
    </w:p>
    <w:p w14:paraId="1CDF78F0"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endereço de correspondência com as seguintes opções: endereço alternativo, contribuinte, domicílio fiscal (empresa) e contador;</w:t>
      </w:r>
    </w:p>
    <w:p w14:paraId="442F5206"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situação cadastral mobiliária: ativos, baixados, desativados, suspensos e ainda realizar a inclusão de novos tipos de situação cadastral;</w:t>
      </w:r>
    </w:p>
    <w:p w14:paraId="666A8AEA"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Verificar existência de débitos anteriores na inclusão dos integrantes do quadro societário das empresas estabelecidas no município;</w:t>
      </w:r>
    </w:p>
    <w:p w14:paraId="206031F0"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informações referente ao cadastro de atividades que é vinculado ao cadastro mobiliário;</w:t>
      </w:r>
    </w:p>
    <w:p w14:paraId="2568927D"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Desabilitar informações do cadastro mobiliário quando não se deseja mais administrá-las;</w:t>
      </w:r>
    </w:p>
    <w:p w14:paraId="37C89822"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Visualizar no cadastro mobiliário a data e o nome do usuário que realizou a última alteração;</w:t>
      </w:r>
    </w:p>
    <w:p w14:paraId="25811836"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alvarás de funcionamento de forma individual ou geral, escolhendo o período de vigência, podendo ser prorrogada e derrogada a qualquer momento;</w:t>
      </w:r>
    </w:p>
    <w:p w14:paraId="648A8A82"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Alvarás de Funcionamento através do Portal de Autoatendimento, podendo fazer a verificação de autenticidade;</w:t>
      </w:r>
    </w:p>
    <w:p w14:paraId="31F09497"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alerta de débitos vencidos relacionados ao cadastro mobiliário ou aos seus sócios no momento de manutenção no cadastro;</w:t>
      </w:r>
    </w:p>
    <w:p w14:paraId="758125E4"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Relacionar o cadastro mobiliário com apenas o contador cujo prazo de validade do CRC esteja dentro do prazo para utilização;</w:t>
      </w:r>
    </w:p>
    <w:p w14:paraId="76978F24"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notificação e aviso de débitos para cadastros mobiliários que possuam débitos vencidos ou a vencer, filtrando no mínimo por: data de vencimento, número de parcelas em atraso, valor mínimo do débito e valor máximo do débito;</w:t>
      </w:r>
    </w:p>
    <w:p w14:paraId="2F5B46E6"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notificação e aviso de débitos para serem impressos/entregues por empresa terceirizadas;</w:t>
      </w:r>
    </w:p>
    <w:p w14:paraId="5BBBB1E8"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as empresas que são obrigadas a efetuar declaração de serviço mensal, caso não efetuem a declaração no prazo, seja alterado a situação cadastral para situação específica definida pelo município;</w:t>
      </w:r>
    </w:p>
    <w:p w14:paraId="4AA4EEA4"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a partir do arquivo da relação de empresas do município que é fornecido pela Receita Federal, um arquivo com as empresas que possuem débitos no município;</w:t>
      </w:r>
    </w:p>
    <w:p w14:paraId="3463EFDB"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responsáveis técnicos de cada empresa;</w:t>
      </w:r>
    </w:p>
    <w:p w14:paraId="78F57C12"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alteração das características das atividades;</w:t>
      </w:r>
    </w:p>
    <w:p w14:paraId="7CA5C4BB"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visualização em tela do espelho do mobiliário através de uma data informada. Sistema deve listar exatamente os dados da empresa na data informada.</w:t>
      </w:r>
    </w:p>
    <w:p w14:paraId="7E79466C"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consultar todos processos relacionado ao mobiliário selecionado, com o recurso de visualizar detalhes do processo tais como: tramites, assunto, anexos do processo, pareceres, etc.</w:t>
      </w:r>
    </w:p>
    <w:p w14:paraId="0D8F8D41"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veículos com a possibilidade de cadastrar marca, modelo, prefixo, tipo de placa brasileira/padrão Mercosul e placa. Podendo relacionar a um cadastro mobiliário, a um ponto de táxi e a motoristas com a possibilidade de cadastrar mais de um motorista ao veículo. A informação do motorista deve conter dados relacionado ao cadastro de pessoas, permitir inserir número da CNH, categoria, e data de validade.</w:t>
      </w:r>
    </w:p>
    <w:p w14:paraId="572ABF5E"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cadastro de eventos, contendo as seguintes informações: Nome, responsável, mobiliário, tipo de evento (possibilitar o cadastro de tipo de eventos), data/hora início, data/hora fim e endereço do evento.</w:t>
      </w:r>
    </w:p>
    <w:p w14:paraId="1DFC614D"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que o contribuinte efetue a solicitação de viabilidade de abertura de empresa de forma on-line, através do portal de autoatendimento.  </w:t>
      </w:r>
    </w:p>
    <w:p w14:paraId="762D8CE1"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controlar e gerenciar as solicitações de viabilidade de abertura de empresa, com ferramentas de deferimento/indeferimento do processo deforma manual e/ou automático, geração do documento do resultado da análise de viabilidade. Envio de e-mail automático do resultado da análise para o contribuinte solicitante.</w:t>
      </w:r>
    </w:p>
    <w:p w14:paraId="4C827FA2" w14:textId="77777777" w:rsidR="00B307DB" w:rsidRPr="00680B5B" w:rsidRDefault="00B307DB" w:rsidP="00B2664C">
      <w:pPr>
        <w:pStyle w:val="PargrafodaLista"/>
        <w:numPr>
          <w:ilvl w:val="0"/>
          <w:numId w:val="319"/>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Configurar novas informações cadastrais mobiliárias sem necessidade de contratação de serviços de customização;</w:t>
      </w:r>
    </w:p>
    <w:p w14:paraId="45675945" w14:textId="77777777" w:rsidR="00B307DB" w:rsidRPr="00680B5B" w:rsidRDefault="00B307DB" w:rsidP="00B307DB">
      <w:pPr>
        <w:spacing w:after="0" w:line="240" w:lineRule="auto"/>
        <w:ind w:right="-568"/>
        <w:jc w:val="both"/>
        <w:rPr>
          <w:rFonts w:ascii="Times New Roman" w:hAnsi="Times New Roman" w:cs="Times New Roman"/>
        </w:rPr>
      </w:pPr>
    </w:p>
    <w:p w14:paraId="28D889BA"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2.19  MÓDULO: GESTÃO DE RECEITAS DIVERSAS</w:t>
      </w:r>
    </w:p>
    <w:p w14:paraId="1628805C" w14:textId="77777777" w:rsidR="00B307DB" w:rsidRPr="00680B5B" w:rsidRDefault="00B307DB" w:rsidP="00B2664C">
      <w:pPr>
        <w:pStyle w:val="PargrafodaLista"/>
        <w:numPr>
          <w:ilvl w:val="0"/>
          <w:numId w:val="320"/>
        </w:numPr>
        <w:suppressAutoHyphens/>
        <w:spacing w:after="0" w:line="240" w:lineRule="auto"/>
        <w:ind w:right="-568"/>
        <w:contextualSpacing w:val="0"/>
        <w:jc w:val="both"/>
        <w:rPr>
          <w:rFonts w:ascii="Times New Roman" w:hAnsi="Times New Roman" w:cs="Times New Roman"/>
        </w:rPr>
      </w:pPr>
      <w:r w:rsidRPr="00680B5B">
        <w:rPr>
          <w:rFonts w:ascii="Times New Roman" w:hAnsi="Times New Roman" w:cs="Times New Roman"/>
        </w:rPr>
        <w:t>Configurar fórmula de cálculo de cada tarifa ou taxa a ser cobrada;</w:t>
      </w:r>
    </w:p>
    <w:p w14:paraId="2AD11075"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tabelas parametrizáveis de valores, que permitam realizar o cálculo automaticamente de qualquer taxa previstos na legislação municipal, sem digitação manual do valor final;</w:t>
      </w:r>
    </w:p>
    <w:p w14:paraId="31711379"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Vincular qualquer receita ao cadastro imobiliário ou cadastro econômico;</w:t>
      </w:r>
    </w:p>
    <w:p w14:paraId="5A04E0EC"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Extinguir débitos por serviço não realizados;</w:t>
      </w:r>
    </w:p>
    <w:p w14:paraId="0835A105"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Nota Avulsa através da lista de serviço ou atividade econômica;</w:t>
      </w:r>
    </w:p>
    <w:p w14:paraId="0C6EE3C8"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cópia de uma nota fiscal avulsa, respeitando o sequencial das notas existentes.</w:t>
      </w:r>
    </w:p>
    <w:p w14:paraId="15253485"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Emitir guias de recolhimento em padrão bancário, com cálculo automático de acréscimos quando em atraso, permitindo a configuração e emissão de diversos layouts;</w:t>
      </w:r>
    </w:p>
    <w:p w14:paraId="4F5C8305"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notificação e aviso de débitos para contribuintes que estejam em atraso com determinado serviço, filtrando por: quantidade de parcelas em atraso, tipo de atraso (consecutivo ou alternado) e a faixa de valor para geração;</w:t>
      </w:r>
    </w:p>
    <w:p w14:paraId="2B1B3334"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Exportar dados para impressão de aviso de débitos e notificação de débitos;</w:t>
      </w:r>
    </w:p>
    <w:p w14:paraId="4D882A4E"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Gerar Nota Avulsa verificando os débitos do prestador e tomador de serviço;</w:t>
      </w:r>
    </w:p>
    <w:p w14:paraId="7BCBD90F"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 cidadão efetue a inclusão da Nota Fiscal Avulsa on-line pelo autoatendimento</w:t>
      </w:r>
    </w:p>
    <w:p w14:paraId="565315C6"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adicionar anexos na Nota Fiscal Avulsa</w:t>
      </w:r>
    </w:p>
    <w:p w14:paraId="4C773A8D" w14:textId="77777777" w:rsidR="00B307DB" w:rsidRPr="00680B5B" w:rsidRDefault="00B307DB" w:rsidP="00B2664C">
      <w:pPr>
        <w:pStyle w:val="PargrafodaLista"/>
        <w:numPr>
          <w:ilvl w:val="0"/>
          <w:numId w:val="320"/>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gerenciar todas as notas avulsas emitidas e na mesma rotina de consulta diferenciar as emitidas de forma on-line e emitidas interno, permitir ainda filtrar a consulta pela: origem da nota, data de emissão, dados do prestador e tomador.</w:t>
      </w:r>
    </w:p>
    <w:p w14:paraId="150E0319" w14:textId="77777777" w:rsidR="00B307DB" w:rsidRPr="00680B5B" w:rsidRDefault="00B307DB" w:rsidP="00B307DB">
      <w:pPr>
        <w:spacing w:after="0" w:line="240" w:lineRule="auto"/>
        <w:ind w:right="-568"/>
        <w:jc w:val="both"/>
        <w:rPr>
          <w:rFonts w:ascii="Times New Roman" w:hAnsi="Times New Roman" w:cs="Times New Roman"/>
        </w:rPr>
      </w:pPr>
    </w:p>
    <w:p w14:paraId="5599A1AF"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2.20  MÓDULO: GESTÃO DE DÍVIDA ATIVA</w:t>
      </w:r>
    </w:p>
    <w:p w14:paraId="01DC9AFB"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Conter recursos para gerenciar todos os tributos inscritos em dívida ativa (IPTU, ISSQN, Taxas, Contribuição de Melhoria e outros), no que se refere à inscrição e cobrança administrativa, judicial e cartório;</w:t>
      </w:r>
    </w:p>
    <w:p w14:paraId="073251F3"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e emitir livros de registro de dívida ativa (termos de abertura e encerramento e fundamentação legal) controlando, no registro das inscrições, o número e a folha em que a mesma se encontra no livro de registros;</w:t>
      </w:r>
    </w:p>
    <w:p w14:paraId="307E84B0"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Controlar as dívidas ativas, gerando informações sobre e no ato da inscrição (livro, folha, data e número da inscrição), com cálculos de atualizações e acréscimos legais;</w:t>
      </w:r>
    </w:p>
    <w:p w14:paraId="00B52142"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parcelamentos em atraso, possibilitando cancelamento do parcelamento;</w:t>
      </w:r>
    </w:p>
    <w:p w14:paraId="3FC99697"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Informar o contribuinte responsável pelo parcelamento no ato de incluir um novo acordo;</w:t>
      </w:r>
    </w:p>
    <w:p w14:paraId="33A2E421"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relacionar os corresponsáveis de cada inscrição de dívida ativa, possibilitando em uma única rotina selecionar várias dívidas do mesmo devedor e informar o corresponsável destas dívidas;</w:t>
      </w:r>
    </w:p>
    <w:p w14:paraId="0B169557"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processos de cobrança judicial, possibilitando gerar a certidão, petição e ajuizamento;</w:t>
      </w:r>
    </w:p>
    <w:p w14:paraId="7C6BEBCA"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Configurar parcelamento de dívida ativa, podendo parcelar várias receitas, estabelecendo um valor mínimo por parcela e período de vigência da lei, permitir ainda definir através de configuração: Tipos de dívidas possível para enquadrar no parcelamento (administrativo, judicial, cartório), Número máximo de acordos por inscrição. Por exemplo, se informar o número máximo de parcelamento três, a dívida selecionada não poderá ter sofrido mais de três acordos, caso obteve três acordos, a próxima tentativa de parcelamento deve ser bloqueada pelo sistema; </w:t>
      </w:r>
    </w:p>
    <w:p w14:paraId="5341A5A2"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Demonstrar</w:t>
      </w:r>
      <w:r w:rsidRPr="00680B5B">
        <w:rPr>
          <w:rFonts w:ascii="Times New Roman" w:hAnsi="Times New Roman" w:cs="Times New Roman"/>
        </w:rPr>
        <w:tab/>
        <w:t>analiticamente</w:t>
      </w:r>
      <w:r w:rsidRPr="00680B5B">
        <w:rPr>
          <w:rFonts w:ascii="Times New Roman" w:hAnsi="Times New Roman" w:cs="Times New Roman"/>
        </w:rPr>
        <w:tab/>
        <w:t>os parcelamentos e reparcelamentos num determinado período ou contribuintes;</w:t>
      </w:r>
    </w:p>
    <w:p w14:paraId="187C1E6E"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Demonstrar</w:t>
      </w:r>
      <w:r w:rsidRPr="00680B5B">
        <w:rPr>
          <w:rFonts w:ascii="Times New Roman" w:hAnsi="Times New Roman" w:cs="Times New Roman"/>
        </w:rPr>
        <w:tab/>
        <w:t>analiticamente</w:t>
      </w:r>
      <w:r w:rsidRPr="00680B5B">
        <w:rPr>
          <w:rFonts w:ascii="Times New Roman" w:hAnsi="Times New Roman" w:cs="Times New Roman"/>
        </w:rPr>
        <w:tab/>
        <w:t>os débitos inscritos em dívida ativa;</w:t>
      </w:r>
    </w:p>
    <w:p w14:paraId="6CA82EFC"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Demonstrar débitos ajuizados, pagos, abertos, cancelados, possibilitando consulta por contribuinte, imóvel ou econômico;</w:t>
      </w:r>
    </w:p>
    <w:p w14:paraId="0B1F6F43"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 Demonstrar débitos prescritos e a prescrever;</w:t>
      </w:r>
    </w:p>
    <w:p w14:paraId="4FFC1E9A"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Criar e gerenciar diversos programas de recuperação de dívida ativa, com controle de descontos diferenciados e ainda pode definir quais as receitas que podem ser incluídas neste programa de recuperação. Por exemplo, se informar que é possível incluir no programa de recuperação fiscal da LEI X apenas débitos de IPTU, quando selecionar outras dívidas e tentar inserir no programa, o sistema deverá bloquear, evitando que o usuário insira uma dívida e dê um desconto em desacordo com a legislação;</w:t>
      </w:r>
    </w:p>
    <w:p w14:paraId="162EDBCE"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Parcelar débitos do contribuinte de diversas origens e exercícios, mantendo informações sobre a origem dos créditos fiscais;</w:t>
      </w:r>
    </w:p>
    <w:p w14:paraId="1EB329DB"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no momento de um parcelamento de débitos em dívida ativa possam ser selecionados também débitos que estão em cobrança no exercício, e estes ao efetivar o parcelamento sejam inscritos em dívida automaticamente;</w:t>
      </w:r>
    </w:p>
    <w:p w14:paraId="5A597CFD"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Cancelar parcelamento de forma geral e individual, mesmo quando com parcelas pagas, descontando-se o valor proporcionalmente nas inscrições com a opção de configurar o abatimento pelo método de imputação;</w:t>
      </w:r>
    </w:p>
    <w:p w14:paraId="361CEC39"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Contabilizar todas as movimentações efetuadas na dívida ativa, como pagamentos, prescrição, cancelamentos dentre outros;</w:t>
      </w:r>
    </w:p>
    <w:p w14:paraId="0E9F1948"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Agrupar nas consultas dos débitos os débitos entre Administrativo, Judicial, ou Cartório, dependendo da fase de cobrança em que cada um se encontra, inclusive parcelamentos;</w:t>
      </w:r>
    </w:p>
    <w:p w14:paraId="08999914"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junção de dívidas para cobrança administrativa/judicial/cartório com no mínimo as seguintes informações: Contribuinte, Classificação da Receita, Ano de Lançamento, Cadastro Imobiliário e Cadastro Econômico, permitindo abertura dos processos individuais e/ou em lote, possibilitando ainda gerar processo para um determinado valor mínimo, ano base, apenas para contribuintes com CPF/CNPJ válidos, apenas com endereço válido, para determinadas receitas, vencimento e data de inscrição. Com opção de gerar uma prévia;</w:t>
      </w:r>
    </w:p>
    <w:p w14:paraId="07925768"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Estornar inscrição em dívida ativa (retornar para o exercício) caso identificado que a inscrição foi realizada de forma indevida e que ainda não tenha sido efetuado nenhuma movimentação com a inscrição na dívida ativa;</w:t>
      </w:r>
    </w:p>
    <w:p w14:paraId="142FDAAB"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Alertar no momento do cancelamento do parcelamento caso contenha débitos judiciais envolvidos no parcelamento;</w:t>
      </w:r>
    </w:p>
    <w:p w14:paraId="0AE49A35"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Imprimir documento previamente configurado no momento do cancelamento do parcelamento;</w:t>
      </w:r>
    </w:p>
    <w:p w14:paraId="7EFC8CB0"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Cancelar parcelamento permanecendo juros de parcelamentos nas novas parcelas criadas;</w:t>
      </w:r>
    </w:p>
    <w:p w14:paraId="39AE26F0"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ao cancelar o parcelamento, a data de vencimento das novas parcelas seja considerada a data do cancelamento do parcelamento, atualizando os valores até esta data;</w:t>
      </w:r>
    </w:p>
    <w:p w14:paraId="69188759"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Definir privilégios de acesso por usuário para dívidas administrativas, judiciais e cartórios. Por exemplo, se defino que um usuário X possui restrição em dívidas Judiciais, este não poderá para dívidas judiciais emitir guias, parcelar dívidas judiciais, dar descontos etc, o sistema deverá bloquear sempre que uma destas ações forem executadas;</w:t>
      </w:r>
    </w:p>
    <w:p w14:paraId="6D0D4A14"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efetuado o cancelamento apenas de uma única parcela quando uma dívida estiver parcelada;</w:t>
      </w:r>
    </w:p>
    <w:p w14:paraId="31DFDEEC"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parcelas que estão em um processo de cobrança administrativa, judicial e cartório, podendo incluir e excluir uma parcela após processo gerado;</w:t>
      </w:r>
    </w:p>
    <w:p w14:paraId="7477CEBC"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Gerenciar parcelas que estão em uma CDA e Petição, sendo ela, administrativa, judicial e cartório, podendo incluir e excluir uma parcela após certidão e petição gerada;</w:t>
      </w:r>
    </w:p>
    <w:p w14:paraId="3342FBAF"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antes de efetivar a abertura de processos administrativos seja efetuada geração em formato prévio, podendo visualizar os supostos processos que serão criados;</w:t>
      </w:r>
    </w:p>
    <w:p w14:paraId="2BBE25F1"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Enviar Certidão de Dívida Ativa para cobrança em cartórios de maneira automática através de WebService;</w:t>
      </w:r>
    </w:p>
    <w:p w14:paraId="38C25F53"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 inscrição em dívida ativa de débitos de exercício que estiverem em atraso, seja feita todos os meses de forma automática, sem a necessidade de algum usuário efetuar o procedimento mensal. Deverá ainda enviar e-mail aos responsáveis a cada nova execução;</w:t>
      </w:r>
    </w:p>
    <w:p w14:paraId="13CFC5A7"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os parcelamentos de dívida ativa que estiverem com três ou mais parcelas vencidas, sendo elas consecutivas ou não, sejam cancelados de forma automática, sem a necessidade de algum usuário efetuar o procedimento, enviando e- mail aos responsáveis sobre a execução dos cancelamentos;</w:t>
      </w:r>
    </w:p>
    <w:p w14:paraId="24DE4A9F"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antecipação de pagamento de parcelamento, no qual será concedido uma redução dos juros de parcelamento, podendo este percentual de redução dos juros de parcelamento ser configurado;</w:t>
      </w:r>
    </w:p>
    <w:p w14:paraId="7EE17D04"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impressão de prévia de cancelamento</w:t>
      </w:r>
      <w:r w:rsidRPr="00680B5B">
        <w:rPr>
          <w:rFonts w:ascii="Times New Roman" w:hAnsi="Times New Roman" w:cs="Times New Roman"/>
        </w:rPr>
        <w:tab/>
        <w:t>de</w:t>
      </w:r>
      <w:r w:rsidRPr="00680B5B">
        <w:rPr>
          <w:rFonts w:ascii="Times New Roman" w:hAnsi="Times New Roman" w:cs="Times New Roman"/>
        </w:rPr>
        <w:tab/>
        <w:t>parcelamento, demonstrando as inscrições em dívida ativa que estão relacionadas ao parcelamento e serão retornadas para aberto;</w:t>
      </w:r>
    </w:p>
    <w:p w14:paraId="2B85F8B1"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integração com o SCPC - Serviço Central de Proteção ao Crédito;</w:t>
      </w:r>
    </w:p>
    <w:p w14:paraId="4DA26A0E"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configurar o bloqueio de emissão de guias em situação protesto;</w:t>
      </w:r>
    </w:p>
    <w:p w14:paraId="6ACB6710"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ao contribuinte realizar o parcelamento de dívida através de serviço a ser disponibilizado no portal de autoatendimento. Possuir configurações para liberação do serviço de parcelamento on-line, podendo configurar se irá permitir parcelamento de dívidas Administrativas, Judiciais e cartório, parametrizar texto de “li e concordo” para confirmar e efetivar o acordo;</w:t>
      </w:r>
    </w:p>
    <w:p w14:paraId="183DB1B3" w14:textId="77777777" w:rsidR="00B307DB" w:rsidRPr="00680B5B" w:rsidRDefault="00B307DB" w:rsidP="00B2664C">
      <w:pPr>
        <w:pStyle w:val="PargrafodaLista"/>
        <w:numPr>
          <w:ilvl w:val="0"/>
          <w:numId w:val="321"/>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emissão de guias de dívida ativa não parcelada pelo portal do cidadão, podendo configurar o serviço para não permitir a emissão de dívidas cartório e judicial, com a possibilidade de parametrizar mensagem quando o cidadão selecionar a dívida cartório e judicial;</w:t>
      </w:r>
    </w:p>
    <w:p w14:paraId="11D6CE43"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p>
    <w:p w14:paraId="78B39696"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b/>
        </w:rPr>
      </w:pPr>
      <w:r w:rsidRPr="00680B5B">
        <w:rPr>
          <w:rFonts w:ascii="Times New Roman" w:hAnsi="Times New Roman" w:cs="Times New Roman"/>
          <w:b/>
        </w:rPr>
        <w:t>GESTÃO DE ABERTURA DE EMPRESA (REDESIM)</w:t>
      </w:r>
    </w:p>
    <w:p w14:paraId="1CA4E5D1"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lastRenderedPageBreak/>
        <w:t>1.</w:t>
      </w:r>
      <w:r w:rsidRPr="00680B5B">
        <w:rPr>
          <w:rFonts w:ascii="Times New Roman" w:hAnsi="Times New Roman" w:cs="Times New Roman"/>
        </w:rPr>
        <w:t xml:space="preserve"> Possuir integração via webservice com a junta comercial do estado para: abertura, alteração e baixa de empresa através do programa de integração da REDESIM. </w:t>
      </w:r>
    </w:p>
    <w:p w14:paraId="7D1136FF"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 xml:space="preserve"> 2.</w:t>
      </w:r>
      <w:r w:rsidRPr="00680B5B">
        <w:rPr>
          <w:rFonts w:ascii="Times New Roman" w:hAnsi="Times New Roman" w:cs="Times New Roman"/>
        </w:rPr>
        <w:t xml:space="preserve"> Este software deve estar totalmente integrado com o cadastro mobiliário municipal com: dados do cadastro, atividades, grau de risco de atividades entre outros.</w:t>
      </w:r>
    </w:p>
    <w:p w14:paraId="1877DE0F"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 </w:t>
      </w:r>
      <w:r w:rsidRPr="00680B5B">
        <w:rPr>
          <w:rFonts w:ascii="Times New Roman" w:hAnsi="Times New Roman" w:cs="Times New Roman"/>
          <w:b/>
        </w:rPr>
        <w:t>3.</w:t>
      </w:r>
      <w:r w:rsidRPr="00680B5B">
        <w:rPr>
          <w:rFonts w:ascii="Times New Roman" w:hAnsi="Times New Roman" w:cs="Times New Roman"/>
        </w:rPr>
        <w:t xml:space="preserve"> Este software deve estar totalmente integrado com o cadastro imobiliário municipal com: dados do cadastro imobiliário, dados de zoneamento entre outros.</w:t>
      </w:r>
    </w:p>
    <w:p w14:paraId="498E9E05"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 </w:t>
      </w:r>
      <w:r w:rsidRPr="00680B5B">
        <w:rPr>
          <w:rFonts w:ascii="Times New Roman" w:hAnsi="Times New Roman" w:cs="Times New Roman"/>
          <w:b/>
        </w:rPr>
        <w:t>4.</w:t>
      </w:r>
      <w:r w:rsidRPr="00680B5B">
        <w:rPr>
          <w:rFonts w:ascii="Times New Roman" w:hAnsi="Times New Roman" w:cs="Times New Roman"/>
        </w:rPr>
        <w:t xml:space="preserve"> Importar automaticamente todos os eventos de integração registrados na junta comercial dos tipos: Alteração de Sócio, Baixa de atividade, alteração de atividade, viabilidade, etc.</w:t>
      </w:r>
    </w:p>
    <w:p w14:paraId="7F5104F9"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5.</w:t>
      </w:r>
      <w:r w:rsidRPr="00680B5B">
        <w:rPr>
          <w:rFonts w:ascii="Times New Roman" w:hAnsi="Times New Roman" w:cs="Times New Roman"/>
        </w:rPr>
        <w:t xml:space="preserve"> Permitir cadastrar setores de análise, todos relacionados a uma chave de integração conforme registrado na junta comercial e relacionado a um centro de custo. Permitir configurar nos setores de análise a opção de notificar usuário do setor, com intuito de sempre que entrar um processo para análise, o usuário ser notificado via sistema da entrada do processo.</w:t>
      </w:r>
    </w:p>
    <w:p w14:paraId="6238B885"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6.</w:t>
      </w:r>
      <w:r w:rsidRPr="00680B5B">
        <w:rPr>
          <w:rFonts w:ascii="Times New Roman" w:hAnsi="Times New Roman" w:cs="Times New Roman"/>
        </w:rPr>
        <w:t xml:space="preserve"> Possibilitar consultar e acompanhar todas as requisições “integração” de entrada e de saída do REDESIM, possibilitando inclusive reprocessar alguma requisição, se for necessário. O objetivo de reprocessar é caso algum processo ocorreu inconsistência e foi devidamente ajustado, possibilitando o reprocessamento para não manter o mesmo sem nenhuma resposta a junta comercial. Esta funcionalidade deve permitir seleção múltipla para reprocessamento de vários processos se necessário.</w:t>
      </w:r>
    </w:p>
    <w:p w14:paraId="350BAE18"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7.</w:t>
      </w:r>
      <w:r w:rsidRPr="00680B5B">
        <w:rPr>
          <w:rFonts w:ascii="Times New Roman" w:hAnsi="Times New Roman" w:cs="Times New Roman"/>
        </w:rPr>
        <w:t xml:space="preserve">  Possuir o gerenciamento de todas as viabilidades de abertura, inclusão e alteração de empresa. Esta rotina deve permitir consultar todos os processos, acompanhar o status de cada se:  Em análise, Deferido, Deferido Automaticamente, indeferido, cancelado etc. Acompanhar o histórico do processo através de uma linha do tempo,  imprimir o processo demonstrando os dados da solicitação. A fim de facilitar o andamento de cada solicitação, deve possuir uma legenda indicativa ao usuário em cada processo, demonstrando se o mesmo possui alguma inconsistência cadastral, se foram assinados os documentos, se foi enviado e-mail etc.</w:t>
      </w:r>
    </w:p>
    <w:p w14:paraId="1C229827"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 xml:space="preserve"> 8.</w:t>
      </w:r>
      <w:r w:rsidRPr="00680B5B">
        <w:rPr>
          <w:rFonts w:ascii="Times New Roman" w:hAnsi="Times New Roman" w:cs="Times New Roman"/>
        </w:rPr>
        <w:t xml:space="preserve"> Na mesma rotina de gerenciamento, permitir analisar o processo, desde que o usuário esteja relacionado ao centro de custo definido no evento do processo. Com o intuito de facilitar a análise por parte do usuário, nesta rotina deve trazer um demonstrativo de todas as informações importantes do processo, conforme dados recebido da junta comercial, como: Dados dos sócios, dados da empresa, dados das atividades, representantes legais da empresa, inscrição imobiliária, perguntas e respostas que foram inseridas no portal da junta comercial, se houver, dados do estabelecimento, endereço e qual o evento da solicitação: se alteração de atividade, viabilidade de primeiro estabelecimento, etc. </w:t>
      </w:r>
    </w:p>
    <w:p w14:paraId="7633C3F1"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 </w:t>
      </w:r>
      <w:r w:rsidRPr="00680B5B">
        <w:rPr>
          <w:rFonts w:ascii="Times New Roman" w:hAnsi="Times New Roman" w:cs="Times New Roman"/>
          <w:b/>
        </w:rPr>
        <w:t>9.</w:t>
      </w:r>
      <w:r w:rsidRPr="00680B5B">
        <w:rPr>
          <w:rFonts w:ascii="Times New Roman" w:hAnsi="Times New Roman" w:cs="Times New Roman"/>
        </w:rPr>
        <w:t xml:space="preserve"> Na rotina de análise em cada setor, o sistema deverá carregar apenas as atividades que depende de análise daquele departamento, como também informar o grau de risco de cada atividade. Como por exemplo: Setor do meio ambiente irá analisar o grau de risco da atividade apenas deste setor, setor da vigilância apenas atividades que exigem parecer da vigilância. O sistema deve ser capaz de receber estes processos, ler as atividades e distribuir elas de acordo com cada setor e grau de risco</w:t>
      </w:r>
    </w:p>
    <w:p w14:paraId="3AF0E219"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10.</w:t>
      </w:r>
      <w:r w:rsidRPr="00680B5B">
        <w:rPr>
          <w:rFonts w:ascii="Times New Roman" w:hAnsi="Times New Roman" w:cs="Times New Roman"/>
        </w:rPr>
        <w:t xml:space="preserve"> Possibilitar em todas as solicitações relacionar protocolos internos, no qual poderão ser tramitados internamente entre outros setores.</w:t>
      </w:r>
    </w:p>
    <w:p w14:paraId="461EA223"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11.</w:t>
      </w:r>
      <w:r w:rsidRPr="00680B5B">
        <w:rPr>
          <w:rFonts w:ascii="Times New Roman" w:hAnsi="Times New Roman" w:cs="Times New Roman"/>
        </w:rPr>
        <w:t xml:space="preserve"> Possibilitar configurar o método de liberação da viabilidade, possibilitando o deferimento automático através do grau de risco da atividade, permitir confrontar e validar dados cadastrais do imóvel e dados de zoneamento, por exemplo: Se todas as solicitações de viabilidade possuir na atividade grau de risco baixo, o empreendimento estiver localizado nos zoneamento x,y,z, e o imóvel não possuir restrição de área de risco ou APP, o sistema defere o processo de forma automática. Este recurso pode ser configurado pelo usuário, desde que possua privilegio para este fim. </w:t>
      </w:r>
    </w:p>
    <w:p w14:paraId="203EF661"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12.</w:t>
      </w:r>
      <w:r w:rsidRPr="00680B5B">
        <w:rPr>
          <w:rFonts w:ascii="Times New Roman" w:hAnsi="Times New Roman" w:cs="Times New Roman"/>
        </w:rPr>
        <w:t xml:space="preserve"> Permitir deferir automaticamente as solicitações de MEI e inserir automaticamente no cadastro mobiliário.</w:t>
      </w:r>
    </w:p>
    <w:p w14:paraId="2A7E9CAA"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13.</w:t>
      </w:r>
      <w:r w:rsidRPr="00680B5B">
        <w:rPr>
          <w:rFonts w:ascii="Times New Roman" w:hAnsi="Times New Roman" w:cs="Times New Roman"/>
        </w:rPr>
        <w:t xml:space="preserve"> Permitir configurar e definir os critérios de análise ou deferimento automático para liberação das inscrições municipais, permitindo validar grau de risco da atividade, permitir confrontar e validar dados cadastrais do imóvel, dados de zoneamento, permitir cadastrar dispensa de alvará para o MEI e possibilitar definir a descrição da situação cadastral das empresas que serão inseridas no cadastro mobiliário, como por exemplo, “Ativo por integração”, “Ativo REDESIM” etc.</w:t>
      </w:r>
    </w:p>
    <w:p w14:paraId="564CECCA"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14.</w:t>
      </w:r>
      <w:r w:rsidRPr="00680B5B">
        <w:rPr>
          <w:rFonts w:ascii="Times New Roman" w:hAnsi="Times New Roman" w:cs="Times New Roman"/>
        </w:rPr>
        <w:t xml:space="preserve"> Possibilitar cadastrar as legislações, texto legal de cada atividade a fim de serem inseridas automaticamente nas respostas dos pedidos de inscrições municipais.</w:t>
      </w:r>
    </w:p>
    <w:p w14:paraId="6024E2B7"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15.</w:t>
      </w:r>
      <w:r w:rsidRPr="00680B5B">
        <w:rPr>
          <w:rFonts w:ascii="Times New Roman" w:hAnsi="Times New Roman" w:cs="Times New Roman"/>
        </w:rPr>
        <w:t xml:space="preserve"> Permitir configurar para que os pedidos de baixa de empresa ocorram de forma automática sem analise de usuário, possibilitar que nas baixas automáticas seja verificada a existência de débitos da empresa, se caso existir, o sistema deverá suspender a empresa e enviar e-mail automático ao solicitante, </w:t>
      </w:r>
      <w:r w:rsidRPr="00680B5B">
        <w:rPr>
          <w:rFonts w:ascii="Times New Roman" w:hAnsi="Times New Roman" w:cs="Times New Roman"/>
        </w:rPr>
        <w:lastRenderedPageBreak/>
        <w:t xml:space="preserve">informando da existência de débitos para regularização, caso não tenha débitos, o sistema deverá baixar a empresa, enviar automaticamente e-mail ao solicitante do deferimento com o comprovante da certidão de baixa. </w:t>
      </w:r>
    </w:p>
    <w:p w14:paraId="021A5E73"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16.</w:t>
      </w:r>
      <w:r w:rsidRPr="00680B5B">
        <w:rPr>
          <w:rFonts w:ascii="Times New Roman" w:hAnsi="Times New Roman" w:cs="Times New Roman"/>
        </w:rPr>
        <w:t xml:space="preserve"> Em toda a solicitação de alteração que por ventura exigir análise por exemplo: alteração de quadro societário, de atividades, endereço, etc, o sistema deverá dispor ao usuário a rotina de alteração da empresa, demonstrando de forma clara os dados atuais da empresa e os dados da solicitação, idênticos a um “de para”, contendo cada campo com objetivo do usuário atualizar as informações cadastrais, conforme dados da junta comercial.</w:t>
      </w:r>
    </w:p>
    <w:p w14:paraId="48A61EB2"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17.</w:t>
      </w:r>
      <w:r w:rsidRPr="00680B5B">
        <w:rPr>
          <w:rFonts w:ascii="Times New Roman" w:hAnsi="Times New Roman" w:cs="Times New Roman"/>
        </w:rPr>
        <w:t xml:space="preserve">  O sistema além de alterar dados da empresa deverá também alterar ou inserir dados no cadastro único de contribuintes nos casos de sócio, contadores, representantes legais entre outros.</w:t>
      </w:r>
    </w:p>
    <w:p w14:paraId="27F45FFF"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18.</w:t>
      </w:r>
      <w:r w:rsidRPr="00680B5B">
        <w:rPr>
          <w:rFonts w:ascii="Times New Roman" w:hAnsi="Times New Roman" w:cs="Times New Roman"/>
        </w:rPr>
        <w:t xml:space="preserve"> Permitir configurar campos da integração do XML com campos do cadastro mobiliário, para serem alimentados automaticamente no cadastro mobiliário.</w:t>
      </w:r>
    </w:p>
    <w:p w14:paraId="65136F22"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 xml:space="preserve">19. </w:t>
      </w:r>
      <w:r w:rsidRPr="00680B5B">
        <w:rPr>
          <w:rFonts w:ascii="Times New Roman" w:hAnsi="Times New Roman" w:cs="Times New Roman"/>
        </w:rPr>
        <w:t>Permitir configurar as licenças a serem geradas nas solicitações de abertura de empresas, anexar automaticamente a licença sempre que um processo for deferido.</w:t>
      </w:r>
    </w:p>
    <w:p w14:paraId="359B5FB7"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20.</w:t>
      </w:r>
      <w:r w:rsidRPr="00680B5B">
        <w:rPr>
          <w:rFonts w:ascii="Times New Roman" w:hAnsi="Times New Roman" w:cs="Times New Roman"/>
        </w:rPr>
        <w:t xml:space="preserve"> Possibilitar o usuário configurar envio automático de e-mail para o solicitante nas movimentações dos processos, sendo que esta configuração deverá ser individual, permitindo configurar textos distintos para: Viabilidade, Inscrição, Alteração e Baixa de empresa.</w:t>
      </w:r>
    </w:p>
    <w:p w14:paraId="24B3CCB1" w14:textId="77777777" w:rsidR="00B307DB" w:rsidRPr="00680B5B" w:rsidRDefault="00B307DB" w:rsidP="00B307DB">
      <w:pPr>
        <w:pStyle w:val="PargrafodaLista"/>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b/>
        </w:rPr>
        <w:t>21.</w:t>
      </w:r>
      <w:r w:rsidRPr="00680B5B">
        <w:rPr>
          <w:rFonts w:ascii="Times New Roman" w:hAnsi="Times New Roman" w:cs="Times New Roman"/>
        </w:rPr>
        <w:t xml:space="preserve"> Para solicitações de novos estabelecimentos de empresas não enquadradas no MEI, o sistema deverá automaticamente criar uma solicitação de acesso ao sistema, para o proprietário da empresa, responsável legal/contador, para que os mesmos possam ter um usuário no sistema para emitirem suas notas fiscais eletrônicas de serviço. Inclusive se a empresa possuir incidência de impostos e taxas como TLL entre outros, o sistema deverá gerar o cálculo tributário automático.</w:t>
      </w:r>
    </w:p>
    <w:p w14:paraId="20C07AA5" w14:textId="77777777" w:rsidR="00B307DB" w:rsidRPr="00680B5B" w:rsidRDefault="00B307DB" w:rsidP="00B307DB">
      <w:pPr>
        <w:spacing w:after="0" w:line="240" w:lineRule="auto"/>
        <w:ind w:right="-568"/>
        <w:jc w:val="both"/>
        <w:rPr>
          <w:rFonts w:ascii="Times New Roman" w:hAnsi="Times New Roman" w:cs="Times New Roman"/>
          <w:b/>
          <w:bCs/>
          <w:highlight w:val="white"/>
        </w:rPr>
      </w:pPr>
    </w:p>
    <w:p w14:paraId="132DC557"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 xml:space="preserve">2.21  MÓDULO: </w:t>
      </w:r>
      <w:r w:rsidRPr="00680B5B">
        <w:rPr>
          <w:rFonts w:ascii="Times New Roman" w:hAnsi="Times New Roman" w:cs="Times New Roman"/>
          <w:b/>
          <w:highlight w:val="white"/>
        </w:rPr>
        <w:t>GESTÃO DE OBRAS E POSTURAS</w:t>
      </w:r>
    </w:p>
    <w:p w14:paraId="5DF85353"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1.</w:t>
      </w:r>
      <w:r w:rsidRPr="00680B5B">
        <w:rPr>
          <w:rFonts w:ascii="Times New Roman" w:hAnsi="Times New Roman" w:cs="Times New Roman"/>
          <w:highlight w:val="white"/>
        </w:rPr>
        <w:t>Gerenciar e emitir documentos de:</w:t>
      </w:r>
    </w:p>
    <w:p w14:paraId="1AA18440" w14:textId="77777777" w:rsidR="00B307DB" w:rsidRPr="00680B5B" w:rsidRDefault="00B307DB" w:rsidP="00B307DB">
      <w:pPr>
        <w:pStyle w:val="PargrafodaLista"/>
        <w:numPr>
          <w:ilvl w:val="0"/>
          <w:numId w:val="55"/>
        </w:numPr>
        <w:suppressAutoHyphens/>
        <w:spacing w:after="0" w:line="240" w:lineRule="auto"/>
        <w:ind w:left="283" w:right="-568" w:hanging="283"/>
        <w:contextualSpacing w:val="0"/>
        <w:jc w:val="both"/>
        <w:rPr>
          <w:rFonts w:ascii="Times New Roman" w:hAnsi="Times New Roman" w:cs="Times New Roman"/>
        </w:rPr>
      </w:pPr>
      <w:r w:rsidRPr="00680B5B">
        <w:rPr>
          <w:rFonts w:ascii="Times New Roman" w:hAnsi="Times New Roman" w:cs="Times New Roman"/>
          <w:highlight w:val="white"/>
        </w:rPr>
        <w:t>Alvará</w:t>
      </w:r>
      <w:r w:rsidRPr="00680B5B">
        <w:rPr>
          <w:rFonts w:ascii="Times New Roman" w:hAnsi="Times New Roman" w:cs="Times New Roman"/>
        </w:rPr>
        <w:t xml:space="preserve"> de demolição, Ampliação e Reforma;</w:t>
      </w:r>
    </w:p>
    <w:p w14:paraId="415B50B5" w14:textId="77777777" w:rsidR="00B307DB" w:rsidRPr="00680B5B" w:rsidRDefault="00B307DB" w:rsidP="00B307DB">
      <w:pPr>
        <w:pStyle w:val="PargrafodaLista"/>
        <w:numPr>
          <w:ilvl w:val="0"/>
          <w:numId w:val="55"/>
        </w:numPr>
        <w:suppressAutoHyphens/>
        <w:spacing w:after="0" w:line="240" w:lineRule="auto"/>
        <w:ind w:left="283" w:right="-568" w:hanging="283"/>
        <w:contextualSpacing w:val="0"/>
        <w:jc w:val="both"/>
        <w:rPr>
          <w:rFonts w:ascii="Times New Roman" w:hAnsi="Times New Roman" w:cs="Times New Roman"/>
        </w:rPr>
      </w:pPr>
      <w:r w:rsidRPr="00680B5B">
        <w:rPr>
          <w:rFonts w:ascii="Times New Roman" w:hAnsi="Times New Roman" w:cs="Times New Roman"/>
        </w:rPr>
        <w:t>Alvará de licença de construção;</w:t>
      </w:r>
    </w:p>
    <w:p w14:paraId="67341834" w14:textId="77777777" w:rsidR="00B307DB" w:rsidRPr="00680B5B" w:rsidRDefault="00B307DB" w:rsidP="00B307DB">
      <w:pPr>
        <w:pStyle w:val="PargrafodaLista"/>
        <w:numPr>
          <w:ilvl w:val="0"/>
          <w:numId w:val="55"/>
        </w:numPr>
        <w:suppressAutoHyphens/>
        <w:spacing w:after="0" w:line="240" w:lineRule="auto"/>
        <w:ind w:left="283" w:right="-568" w:hanging="283"/>
        <w:contextualSpacing w:val="0"/>
        <w:jc w:val="both"/>
        <w:rPr>
          <w:rFonts w:ascii="Times New Roman" w:hAnsi="Times New Roman" w:cs="Times New Roman"/>
        </w:rPr>
      </w:pPr>
      <w:r w:rsidRPr="00680B5B">
        <w:rPr>
          <w:rFonts w:ascii="Times New Roman" w:hAnsi="Times New Roman" w:cs="Times New Roman"/>
        </w:rPr>
        <w:t>Habite-se;</w:t>
      </w:r>
    </w:p>
    <w:p w14:paraId="549164AC"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w:t>
      </w:r>
      <w:r w:rsidRPr="00680B5B">
        <w:rPr>
          <w:rFonts w:ascii="Times New Roman" w:hAnsi="Times New Roman" w:cs="Times New Roman"/>
        </w:rPr>
        <w:t>Gerenciar obras/alvarás de imóveis urbanos e rurais;</w:t>
      </w:r>
    </w:p>
    <w:p w14:paraId="68CFF5E5"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3.</w:t>
      </w:r>
      <w:r w:rsidRPr="00680B5B">
        <w:rPr>
          <w:rFonts w:ascii="Times New Roman" w:hAnsi="Times New Roman" w:cs="Times New Roman"/>
        </w:rPr>
        <w:t>Definir a regra de cálculo para área total do alvará, levando em consideração os valores de área existente, área ampliada, área irregular, área reforma e área a demolir;</w:t>
      </w:r>
    </w:p>
    <w:p w14:paraId="0D19431D"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4.</w:t>
      </w:r>
      <w:r w:rsidRPr="00680B5B">
        <w:rPr>
          <w:rFonts w:ascii="Times New Roman" w:hAnsi="Times New Roman" w:cs="Times New Roman"/>
        </w:rPr>
        <w:t>Possibilitar cadastro de fiscais;</w:t>
      </w:r>
    </w:p>
    <w:p w14:paraId="1D3058C0"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5.</w:t>
      </w:r>
      <w:r w:rsidRPr="00680B5B">
        <w:rPr>
          <w:rFonts w:ascii="Times New Roman" w:hAnsi="Times New Roman" w:cs="Times New Roman"/>
        </w:rPr>
        <w:t>Integração com o cadastro imobiliário. Na rotina de cadastro de imóvel urbano e rural, possibilitar detalhar    informações como: alvará de construção, processos diversos de construção relacionado ao imóvel, possibilitando ainda ter acesso as plantas e documentos do processo;</w:t>
      </w:r>
    </w:p>
    <w:p w14:paraId="62C96D7A"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6.</w:t>
      </w:r>
      <w:r w:rsidRPr="00680B5B">
        <w:rPr>
          <w:rFonts w:ascii="Times New Roman" w:hAnsi="Times New Roman" w:cs="Times New Roman"/>
        </w:rPr>
        <w:t>Possibilitar cadastrar processo de fiscalização de obras e posturas;</w:t>
      </w:r>
    </w:p>
    <w:p w14:paraId="6479D635"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7.</w:t>
      </w:r>
      <w:r w:rsidRPr="00680B5B">
        <w:rPr>
          <w:rFonts w:ascii="Times New Roman" w:hAnsi="Times New Roman" w:cs="Times New Roman"/>
        </w:rPr>
        <w:t>Gerenciar cadastro de engenheiros/arquitetos responsáveis pelas obras, com controle do número do CREA e data de validade;</w:t>
      </w:r>
    </w:p>
    <w:p w14:paraId="311B96E2"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8.</w:t>
      </w:r>
      <w:r w:rsidRPr="00680B5B">
        <w:rPr>
          <w:rFonts w:ascii="Times New Roman" w:hAnsi="Times New Roman" w:cs="Times New Roman"/>
        </w:rPr>
        <w:t>Gerenciar cadastro de construtoras, com controle de data de validade, relacionando os Engenheiros/Arquitetos;</w:t>
      </w:r>
    </w:p>
    <w:p w14:paraId="0A781799"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9.</w:t>
      </w:r>
      <w:r w:rsidRPr="00680B5B">
        <w:rPr>
          <w:rFonts w:ascii="Times New Roman" w:hAnsi="Times New Roman" w:cs="Times New Roman"/>
        </w:rPr>
        <w:t>Gerenciar e permitir cadastrar tipo de alvará a ser liberado para construção, ampliação, demolição e reforma;</w:t>
      </w:r>
    </w:p>
    <w:p w14:paraId="3C2E049A"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10.</w:t>
      </w:r>
      <w:r w:rsidRPr="00680B5B">
        <w:rPr>
          <w:rFonts w:ascii="Times New Roman" w:hAnsi="Times New Roman" w:cs="Times New Roman"/>
        </w:rPr>
        <w:t>Controlar e permitir cadastrar finalidades dos alvarás/obras contendo no mínimo, residencial, comercial, industrial, prestação de serviço, templo e mista;</w:t>
      </w:r>
    </w:p>
    <w:p w14:paraId="4C734E61"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11.</w:t>
      </w:r>
      <w:r w:rsidRPr="00680B5B">
        <w:rPr>
          <w:rFonts w:ascii="Times New Roman" w:hAnsi="Times New Roman" w:cs="Times New Roman"/>
        </w:rPr>
        <w:t>Possuir controle e permitir cadastrar os tipos de construção, com no mínimo os seguintes tipos: concreto superior, concreto médio, alvenaria superior, alvenaria média, alvenaria simples, madeira dupla, madeira simples, madeira bruta, mista simples, mista média, precária, área aberta, Box, garagem;</w:t>
      </w:r>
    </w:p>
    <w:p w14:paraId="7E92AF2F"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12.</w:t>
      </w:r>
      <w:r w:rsidRPr="00680B5B">
        <w:rPr>
          <w:rFonts w:ascii="Times New Roman" w:hAnsi="Times New Roman" w:cs="Times New Roman"/>
        </w:rPr>
        <w:t>Gerenciar cadastro dos alvarás/obras do tipo normal, regularização ou parcial;</w:t>
      </w:r>
    </w:p>
    <w:p w14:paraId="5C579702"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13.</w:t>
      </w:r>
      <w:r w:rsidRPr="00680B5B">
        <w:rPr>
          <w:rFonts w:ascii="Times New Roman" w:hAnsi="Times New Roman" w:cs="Times New Roman"/>
        </w:rPr>
        <w:t>Possibilitar nomear uma obra;</w:t>
      </w:r>
    </w:p>
    <w:p w14:paraId="27490829"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rPr>
        <w:t>14.Gerenciar novas informações a respeito do controle de alvarás/obras, sem necessidade de contratação de serviço de customização;</w:t>
      </w:r>
    </w:p>
    <w:p w14:paraId="37CADDF8"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15.</w:t>
      </w:r>
      <w:r w:rsidRPr="00680B5B">
        <w:rPr>
          <w:rFonts w:ascii="Times New Roman" w:hAnsi="Times New Roman" w:cs="Times New Roman"/>
        </w:rPr>
        <w:t>Controlar conclusão de obras/alvarás de forma parcial ou total, com a data de conclusão (no caso de conclusão parcial, deve solicitar a área da obra que foi concluída), numerando separadamente cada conclusão;</w:t>
      </w:r>
    </w:p>
    <w:p w14:paraId="7CB23B19"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16.</w:t>
      </w:r>
      <w:r w:rsidRPr="00680B5B">
        <w:rPr>
          <w:rFonts w:ascii="Times New Roman" w:hAnsi="Times New Roman" w:cs="Times New Roman"/>
        </w:rPr>
        <w:t>Emitir habite-se (conclusão de alvará) com layout totalmente configurável, com informações utilizadas no processo;</w:t>
      </w:r>
    </w:p>
    <w:p w14:paraId="5C921D46"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lastRenderedPageBreak/>
        <w:t>17.</w:t>
      </w:r>
      <w:r w:rsidRPr="00680B5B">
        <w:rPr>
          <w:rFonts w:ascii="Times New Roman" w:hAnsi="Times New Roman" w:cs="Times New Roman"/>
        </w:rPr>
        <w:t>Relacionar</w:t>
      </w:r>
      <w:r w:rsidRPr="00680B5B">
        <w:rPr>
          <w:rFonts w:ascii="Times New Roman" w:hAnsi="Times New Roman" w:cs="Times New Roman"/>
        </w:rPr>
        <w:tab/>
        <w:t>os</w:t>
      </w:r>
      <w:r w:rsidRPr="00680B5B">
        <w:rPr>
          <w:rFonts w:ascii="Times New Roman" w:hAnsi="Times New Roman" w:cs="Times New Roman"/>
        </w:rPr>
        <w:tab/>
        <w:t>fiscais</w:t>
      </w:r>
      <w:r w:rsidRPr="00680B5B">
        <w:rPr>
          <w:rFonts w:ascii="Times New Roman" w:hAnsi="Times New Roman" w:cs="Times New Roman"/>
        </w:rPr>
        <w:tab/>
        <w:t>responsáveis</w:t>
      </w:r>
      <w:r w:rsidRPr="00680B5B">
        <w:rPr>
          <w:rFonts w:ascii="Times New Roman" w:hAnsi="Times New Roman" w:cs="Times New Roman"/>
        </w:rPr>
        <w:tab/>
        <w:t>na conclusão de obras/alvarás;</w:t>
      </w:r>
    </w:p>
    <w:p w14:paraId="6C79F58C"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18.</w:t>
      </w:r>
      <w:r w:rsidRPr="00680B5B">
        <w:rPr>
          <w:rFonts w:ascii="Times New Roman" w:hAnsi="Times New Roman" w:cs="Times New Roman"/>
        </w:rPr>
        <w:t>Permitir o cálculo/lançamento de valores para os diversos tipos de alvarás, bem como o lançamento de taxas e tributos diversos conforme definido em suas fórmulas de cálculo;</w:t>
      </w:r>
    </w:p>
    <w:p w14:paraId="1DCDE403"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19.</w:t>
      </w:r>
      <w:r w:rsidRPr="00680B5B">
        <w:rPr>
          <w:rFonts w:ascii="Times New Roman" w:hAnsi="Times New Roman" w:cs="Times New Roman"/>
        </w:rPr>
        <w:t>Possibilitar a emissão da análise de viabilidade de construção/reforma/demolição e/ou parcelamento de solo de forma on-line, emitindo o documento da viabilidade automaticamente, sem intervenção humana, enviando-a automaticamente para o e-mail do requerente quando ocorrer a quitação da taxa de protocolo. Sistema deve buscar dados do imóvel para emissão da viabilidade tais como, zoneamento, índices urbanísticos, dados territoriais, etc;</w:t>
      </w:r>
    </w:p>
    <w:p w14:paraId="7EB10D25"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20</w:t>
      </w:r>
      <w:r w:rsidRPr="00680B5B">
        <w:rPr>
          <w:rFonts w:ascii="Times New Roman" w:hAnsi="Times New Roman" w:cs="Times New Roman"/>
        </w:rPr>
        <w:t>.Possibilitar a solicitação da análise de projetos de forma on-line, possuindo recurso de configurar os documentos obrigatórios e opcionais. Permitir registrar pareceres da análise de projeto, podendo o servidor municipal retornar o processo ao requerente para correções do projeto e permitir o cidadão solicitar nova reanálise;</w:t>
      </w:r>
    </w:p>
    <w:p w14:paraId="69523E46"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21.</w:t>
      </w:r>
      <w:r w:rsidRPr="00680B5B">
        <w:rPr>
          <w:rFonts w:ascii="Times New Roman" w:hAnsi="Times New Roman" w:cs="Times New Roman"/>
        </w:rPr>
        <w:t>Permitir que quando deferido a análise de projeto no mesmo processo seja emitido o documento de Alvará, com a possibilidade de assinar digitalmente e disponibilizá-lo ao cidadão via portal de serviço.</w:t>
      </w:r>
    </w:p>
    <w:p w14:paraId="132BEAC2"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22.</w:t>
      </w:r>
      <w:r w:rsidRPr="00680B5B">
        <w:rPr>
          <w:rFonts w:ascii="Times New Roman" w:hAnsi="Times New Roman" w:cs="Times New Roman"/>
        </w:rPr>
        <w:t>Possibilitar assinatura digital dos projetos aprovados, possuindo recurso de criação e inserção de carimbos de forma digital.</w:t>
      </w:r>
    </w:p>
    <w:p w14:paraId="16D9DA76"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23.</w:t>
      </w:r>
      <w:r w:rsidRPr="00680B5B">
        <w:rPr>
          <w:rFonts w:ascii="Times New Roman" w:hAnsi="Times New Roman" w:cs="Times New Roman"/>
        </w:rPr>
        <w:t>Permitir solicitar a vistoria e o Habite-se de construção de forma on-line em um único processo, com a opção de configurar os documentos obrigatórios e opcionais;</w:t>
      </w:r>
    </w:p>
    <w:p w14:paraId="3E9EAD5F"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24.</w:t>
      </w:r>
      <w:r w:rsidRPr="00680B5B">
        <w:rPr>
          <w:rFonts w:ascii="Times New Roman" w:hAnsi="Times New Roman" w:cs="Times New Roman"/>
        </w:rPr>
        <w:t>Emitir as guias com layout personalizado, com código de barras padrão FEBRABAN, calculando automaticamente os acréscimos para o caso de pagamentos em atraso;</w:t>
      </w:r>
    </w:p>
    <w:p w14:paraId="686DDA72"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25.</w:t>
      </w:r>
      <w:r w:rsidRPr="00680B5B">
        <w:rPr>
          <w:rFonts w:ascii="Times New Roman" w:hAnsi="Times New Roman" w:cs="Times New Roman"/>
        </w:rPr>
        <w:t>Gerar arquivos contendo as informações dos alvarás para o INSS;</w:t>
      </w:r>
    </w:p>
    <w:p w14:paraId="59622573"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26.</w:t>
      </w:r>
      <w:r w:rsidRPr="00680B5B">
        <w:rPr>
          <w:rFonts w:ascii="Times New Roman" w:hAnsi="Times New Roman" w:cs="Times New Roman"/>
        </w:rPr>
        <w:t>Permitir que as rotinas de alvará de obras e alvarás de parcelamento de solo sejam utilizadas por rotinas automatizadas através de ferramenta de workflow;</w:t>
      </w:r>
    </w:p>
    <w:p w14:paraId="2543850B"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27.</w:t>
      </w:r>
      <w:r w:rsidRPr="00680B5B">
        <w:rPr>
          <w:rFonts w:ascii="Times New Roman" w:hAnsi="Times New Roman" w:cs="Times New Roman"/>
        </w:rPr>
        <w:t>Possibilitar atualizar automaticamente os dados do cadastro imobiliário ao concluir uma obra;</w:t>
      </w:r>
    </w:p>
    <w:p w14:paraId="2A53CFCA"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28.</w:t>
      </w:r>
      <w:r w:rsidRPr="00680B5B">
        <w:rPr>
          <w:rFonts w:ascii="Times New Roman" w:hAnsi="Times New Roman" w:cs="Times New Roman"/>
        </w:rPr>
        <w:t>Permitir gerar processo fiscal para obras sem o devido alvará;</w:t>
      </w:r>
    </w:p>
    <w:p w14:paraId="6C573539"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29.</w:t>
      </w:r>
      <w:r w:rsidRPr="00680B5B">
        <w:rPr>
          <w:rFonts w:ascii="Times New Roman" w:hAnsi="Times New Roman" w:cs="Times New Roman"/>
        </w:rPr>
        <w:t>Permitir gerar notificação fiscal para obras sem o devido alvará;</w:t>
      </w:r>
    </w:p>
    <w:p w14:paraId="68A1B86D"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30.</w:t>
      </w:r>
      <w:r w:rsidRPr="00680B5B">
        <w:rPr>
          <w:rFonts w:ascii="Times New Roman" w:hAnsi="Times New Roman" w:cs="Times New Roman"/>
        </w:rPr>
        <w:t>Permitir gerar auto de infração para obras sem o devido alvará;</w:t>
      </w:r>
    </w:p>
    <w:p w14:paraId="1F2D1D05"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31</w:t>
      </w:r>
      <w:r w:rsidRPr="00680B5B">
        <w:rPr>
          <w:rFonts w:ascii="Times New Roman" w:hAnsi="Times New Roman" w:cs="Times New Roman"/>
        </w:rPr>
        <w:t>.Permitir embargar uma obra;</w:t>
      </w:r>
    </w:p>
    <w:p w14:paraId="20BF001E"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32.</w:t>
      </w:r>
      <w:r w:rsidRPr="00680B5B">
        <w:rPr>
          <w:rFonts w:ascii="Times New Roman" w:hAnsi="Times New Roman" w:cs="Times New Roman"/>
        </w:rPr>
        <w:t>Permitir gerar uma notificação preliminar;</w:t>
      </w:r>
    </w:p>
    <w:p w14:paraId="5A743452"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33.</w:t>
      </w:r>
      <w:r w:rsidRPr="00680B5B">
        <w:rPr>
          <w:rFonts w:ascii="Times New Roman" w:hAnsi="Times New Roman" w:cs="Times New Roman"/>
        </w:rPr>
        <w:t>Permitir inserir fotos/anexos em um processo de fiscalização;</w:t>
      </w:r>
    </w:p>
    <w:p w14:paraId="37081B2F"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34.</w:t>
      </w:r>
      <w:r w:rsidRPr="00680B5B">
        <w:rPr>
          <w:rFonts w:ascii="Times New Roman" w:hAnsi="Times New Roman" w:cs="Times New Roman"/>
        </w:rPr>
        <w:t>Possibilitar a criação de assuntos de processo de fiscalização, podendo cada assunto ter um fluxo de processos espe</w:t>
      </w:r>
      <w:r w:rsidRPr="00680B5B">
        <w:rPr>
          <w:rFonts w:ascii="Times New Roman" w:hAnsi="Times New Roman" w:cs="Times New Roman"/>
          <w:highlight w:val="white"/>
        </w:rPr>
        <w:t>cifico criado e determinado pelo usuário;</w:t>
      </w:r>
    </w:p>
    <w:p w14:paraId="4D07BB68" w14:textId="77777777" w:rsidR="00B307DB" w:rsidRPr="00680B5B" w:rsidRDefault="00B307DB" w:rsidP="00B307DB">
      <w:pPr>
        <w:spacing w:after="0" w:line="240" w:lineRule="auto"/>
        <w:ind w:right="-568"/>
        <w:jc w:val="both"/>
        <w:rPr>
          <w:rFonts w:ascii="Times New Roman" w:hAnsi="Times New Roman" w:cs="Times New Roman"/>
          <w:highlight w:val="white"/>
        </w:rPr>
      </w:pPr>
    </w:p>
    <w:p w14:paraId="3CAD5CBF"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2.22  MÓDULO: PORTAL INSTITUCIONAL</w:t>
      </w:r>
    </w:p>
    <w:p w14:paraId="61CBEEAA" w14:textId="77777777" w:rsidR="00B307DB" w:rsidRPr="00680B5B" w:rsidRDefault="00B307DB" w:rsidP="00B2664C">
      <w:pPr>
        <w:pStyle w:val="PargrafodaLista"/>
        <w:widowControl w:val="0"/>
        <w:numPr>
          <w:ilvl w:val="0"/>
          <w:numId w:val="322"/>
        </w:numPr>
        <w:tabs>
          <w:tab w:val="clear" w:pos="720"/>
          <w:tab w:val="left" w:pos="348"/>
          <w:tab w:val="num" w:pos="851"/>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cadastrar serviços informativos, com a finalidade de orientação aos</w:t>
      </w:r>
      <w:r w:rsidRPr="00680B5B">
        <w:rPr>
          <w:rFonts w:ascii="Times New Roman" w:hAnsi="Times New Roman" w:cs="Times New Roman"/>
        </w:rPr>
        <w:t xml:space="preserve"> contribuintes, contendo</w:t>
      </w:r>
      <w:r w:rsidRPr="00680B5B">
        <w:rPr>
          <w:rFonts w:ascii="Times New Roman" w:hAnsi="Times New Roman" w:cs="Times New Roman"/>
          <w:spacing w:val="1"/>
        </w:rPr>
        <w:t xml:space="preserve"> </w:t>
      </w:r>
      <w:r w:rsidRPr="00680B5B">
        <w:rPr>
          <w:rFonts w:ascii="Times New Roman" w:hAnsi="Times New Roman" w:cs="Times New Roman"/>
        </w:rPr>
        <w:t>requisitos</w:t>
      </w:r>
      <w:r w:rsidRPr="00680B5B">
        <w:rPr>
          <w:rFonts w:ascii="Times New Roman" w:hAnsi="Times New Roman" w:cs="Times New Roman"/>
          <w:spacing w:val="-1"/>
        </w:rPr>
        <w:t xml:space="preserve"> </w:t>
      </w:r>
      <w:r w:rsidRPr="00680B5B">
        <w:rPr>
          <w:rFonts w:ascii="Times New Roman" w:hAnsi="Times New Roman" w:cs="Times New Roman"/>
        </w:rPr>
        <w:t>e</w:t>
      </w:r>
      <w:r w:rsidRPr="00680B5B">
        <w:rPr>
          <w:rFonts w:ascii="Times New Roman" w:hAnsi="Times New Roman" w:cs="Times New Roman"/>
          <w:spacing w:val="-2"/>
        </w:rPr>
        <w:t xml:space="preserve"> </w:t>
      </w:r>
      <w:r w:rsidRPr="00680B5B">
        <w:rPr>
          <w:rFonts w:ascii="Times New Roman" w:hAnsi="Times New Roman" w:cs="Times New Roman"/>
        </w:rPr>
        <w:t>outros</w:t>
      </w:r>
      <w:r w:rsidRPr="00680B5B">
        <w:rPr>
          <w:rFonts w:ascii="Times New Roman" w:hAnsi="Times New Roman" w:cs="Times New Roman"/>
          <w:spacing w:val="-1"/>
        </w:rPr>
        <w:t xml:space="preserve"> </w:t>
      </w:r>
      <w:r w:rsidRPr="00680B5B">
        <w:rPr>
          <w:rFonts w:ascii="Times New Roman" w:hAnsi="Times New Roman" w:cs="Times New Roman"/>
        </w:rPr>
        <w:t>dados</w:t>
      </w:r>
      <w:r w:rsidRPr="00680B5B">
        <w:rPr>
          <w:rFonts w:ascii="Times New Roman" w:hAnsi="Times New Roman" w:cs="Times New Roman"/>
          <w:spacing w:val="1"/>
        </w:rPr>
        <w:t xml:space="preserve"> </w:t>
      </w:r>
      <w:r w:rsidRPr="00680B5B">
        <w:rPr>
          <w:rFonts w:ascii="Times New Roman" w:hAnsi="Times New Roman" w:cs="Times New Roman"/>
        </w:rPr>
        <w:t>sobre</w:t>
      </w:r>
      <w:r w:rsidRPr="00680B5B">
        <w:rPr>
          <w:rFonts w:ascii="Times New Roman" w:hAnsi="Times New Roman" w:cs="Times New Roman"/>
          <w:spacing w:val="-5"/>
        </w:rPr>
        <w:t xml:space="preserve"> </w:t>
      </w:r>
      <w:r w:rsidRPr="00680B5B">
        <w:rPr>
          <w:rFonts w:ascii="Times New Roman" w:hAnsi="Times New Roman" w:cs="Times New Roman"/>
        </w:rPr>
        <w:t>quaisquer</w:t>
      </w:r>
      <w:r w:rsidRPr="00680B5B">
        <w:rPr>
          <w:rFonts w:ascii="Times New Roman" w:hAnsi="Times New Roman" w:cs="Times New Roman"/>
          <w:spacing w:val="-1"/>
        </w:rPr>
        <w:t xml:space="preserve"> </w:t>
      </w:r>
      <w:r w:rsidRPr="00680B5B">
        <w:rPr>
          <w:rFonts w:ascii="Times New Roman" w:hAnsi="Times New Roman" w:cs="Times New Roman"/>
        </w:rPr>
        <w:t>serviços</w:t>
      </w:r>
      <w:r w:rsidRPr="00680B5B">
        <w:rPr>
          <w:rFonts w:ascii="Times New Roman" w:hAnsi="Times New Roman" w:cs="Times New Roman"/>
          <w:spacing w:val="-1"/>
        </w:rPr>
        <w:t xml:space="preserve"> </w:t>
      </w:r>
      <w:r w:rsidRPr="00680B5B">
        <w:rPr>
          <w:rFonts w:ascii="Times New Roman" w:hAnsi="Times New Roman" w:cs="Times New Roman"/>
        </w:rPr>
        <w:t>prestados</w:t>
      </w:r>
      <w:r w:rsidRPr="00680B5B">
        <w:rPr>
          <w:rFonts w:ascii="Times New Roman" w:hAnsi="Times New Roman" w:cs="Times New Roman"/>
          <w:spacing w:val="-2"/>
        </w:rPr>
        <w:t xml:space="preserve"> </w:t>
      </w:r>
      <w:r w:rsidRPr="00680B5B">
        <w:rPr>
          <w:rFonts w:ascii="Times New Roman" w:hAnsi="Times New Roman" w:cs="Times New Roman"/>
        </w:rPr>
        <w:t>pela</w:t>
      </w:r>
      <w:r w:rsidRPr="00680B5B">
        <w:rPr>
          <w:rFonts w:ascii="Times New Roman" w:hAnsi="Times New Roman" w:cs="Times New Roman"/>
          <w:spacing w:val="-1"/>
        </w:rPr>
        <w:t xml:space="preserve"> </w:t>
      </w:r>
      <w:r w:rsidRPr="00680B5B">
        <w:rPr>
          <w:rFonts w:ascii="Times New Roman" w:hAnsi="Times New Roman" w:cs="Times New Roman"/>
        </w:rPr>
        <w:t>Entidade ao cidadão.</w:t>
      </w:r>
    </w:p>
    <w:p w14:paraId="678FE372"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Dispor de uma área para consultar os dados de Acesso à Informação, conforme estabelecido na Lei 12.527/2011, abrangendo obras e ações, estrutura organizacional, perguntas frequentes, horário de atendimento e o nome do usuário responsável.</w:t>
      </w:r>
    </w:p>
    <w:p w14:paraId="161577A4"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Possibilitar o cadastro de enquetes no portal da entidade, com configuração para exigir autenticação do usuário para registro do voto.</w:t>
      </w:r>
    </w:p>
    <w:p w14:paraId="509B7F48"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categorias, para possam ser utilizadas em cadastros posteriores.</w:t>
      </w:r>
    </w:p>
    <w:p w14:paraId="786EC98A"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notícias no portal, com a opção de incluir imagens, serviços, links, categorias e páginas relacionadas.</w:t>
      </w:r>
    </w:p>
    <w:p w14:paraId="4D36B1E9"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filtrar as notícias de acordo com sua categoria.</w:t>
      </w:r>
    </w:p>
    <w:p w14:paraId="46541E5F"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definição de notícias para exibir em destaque na página inicial do portal da entidade.</w:t>
      </w:r>
    </w:p>
    <w:p w14:paraId="241DFD7A"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O portal institucional deverá dispor de layout responsivo, adaptando-se a dispositivos móveis.</w:t>
      </w:r>
    </w:p>
    <w:p w14:paraId="2D91F86E"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cadastro de avisos no portal, que devem ser exibidos em forma de pop-up, com a capacidade de adicionar imagem, vídeo e link.</w:t>
      </w:r>
    </w:p>
    <w:p w14:paraId="53F455E6"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das transmissões de licitações, possuindo indicador das licitações que estão sendo transmitidas ao vivo.</w:t>
      </w:r>
    </w:p>
    <w:p w14:paraId="5F902C66"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agenda no portal, permitindo organizar os eventos da entidade, com a possibilidade do cidadão acompanhar de maneira online as atualizações.</w:t>
      </w:r>
    </w:p>
    <w:p w14:paraId="390428B6"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cadastro de mídias no portal para centralizar arquivos para uso posterior em notícias, serviços e páginas.</w:t>
      </w:r>
    </w:p>
    <w:p w14:paraId="6F9A97EB"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banners no portal, com configuração do local de exibição e relacionamento.</w:t>
      </w:r>
    </w:p>
    <w:p w14:paraId="18C30F5B"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lastRenderedPageBreak/>
        <w:t>Permitir o cadastro de menus para facilitar a navegação, com opções de configuração do relacionamento.</w:t>
      </w:r>
    </w:p>
    <w:p w14:paraId="0E30C8A3"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cadastro de galerias, vídeos e links para acesso através do portal.</w:t>
      </w:r>
    </w:p>
    <w:p w14:paraId="008DDFFF"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personalização da cor do tema do portal para adequá-lo às cores do brasão da entidade.</w:t>
      </w:r>
    </w:p>
    <w:p w14:paraId="5DD6F7C0"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Disponibilizar área de acesso direto ao portal de autoatendimento, incluindo um atalho para login.</w:t>
      </w:r>
    </w:p>
    <w:p w14:paraId="1AEB70D9"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menu rotativo com ícones e serviços relacionados.</w:t>
      </w:r>
    </w:p>
    <w:p w14:paraId="5554E995"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parametrização para definir a quantidade de notícias exibidas na página inicial do portal.</w:t>
      </w:r>
    </w:p>
    <w:p w14:paraId="3591CE2C"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cadastro de links úteis para disponibilizar informações relevantes aos cidadãos.</w:t>
      </w:r>
    </w:p>
    <w:p w14:paraId="359F4E0B"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geração de relatórios das notícias mais acessadas no portal, com filtro por período.</w:t>
      </w:r>
    </w:p>
    <w:p w14:paraId="3B81D097"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 xml:space="preserve">Permitir a criação de subportais relacionados ao website da entidade, </w:t>
      </w:r>
      <w:r w:rsidRPr="00680B5B">
        <w:rPr>
          <w:rFonts w:ascii="Times New Roman" w:hAnsi="Times New Roman" w:cs="Times New Roman"/>
        </w:rPr>
        <w:t>onde secretarias/departamentos podem disponibilizar informações específicas a comunidade</w:t>
      </w:r>
      <w:r w:rsidRPr="00680B5B">
        <w:rPr>
          <w:rFonts w:ascii="Times New Roman" w:hAnsi="Times New Roman" w:cs="Times New Roman"/>
          <w:spacing w:val="-4"/>
        </w:rPr>
        <w:t>.</w:t>
      </w:r>
    </w:p>
    <w:p w14:paraId="7E2C0D77"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parametrizações para a página do subportal, onde seja possível definir conteúdo, serviços relacionados, notícias, eventos, imagens e links úteis.</w:t>
      </w:r>
    </w:p>
    <w:p w14:paraId="7B0D7B8C"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na personalização do subportal a adição de banners, menus e brasões específicos.</w:t>
      </w:r>
    </w:p>
    <w:p w14:paraId="4F49AAA9"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Dispor de configuração para definir a ordenação dos banners exibidos no topo do portal e subportal.</w:t>
      </w:r>
    </w:p>
    <w:p w14:paraId="5824F886"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ativar ou desativar banners para acesso direto às obras e ações da entidade.</w:t>
      </w:r>
    </w:p>
    <w:p w14:paraId="1D5F126F"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Possibilitar a exibição de banners para acompanhar as licitações realizadas ao vivo, incluindo dados relacionados ao processo licitatório.</w:t>
      </w:r>
    </w:p>
    <w:p w14:paraId="6352F96C"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Possibilitar o cadastro de e-mails para receber newsletter.</w:t>
      </w:r>
    </w:p>
    <w:p w14:paraId="0137A0EB"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Exibir dados de endereço e contato da entidade no portal.</w:t>
      </w:r>
    </w:p>
    <w:p w14:paraId="4E251470"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Dispor de local para cadastrar e exibir o horário de atendimento da entidade.</w:t>
      </w:r>
    </w:p>
    <w:p w14:paraId="7F8DE7F3"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campo de pesquisa que retorne informações de notícias, serviços, eventos, entre outros.</w:t>
      </w:r>
    </w:p>
    <w:p w14:paraId="020843BA"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Dispor de uma área específica para informações de acessibilidade, como alto contraste, aumento e diminuição de fonte e ferramenta Libras.</w:t>
      </w:r>
    </w:p>
    <w:p w14:paraId="121AE029"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gerenciamento dos cookies para aceitação dos usuários que acessam o website.</w:t>
      </w:r>
    </w:p>
    <w:p w14:paraId="2C16311B"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Disponibilizar área para exibir os ícones de redes sociais da entidade.</w:t>
      </w:r>
    </w:p>
    <w:p w14:paraId="6A66A9BB"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que cada entidade relacionada neste edital tenha seu próprio website, acessível por meio de um domínio específico da entidade.</w:t>
      </w:r>
    </w:p>
    <w:p w14:paraId="7F8A4B5D"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o cadastro de menus, notícias, páginas e galerias de imagens e vídeos, com exibição no respectivo website.</w:t>
      </w:r>
    </w:p>
    <w:p w14:paraId="777A2638"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criação de temas para definição no website, para utilização conforme a necessidade da entidade.</w:t>
      </w:r>
    </w:p>
    <w:p w14:paraId="241920DD"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Possibilitar a definição de cor para o tema, com seleção entre uma paleta variada de cores.</w:t>
      </w:r>
    </w:p>
    <w:p w14:paraId="730E9520"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que os temas sejam compostos por áreas, ordenadas de acordo com a necessidade da contratante.</w:t>
      </w:r>
    </w:p>
    <w:p w14:paraId="117BDA79"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que cada área seja composta por elementos, organizados para exibição no website conforme a necessidade da contratante.</w:t>
      </w:r>
    </w:p>
    <w:p w14:paraId="57791285"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inclusão ou ocultação de elementos do website.</w:t>
      </w:r>
    </w:p>
    <w:p w14:paraId="5AC86BDB"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Permitir a alteração de localização dos elementos no website.</w:t>
      </w:r>
    </w:p>
    <w:p w14:paraId="55DE8DD8"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de cards personalizados, definindo o redirecionamento, a cor, o ícone e o título</w:t>
      </w:r>
      <w:r w:rsidRPr="00680B5B">
        <w:rPr>
          <w:rFonts w:ascii="Times New Roman" w:hAnsi="Times New Roman" w:cs="Times New Roman"/>
          <w:spacing w:val="-4"/>
        </w:rPr>
        <w:t>.</w:t>
      </w:r>
    </w:p>
    <w:p w14:paraId="55F476C7" w14:textId="77777777" w:rsidR="00B307DB" w:rsidRPr="00680B5B" w:rsidRDefault="00B307DB" w:rsidP="00B2664C">
      <w:pPr>
        <w:pStyle w:val="PargrafodaLista"/>
        <w:widowControl w:val="0"/>
        <w:numPr>
          <w:ilvl w:val="0"/>
          <w:numId w:val="322"/>
        </w:numPr>
        <w:tabs>
          <w:tab w:val="left" w:pos="348"/>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spacing w:val="-4"/>
        </w:rPr>
        <w:t>Possuir painéis indicadores para visualizar dados das notícias, como quantidade de acessos e quantidade de acessos por dia.</w:t>
      </w:r>
    </w:p>
    <w:p w14:paraId="1E7D8BEF" w14:textId="77777777" w:rsidR="00B307DB" w:rsidRPr="00680B5B" w:rsidRDefault="00B307DB" w:rsidP="00B307DB">
      <w:pPr>
        <w:spacing w:after="0" w:line="240" w:lineRule="auto"/>
        <w:ind w:right="-568"/>
        <w:jc w:val="both"/>
        <w:rPr>
          <w:rFonts w:ascii="Times New Roman" w:hAnsi="Times New Roman" w:cs="Times New Roman"/>
          <w:highlight w:val="yellow"/>
          <w:lang w:val="pt-PT"/>
        </w:rPr>
      </w:pPr>
    </w:p>
    <w:p w14:paraId="516E08EB"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 xml:space="preserve">2.23  MÓDULO: </w:t>
      </w:r>
      <w:r w:rsidRPr="00680B5B">
        <w:rPr>
          <w:rFonts w:ascii="Times New Roman" w:hAnsi="Times New Roman" w:cs="Times New Roman"/>
          <w:b/>
          <w:lang w:val="pt-PT"/>
        </w:rPr>
        <w:t>PORTAL DA TRANSPARÊNCIA</w:t>
      </w:r>
    </w:p>
    <w:p w14:paraId="055908F3"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right="-568"/>
        <w:contextualSpacing w:val="0"/>
        <w:jc w:val="both"/>
        <w:rPr>
          <w:rFonts w:ascii="Times New Roman" w:hAnsi="Times New Roman" w:cs="Times New Roman"/>
        </w:rPr>
      </w:pPr>
      <w:r w:rsidRPr="00680B5B">
        <w:rPr>
          <w:rFonts w:ascii="Times New Roman" w:hAnsi="Times New Roman" w:cs="Times New Roman"/>
          <w:lang w:val="pt-PT"/>
        </w:rPr>
        <w:t>Atender às Leis Complementares nº 101 e nº 131 da Secretaria do Tesouro Nacional</w:t>
      </w:r>
      <w:r w:rsidRPr="00680B5B">
        <w:rPr>
          <w:rFonts w:ascii="Times New Roman" w:hAnsi="Times New Roman" w:cs="Times New Roman"/>
        </w:rPr>
        <w:t>.</w:t>
      </w:r>
    </w:p>
    <w:p w14:paraId="43B90321"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Atender aos anexos da Lei nº 9.755/98 do TCU</w:t>
      </w:r>
      <w:r w:rsidRPr="00680B5B">
        <w:rPr>
          <w:rFonts w:ascii="Times New Roman" w:hAnsi="Times New Roman" w:cs="Times New Roman"/>
        </w:rPr>
        <w:t>.</w:t>
      </w:r>
    </w:p>
    <w:p w14:paraId="2BB9F350"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Atender aos preceitos da Lei Federal no 12.527/2011 (Lei de Acesso à Informação)</w:t>
      </w:r>
      <w:r w:rsidRPr="00680B5B">
        <w:rPr>
          <w:rFonts w:ascii="Times New Roman" w:hAnsi="Times New Roman" w:cs="Times New Roman"/>
        </w:rPr>
        <w:t>.</w:t>
      </w:r>
      <w:r w:rsidRPr="00680B5B">
        <w:rPr>
          <w:rFonts w:ascii="Times New Roman" w:hAnsi="Times New Roman" w:cs="Times New Roman"/>
        </w:rPr>
        <w:tab/>
      </w:r>
    </w:p>
    <w:p w14:paraId="17B8143D"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Disponibilizar as informações em tempo real no portal, sem necessidade de digitação, exportação ou importação de dados</w:t>
      </w:r>
      <w:r w:rsidRPr="00680B5B">
        <w:rPr>
          <w:rFonts w:ascii="Times New Roman" w:hAnsi="Times New Roman" w:cs="Times New Roman"/>
        </w:rPr>
        <w:t>.</w:t>
      </w:r>
    </w:p>
    <w:p w14:paraId="0BED2947"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informações com filtro de período</w:t>
      </w:r>
      <w:r w:rsidRPr="00680B5B">
        <w:rPr>
          <w:rFonts w:ascii="Times New Roman" w:hAnsi="Times New Roman" w:cs="Times New Roman"/>
        </w:rPr>
        <w:t>, permitindo as ordenações de consultas por valores.</w:t>
      </w:r>
    </w:p>
    <w:p w14:paraId="2455365A"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Permitir que as consultas sejam gerenciadas pelos usuários, definindo quais consultas serão disponibilizadas no portal e realizando as devidas parametrizações</w:t>
      </w:r>
      <w:r w:rsidRPr="00680B5B">
        <w:rPr>
          <w:rFonts w:ascii="Times New Roman" w:hAnsi="Times New Roman" w:cs="Times New Roman"/>
        </w:rPr>
        <w:t>.</w:t>
      </w:r>
    </w:p>
    <w:p w14:paraId="7412DEF4"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Possuir cadastro de aviso que será exibido no portal em forma de popup, com possibilidade de adicionar imagem</w:t>
      </w:r>
      <w:r w:rsidRPr="00680B5B">
        <w:rPr>
          <w:rFonts w:ascii="Times New Roman" w:hAnsi="Times New Roman" w:cs="Times New Roman"/>
        </w:rPr>
        <w:t>.</w:t>
      </w:r>
    </w:p>
    <w:p w14:paraId="130022B1"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Possuir rotina para publicação de relatórios no portal, permitindo gerar pdf das informações geradas no sistema de gestão e adicionar como anexo do registro cadastrado.</w:t>
      </w:r>
    </w:p>
    <w:p w14:paraId="073F9115"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relatórios em vários formatos no portal, permitindo o upload dessas informações.</w:t>
      </w:r>
    </w:p>
    <w:p w14:paraId="2CAD8F9F"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cadastrar um aviso fixo no cabeçalho do portal da transparência. </w:t>
      </w:r>
    </w:p>
    <w:p w14:paraId="196B9B0F"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 xml:space="preserve">Permitir cadastrar banners que serão exibidos na página inicial do rodapé, realizando o redirecionamento destes para links de acordo com a necessidade da contratante. </w:t>
      </w:r>
    </w:p>
    <w:p w14:paraId="50284F30"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Cadastrar novos grupos de consulta para ampliação das informações além das disponibilizadas de forma padrão</w:t>
      </w:r>
      <w:r w:rsidRPr="00680B5B">
        <w:rPr>
          <w:rFonts w:ascii="Times New Roman" w:hAnsi="Times New Roman" w:cs="Times New Roman"/>
        </w:rPr>
        <w:t>.</w:t>
      </w:r>
    </w:p>
    <w:p w14:paraId="3572BBE1"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Possuir campo de busca para facilitar na localização das consultas</w:t>
      </w:r>
      <w:r w:rsidRPr="00680B5B">
        <w:rPr>
          <w:rFonts w:ascii="Times New Roman" w:hAnsi="Times New Roman" w:cs="Times New Roman"/>
        </w:rPr>
        <w:t>.</w:t>
      </w:r>
    </w:p>
    <w:p w14:paraId="0D9E7F9B"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Criar novas consultas, com possibilidade de realizar upload de arquivos organizando-os com agrupadores, bem como o relacionamento de links externos</w:t>
      </w:r>
      <w:r w:rsidRPr="00680B5B">
        <w:rPr>
          <w:rFonts w:ascii="Times New Roman" w:hAnsi="Times New Roman" w:cs="Times New Roman"/>
        </w:rPr>
        <w:t>.</w:t>
      </w:r>
    </w:p>
    <w:p w14:paraId="1492211F"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Imprimir as consultas em vários formatos, considerando: PDF, DOC, XLS, JPEG, CSV, entre outros</w:t>
      </w:r>
      <w:r w:rsidRPr="00680B5B">
        <w:rPr>
          <w:rFonts w:ascii="Times New Roman" w:hAnsi="Times New Roman" w:cs="Times New Roman"/>
        </w:rPr>
        <w:t>.</w:t>
      </w:r>
    </w:p>
    <w:p w14:paraId="450D6480"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 xml:space="preserve">Consultar informações básicas sobre </w:t>
      </w:r>
      <w:r w:rsidRPr="00680B5B">
        <w:rPr>
          <w:rFonts w:ascii="Times New Roman" w:hAnsi="Times New Roman" w:cs="Times New Roman"/>
        </w:rPr>
        <w:t>os contratos das entidades.</w:t>
      </w:r>
    </w:p>
    <w:p w14:paraId="2DD54BDB"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consulta de repasses de </w:t>
      </w:r>
      <w:r w:rsidRPr="00680B5B">
        <w:rPr>
          <w:rFonts w:ascii="Times New Roman" w:hAnsi="Times New Roman" w:cs="Times New Roman"/>
          <w:lang w:val="pt-PT"/>
        </w:rPr>
        <w:t>convênios</w:t>
      </w:r>
      <w:r w:rsidRPr="00680B5B">
        <w:rPr>
          <w:rFonts w:ascii="Times New Roman" w:hAnsi="Times New Roman" w:cs="Times New Roman"/>
        </w:rPr>
        <w:t>. A consulta deve demonstrar os valores repassados e os dados do convênio como data de celebração, vigência e objeto.</w:t>
      </w:r>
    </w:p>
    <w:p w14:paraId="6ACBE3BA"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consulta de </w:t>
      </w:r>
      <w:r w:rsidRPr="00680B5B">
        <w:rPr>
          <w:rFonts w:ascii="Times New Roman" w:hAnsi="Times New Roman" w:cs="Times New Roman"/>
          <w:lang w:val="pt-PT"/>
        </w:rPr>
        <w:t>licitações</w:t>
      </w:r>
      <w:r w:rsidRPr="00680B5B">
        <w:rPr>
          <w:rFonts w:ascii="Times New Roman" w:hAnsi="Times New Roman" w:cs="Times New Roman"/>
        </w:rPr>
        <w:t xml:space="preserve">, que permita a consulta de todos os anexos relacionados a licitação. </w:t>
      </w:r>
    </w:p>
    <w:p w14:paraId="2AEC483D"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w:t>
      </w:r>
      <w:r w:rsidRPr="00680B5B">
        <w:rPr>
          <w:rFonts w:ascii="Times New Roman" w:hAnsi="Times New Roman" w:cs="Times New Roman"/>
          <w:lang w:val="pt-PT"/>
        </w:rPr>
        <w:t>consulta de bens públicos que integram o patrimônio</w:t>
      </w:r>
      <w:r w:rsidRPr="00680B5B">
        <w:rPr>
          <w:rFonts w:ascii="Times New Roman" w:hAnsi="Times New Roman" w:cs="Times New Roman"/>
        </w:rPr>
        <w:t>.</w:t>
      </w:r>
    </w:p>
    <w:p w14:paraId="459C14C4"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a consulta da linha de tempo do bem, exibindo desde a sua requisição ao compras.</w:t>
      </w:r>
    </w:p>
    <w:p w14:paraId="0FD57D6C"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realizar a visualização do cronograma de licitações em forma de calendário, apresentando a agenda de licitações.</w:t>
      </w:r>
    </w:p>
    <w:p w14:paraId="0C394006"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todas as obras que estão sendo realizadas, exibindo cronograma da obra, com data de início e término</w:t>
      </w:r>
      <w:r w:rsidRPr="00680B5B">
        <w:rPr>
          <w:rFonts w:ascii="Times New Roman" w:hAnsi="Times New Roman" w:cs="Times New Roman"/>
        </w:rPr>
        <w:t>. Devem ser exibidos os dados cadastrais da obra contendo: a situação da obra, endereço, o contrato(s), licitação, medições, empenhos relacionados a obra e os anexos.</w:t>
      </w:r>
    </w:p>
    <w:p w14:paraId="0B59EAF8"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orçamento e suas respectivas emendas (créditos suplementares), bem como balanço dos exercícios anteriores e os relatórios bimestrais e quadrimestrais da execução orçamentária, além dos dados constantes na lei 9.755/98</w:t>
      </w:r>
      <w:r w:rsidRPr="00680B5B">
        <w:rPr>
          <w:rFonts w:ascii="Times New Roman" w:hAnsi="Times New Roman" w:cs="Times New Roman"/>
        </w:rPr>
        <w:t>.</w:t>
      </w:r>
    </w:p>
    <w:p w14:paraId="1397D5D5"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tributos arrecadados pela entidade, contendo o arrecadado no período e acumulado.</w:t>
      </w:r>
    </w:p>
    <w:p w14:paraId="42F30686"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balanço consolidado das contas do município, das autarquias e entidades beneficiadas pelo repasse de verbas públicas</w:t>
      </w:r>
      <w:r w:rsidRPr="00680B5B">
        <w:rPr>
          <w:rFonts w:ascii="Times New Roman" w:hAnsi="Times New Roman" w:cs="Times New Roman"/>
        </w:rPr>
        <w:t>.</w:t>
      </w:r>
    </w:p>
    <w:p w14:paraId="004E1ABA"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dados dos programas estaduais e federais e as respectivas verbas repassadas pelos entes federativos responsáveis (União e Estado)</w:t>
      </w:r>
      <w:r w:rsidRPr="00680B5B">
        <w:rPr>
          <w:rFonts w:ascii="Times New Roman" w:hAnsi="Times New Roman" w:cs="Times New Roman"/>
        </w:rPr>
        <w:t>.</w:t>
      </w:r>
    </w:p>
    <w:p w14:paraId="4F63EF17"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 xml:space="preserve">Permitir </w:t>
      </w:r>
      <w:r w:rsidRPr="00680B5B">
        <w:rPr>
          <w:rFonts w:ascii="Times New Roman" w:hAnsi="Times New Roman" w:cs="Times New Roman"/>
        </w:rPr>
        <w:t xml:space="preserve">realizar a consulta dos </w:t>
      </w:r>
      <w:r w:rsidRPr="00680B5B">
        <w:rPr>
          <w:rFonts w:ascii="Times New Roman" w:hAnsi="Times New Roman" w:cs="Times New Roman"/>
          <w:lang w:val="pt-PT"/>
        </w:rPr>
        <w:t>empenhos emitidos</w:t>
      </w:r>
      <w:r w:rsidRPr="00680B5B">
        <w:rPr>
          <w:rFonts w:ascii="Times New Roman" w:hAnsi="Times New Roman" w:cs="Times New Roman"/>
        </w:rPr>
        <w:t xml:space="preserve"> pelas entidades diretas e indiretas. Deve ser possível consultar os dados: credor do empenho, data de emissão, descrição da despesa, itens, licitação, contrato, itens do empenho e anexos.</w:t>
      </w:r>
    </w:p>
    <w:p w14:paraId="47D834ED"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realizar a consulta dos </w:t>
      </w:r>
      <w:r w:rsidRPr="00680B5B">
        <w:rPr>
          <w:rFonts w:ascii="Times New Roman" w:hAnsi="Times New Roman" w:cs="Times New Roman"/>
          <w:lang w:val="pt-PT"/>
        </w:rPr>
        <w:t>empenhos liquidado</w:t>
      </w:r>
      <w:r w:rsidRPr="00680B5B">
        <w:rPr>
          <w:rFonts w:ascii="Times New Roman" w:hAnsi="Times New Roman" w:cs="Times New Roman"/>
        </w:rPr>
        <w:t>s. Deve ser possível consultar os dados: credor do empenho, data de emissão, descrição da despesa, itens, licitação, contrato, itens do empenho e anexos, data da liquidação e documentos fiscais.</w:t>
      </w:r>
    </w:p>
    <w:p w14:paraId="4C733BB8" w14:textId="77777777" w:rsidR="00B307DB" w:rsidRPr="00680B5B" w:rsidRDefault="00B307DB" w:rsidP="00B2664C">
      <w:pPr>
        <w:pStyle w:val="PargrafodaLista"/>
        <w:numPr>
          <w:ilvl w:val="0"/>
          <w:numId w:val="323"/>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a consulta dos</w:t>
      </w:r>
      <w:r w:rsidRPr="00680B5B">
        <w:rPr>
          <w:rFonts w:ascii="Times New Roman" w:hAnsi="Times New Roman" w:cs="Times New Roman"/>
          <w:lang w:val="pt-PT"/>
        </w:rPr>
        <w:t xml:space="preserve"> pagamentos efetuados</w:t>
      </w:r>
      <w:r w:rsidRPr="00680B5B">
        <w:rPr>
          <w:rFonts w:ascii="Times New Roman" w:hAnsi="Times New Roman" w:cs="Times New Roman"/>
        </w:rPr>
        <w:t>. Deve ser possível consultar os dados: credor do empenho, data de emissão, descrição da despesa, itens, licitação, contrato, itens do empenho e anexos, data do pagamento e documentos fiscais.</w:t>
      </w:r>
    </w:p>
    <w:p w14:paraId="7BC6D097"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Permitir acesso às informações relacionadas à contabilidade de forma consolidada e por entidade gestora municipal</w:t>
      </w:r>
      <w:r w:rsidRPr="00680B5B">
        <w:rPr>
          <w:rFonts w:ascii="Times New Roman" w:hAnsi="Times New Roman" w:cs="Times New Roman"/>
        </w:rPr>
        <w:t>.</w:t>
      </w:r>
    </w:p>
    <w:p w14:paraId="153D2D64"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Disponibilizar na área de pessoal, a consulta da estrutura organizacional, cargos e funções, salários e centros de custos</w:t>
      </w:r>
      <w:r w:rsidRPr="00680B5B">
        <w:rPr>
          <w:rFonts w:ascii="Times New Roman" w:hAnsi="Times New Roman" w:cs="Times New Roman"/>
        </w:rPr>
        <w:t>.</w:t>
      </w:r>
    </w:p>
    <w:p w14:paraId="6703049B"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Publicar gastos com diárias, especificando a finalidade da despesa, data e valor</w:t>
      </w:r>
      <w:r w:rsidRPr="00680B5B">
        <w:rPr>
          <w:rFonts w:ascii="Times New Roman" w:hAnsi="Times New Roman" w:cs="Times New Roman"/>
        </w:rPr>
        <w:t>. Deve ser possível consultar os detalhes da diária: data de início e fim, objetivo, destino, meio de transporte e ressarcimentos, se houverem.</w:t>
      </w:r>
    </w:p>
    <w:p w14:paraId="79D49FBF"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Emitir relatórios legais gerados no sistema de gestão, estando relacionados a gestão fiscal, anexos de metas fiscais, execução orçamentária, entre outros</w:t>
      </w:r>
      <w:r w:rsidRPr="00680B5B">
        <w:rPr>
          <w:rFonts w:ascii="Times New Roman" w:hAnsi="Times New Roman" w:cs="Times New Roman"/>
        </w:rPr>
        <w:t>.</w:t>
      </w:r>
    </w:p>
    <w:p w14:paraId="6D0162BD"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Demonstrar a folha de pagamento dos servidores públicos, mediante parametrização realizada no sistema de gestão.</w:t>
      </w:r>
    </w:p>
    <w:p w14:paraId="6935CC57"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quantidade de funcionários por regime de trabalho</w:t>
      </w:r>
      <w:r w:rsidRPr="00680B5B">
        <w:rPr>
          <w:rFonts w:ascii="Times New Roman" w:hAnsi="Times New Roman" w:cs="Times New Roman"/>
        </w:rPr>
        <w:t>.</w:t>
      </w:r>
    </w:p>
    <w:p w14:paraId="4FED2429"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quantidade de vagas criadas e ocupadas por tipo de cargo (efetivo, comissionado, emprego público, etc.)</w:t>
      </w:r>
      <w:r w:rsidRPr="00680B5B">
        <w:rPr>
          <w:rFonts w:ascii="Times New Roman" w:hAnsi="Times New Roman" w:cs="Times New Roman"/>
        </w:rPr>
        <w:t>.</w:t>
      </w:r>
    </w:p>
    <w:p w14:paraId="57910AB7"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funcionários por tipo de contrato</w:t>
      </w:r>
      <w:r w:rsidRPr="00680B5B">
        <w:rPr>
          <w:rFonts w:ascii="Times New Roman" w:hAnsi="Times New Roman" w:cs="Times New Roman"/>
        </w:rPr>
        <w:t>.</w:t>
      </w:r>
    </w:p>
    <w:p w14:paraId="7254F5CE"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funcionários cedidos e recebidos por cessão</w:t>
      </w:r>
      <w:r w:rsidRPr="00680B5B">
        <w:rPr>
          <w:rFonts w:ascii="Times New Roman" w:hAnsi="Times New Roman" w:cs="Times New Roman"/>
        </w:rPr>
        <w:t>.</w:t>
      </w:r>
    </w:p>
    <w:p w14:paraId="4066CC2F"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cargos com a quantidade de vagas disponíveis e ocupadas</w:t>
      </w:r>
      <w:r w:rsidRPr="00680B5B">
        <w:rPr>
          <w:rFonts w:ascii="Times New Roman" w:hAnsi="Times New Roman" w:cs="Times New Roman"/>
        </w:rPr>
        <w:t>.</w:t>
      </w:r>
    </w:p>
    <w:p w14:paraId="42B3F3BA"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funcionários inativos com informação do tipo de aposentadoria/pensão</w:t>
      </w:r>
      <w:r w:rsidRPr="00680B5B">
        <w:rPr>
          <w:rFonts w:ascii="Times New Roman" w:hAnsi="Times New Roman" w:cs="Times New Roman"/>
        </w:rPr>
        <w:t>.</w:t>
      </w:r>
    </w:p>
    <w:p w14:paraId="0C99F972"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estagiários, contendo local de trabalho e período de contrato</w:t>
      </w:r>
      <w:r w:rsidRPr="00680B5B">
        <w:rPr>
          <w:rFonts w:ascii="Times New Roman" w:hAnsi="Times New Roman" w:cs="Times New Roman"/>
        </w:rPr>
        <w:t>.</w:t>
      </w:r>
    </w:p>
    <w:p w14:paraId="0A0339D9"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lastRenderedPageBreak/>
        <w:t>Consultar Ajuda de Custos/Adiantamentos realizados com visualização do respectivo empenho</w:t>
      </w:r>
      <w:r w:rsidRPr="00680B5B">
        <w:rPr>
          <w:rFonts w:ascii="Times New Roman" w:hAnsi="Times New Roman" w:cs="Times New Roman"/>
        </w:rPr>
        <w:t>.</w:t>
      </w:r>
    </w:p>
    <w:p w14:paraId="38CEEC7C"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Consultar Convênios de Repasse e seus respectivos anexos</w:t>
      </w:r>
      <w:r w:rsidRPr="00680B5B">
        <w:rPr>
          <w:rFonts w:ascii="Times New Roman" w:hAnsi="Times New Roman" w:cs="Times New Roman"/>
        </w:rPr>
        <w:t>. Deve ser possível visualizar os dados do convênio, objeto, vigência, entidade beneficiada e os anexos.</w:t>
      </w:r>
    </w:p>
    <w:p w14:paraId="755322CA"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Disponibilizar link para acesso direto ao portal do Diário Oficial do Município</w:t>
      </w:r>
      <w:r w:rsidRPr="00680B5B">
        <w:rPr>
          <w:rFonts w:ascii="Times New Roman" w:hAnsi="Times New Roman" w:cs="Times New Roman"/>
        </w:rPr>
        <w:t>.</w:t>
      </w:r>
    </w:p>
    <w:p w14:paraId="116AA61B"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Disponibilizar link para acessar o cadastro e a consulta de ouvidoria municipal.</w:t>
      </w:r>
    </w:p>
    <w:p w14:paraId="43732410"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Disponibilizar área para listar os dados de acesso à informação, como estrutura organizacional, perguntas frequentes e realizar pedidos a entidade.</w:t>
      </w:r>
    </w:p>
    <w:p w14:paraId="333B53E1"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consultar o histórico de solicitações relacionados ao acesso à informação. </w:t>
      </w:r>
    </w:p>
    <w:p w14:paraId="060D9EF5"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consultar a carta de serviços apresentando os serviços ativos no autoatendimento da entidade. </w:t>
      </w:r>
    </w:p>
    <w:p w14:paraId="5397C3AB"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Cadastrar horário de atendimento da entidade para exibição no Portal da Transparência</w:t>
      </w:r>
      <w:r w:rsidRPr="00680B5B">
        <w:rPr>
          <w:rFonts w:ascii="Times New Roman" w:hAnsi="Times New Roman" w:cs="Times New Roman"/>
        </w:rPr>
        <w:t>.</w:t>
      </w:r>
    </w:p>
    <w:p w14:paraId="003A4679"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Possuir área de acessibilidade com a possibilidade de adicionar alto contraste, gerenciar o tamanho da fonte, acessar teclas de atalho e acessar ferramenta de libras</w:t>
      </w:r>
      <w:r w:rsidRPr="00680B5B">
        <w:rPr>
          <w:rFonts w:ascii="Times New Roman" w:hAnsi="Times New Roman" w:cs="Times New Roman"/>
        </w:rPr>
        <w:t>.</w:t>
      </w:r>
    </w:p>
    <w:p w14:paraId="56AE5125"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 xml:space="preserve">Possuir local para visualizar os </w:t>
      </w:r>
      <w:r w:rsidRPr="00680B5B">
        <w:rPr>
          <w:rStyle w:val="Forte"/>
          <w:rFonts w:ascii="Times New Roman" w:hAnsi="Times New Roman" w:cs="Times New Roman"/>
        </w:rPr>
        <w:t>formatos utilizados para estruturação da informação.</w:t>
      </w:r>
    </w:p>
    <w:p w14:paraId="786BD354"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 xml:space="preserve">Possibilitar </w:t>
      </w:r>
      <w:r w:rsidRPr="00680B5B">
        <w:rPr>
          <w:rFonts w:ascii="Times New Roman" w:hAnsi="Times New Roman" w:cs="Times New Roman"/>
        </w:rPr>
        <w:t>habilitar contador de acesso ao portal, indicando a quantidade de usuários que estão acessando as consultas, possibilitando a emissão de relatório com esses dados.</w:t>
      </w:r>
    </w:p>
    <w:p w14:paraId="5B973267"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lang w:val="pt-PT"/>
        </w:rPr>
        <w:t>Possibilitar cadastrar hint nas consultas, com intuito de adicionar informações explicativas sobre os itens que serão listados.</w:t>
      </w:r>
    </w:p>
    <w:p w14:paraId="5275810B" w14:textId="77777777" w:rsidR="00B307DB" w:rsidRPr="00680B5B" w:rsidRDefault="00B307DB" w:rsidP="00B2664C">
      <w:pPr>
        <w:pStyle w:val="PargrafodaLista"/>
        <w:widowControl w:val="0"/>
        <w:numPr>
          <w:ilvl w:val="0"/>
          <w:numId w:val="323"/>
        </w:numPr>
        <w:tabs>
          <w:tab w:val="left" w:pos="426"/>
        </w:tabs>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validação de reCAPTCHA no portal de forma geral, não afetando a utilização das consultas, tendo o intuito de garantir a segurança do acesso das informações.</w:t>
      </w:r>
    </w:p>
    <w:p w14:paraId="00E464DB" w14:textId="77777777" w:rsidR="00B307DB" w:rsidRPr="00680B5B" w:rsidRDefault="00B307DB" w:rsidP="00B307DB">
      <w:pPr>
        <w:spacing w:after="0" w:line="240" w:lineRule="auto"/>
        <w:ind w:right="-568"/>
        <w:jc w:val="both"/>
        <w:rPr>
          <w:rFonts w:ascii="Times New Roman" w:hAnsi="Times New Roman" w:cs="Times New Roman"/>
        </w:rPr>
      </w:pPr>
    </w:p>
    <w:p w14:paraId="54FDE193"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bCs/>
        </w:rPr>
        <w:t xml:space="preserve">2.24 </w:t>
      </w:r>
      <w:r w:rsidRPr="00680B5B">
        <w:rPr>
          <w:rFonts w:ascii="Times New Roman" w:hAnsi="Times New Roman" w:cs="Times New Roman"/>
          <w:b/>
        </w:rPr>
        <w:t>MÓDULO:</w:t>
      </w:r>
      <w:r w:rsidRPr="00680B5B">
        <w:rPr>
          <w:rFonts w:ascii="Times New Roman" w:hAnsi="Times New Roman" w:cs="Times New Roman"/>
          <w:b/>
          <w:bCs/>
        </w:rPr>
        <w:t xml:space="preserve"> PORTAL DE AUTOATENDIMENTO</w:t>
      </w:r>
    </w:p>
    <w:p w14:paraId="2AC3B133"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as liberações de acesso ao sistema possam ser efetuadas com base em solicitações realizadas pelo contribuinte através de serviço.</w:t>
      </w:r>
    </w:p>
    <w:p w14:paraId="3071CCF1"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Dispor de serviço de Acesso à Informação, possibilitando a protocolização de requerimentos de informação.</w:t>
      </w:r>
    </w:p>
    <w:p w14:paraId="18D0041B"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que os usuários e contribuintes possam alterar ou recuperar sua senha de acesso ao sistema, validando seus dados cadastrais, como e-mail, conforme parametrização.</w:t>
      </w:r>
    </w:p>
    <w:p w14:paraId="7F3A4F61"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os usuários possam realizar a solicitação de atualização dos seus dados cadastrais, conforme os dados existentes no cadastro único.</w:t>
      </w:r>
    </w:p>
    <w:p w14:paraId="7B0438B1"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a apresentação de aviso quando o usuário logado não estiver com os dados devidamente atualizados. </w:t>
      </w:r>
    </w:p>
    <w:p w14:paraId="6BFFD343"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as entidades da Sociedade Civil possam registrar Manifestação de Interesse Social.</w:t>
      </w:r>
    </w:p>
    <w:p w14:paraId="5058A002"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realização da prestação de contas financeira e de objeto, com base na Lei 13019/14.</w:t>
      </w:r>
    </w:p>
    <w:p w14:paraId="72FF5181"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realizada requisição de acesso aos dados considerando o Art. 18. da Lei 13.709 que prevê que "o titular dos dados pessoais tem direito a obter do controlador, em relação aos dados do titular por ele tratados, a qualquer momento e mediante requisição".</w:t>
      </w:r>
    </w:p>
    <w:p w14:paraId="47E6A77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que seja emitido relatório referente as informações dos tratamentos de dados pessoais realizados pela contratante, conforme prevê o inciso I do art. 23 da Lei nº 13.709/2018.</w:t>
      </w:r>
    </w:p>
    <w:p w14:paraId="76B365C1"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o agendamento de atendimentos presenciais, conforme guichês organizados pela contratante. </w:t>
      </w:r>
    </w:p>
    <w:p w14:paraId="5B53A209"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cadastrar recados no portal, parametrizando a sua exibição com ou sem login.</w:t>
      </w:r>
    </w:p>
    <w:p w14:paraId="327C161A"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Dispor de opção para definir os serviços que serão disponibilizados em destaque para facilitar o acesso.</w:t>
      </w:r>
    </w:p>
    <w:p w14:paraId="5D68AD53"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os cidadãos favoritar seus serviços mais acessados, quando estão logados no portal.</w:t>
      </w:r>
    </w:p>
    <w:p w14:paraId="13CE26BE"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Exibir dados de endereço e contato da entidade.</w:t>
      </w:r>
    </w:p>
    <w:p w14:paraId="66B0F57A"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campo de pesquisa que retorne os serviços disponíveis no portal de autoatendimento.</w:t>
      </w:r>
    </w:p>
    <w:p w14:paraId="2DC63AD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Dispor de área especifica para localizar informações de acessibilidade, como: alto contraste, teclas de atalho, aumento e diminuição de fonte.</w:t>
      </w:r>
    </w:p>
    <w:p w14:paraId="28CC04B3"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cadastro aviso, sendo exibido no portal em forma de pop-up.</w:t>
      </w:r>
    </w:p>
    <w:p w14:paraId="35DD2284"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validação de reCAPTCHA para os serviços quando acessados sem login, garantindo a segurança das informações.</w:t>
      </w:r>
    </w:p>
    <w:p w14:paraId="7F81F379"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cadastrar serviços informativos, com a finalidade de orientação aos contribuintes, contendo requisitos e outros dados sobre quaisquer serviços prestados pela entidade ao cidadão. </w:t>
      </w:r>
    </w:p>
    <w:p w14:paraId="37665AC6"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Disponibilizar serviços de Carta de Serviços, carregando todos os registros indicando quais necessitam de login e com a possibilidade de acesso direto por esse meio, baseado na Lei 13.460 de 2017.</w:t>
      </w:r>
    </w:p>
    <w:p w14:paraId="6CB53478"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cidadão avaliar os serviços disponíveis a ele, baseado na Lei 13.460 de 2017, onde deverá indicar sua satisfação para os seguintes itens:</w:t>
      </w:r>
    </w:p>
    <w:p w14:paraId="7EAAD7ED" w14:textId="77777777" w:rsidR="00B307DB" w:rsidRPr="00680B5B" w:rsidRDefault="00B307DB" w:rsidP="00B2664C">
      <w:pPr>
        <w:pStyle w:val="PargrafodaLista"/>
        <w:numPr>
          <w:ilvl w:val="0"/>
          <w:numId w:val="325"/>
        </w:numPr>
        <w:tabs>
          <w:tab w:val="clear" w:pos="720"/>
          <w:tab w:val="num" w:pos="851"/>
        </w:tabs>
        <w:suppressAutoHyphens/>
        <w:spacing w:after="0" w:line="240" w:lineRule="auto"/>
        <w:ind w:left="567" w:right="-568" w:hanging="11"/>
        <w:contextualSpacing w:val="0"/>
        <w:jc w:val="both"/>
        <w:rPr>
          <w:rFonts w:ascii="Times New Roman" w:hAnsi="Times New Roman" w:cs="Times New Roman"/>
        </w:rPr>
      </w:pPr>
      <w:r w:rsidRPr="00680B5B">
        <w:rPr>
          <w:rFonts w:ascii="Times New Roman" w:hAnsi="Times New Roman" w:cs="Times New Roman"/>
        </w:rPr>
        <w:t>Satisfação com o serviço prestado.</w:t>
      </w:r>
    </w:p>
    <w:p w14:paraId="7B2A9482" w14:textId="77777777" w:rsidR="00B307DB" w:rsidRPr="00680B5B" w:rsidRDefault="00B307DB" w:rsidP="00B2664C">
      <w:pPr>
        <w:pStyle w:val="PargrafodaLista"/>
        <w:numPr>
          <w:ilvl w:val="0"/>
          <w:numId w:val="32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Qualidade do atendimento.</w:t>
      </w:r>
    </w:p>
    <w:p w14:paraId="2B903158" w14:textId="77777777" w:rsidR="00B307DB" w:rsidRPr="00680B5B" w:rsidRDefault="00B307DB" w:rsidP="00B2664C">
      <w:pPr>
        <w:pStyle w:val="PargrafodaLista"/>
        <w:numPr>
          <w:ilvl w:val="0"/>
          <w:numId w:val="32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Cumprimento de prazos e compromissos.</w:t>
      </w:r>
    </w:p>
    <w:p w14:paraId="55C1C905" w14:textId="77777777" w:rsidR="00B307DB" w:rsidRPr="00680B5B" w:rsidRDefault="00B307DB" w:rsidP="00B2664C">
      <w:pPr>
        <w:pStyle w:val="PargrafodaLista"/>
        <w:numPr>
          <w:ilvl w:val="0"/>
          <w:numId w:val="325"/>
        </w:numPr>
        <w:tabs>
          <w:tab w:val="left" w:pos="851"/>
        </w:tabs>
        <w:suppressAutoHyphens/>
        <w:spacing w:after="0" w:line="240" w:lineRule="auto"/>
        <w:ind w:left="567" w:right="-568" w:firstLine="0"/>
        <w:contextualSpacing w:val="0"/>
        <w:jc w:val="both"/>
        <w:rPr>
          <w:rFonts w:ascii="Times New Roman" w:hAnsi="Times New Roman" w:cs="Times New Roman"/>
        </w:rPr>
      </w:pPr>
      <w:r w:rsidRPr="00680B5B">
        <w:rPr>
          <w:rFonts w:ascii="Times New Roman" w:hAnsi="Times New Roman" w:cs="Times New Roman"/>
        </w:rPr>
        <w:t>Adicionando uma descrição na avaliação.</w:t>
      </w:r>
    </w:p>
    <w:p w14:paraId="0649ACAC"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que os cidadãos tenham acesso aos resultados das avaliações, sendo exibida a informação por serviço, mediante acesso a Carta de Serviços.</w:t>
      </w:r>
    </w:p>
    <w:p w14:paraId="5371EC85"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Dispor de serviço para emissão de processo digital, com possibilidade de integração com os cadastros imobiliários e econômicos, disponíveis no sistema Tributário. A integração também deve permitir a emissão de guias para pagamento de taxas e tarifas em padrão bancário. </w:t>
      </w:r>
    </w:p>
    <w:p w14:paraId="548B8055"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que sejam adicionados serviços específicos ao portal, com possibilidade de integração com o sistema de processo digital, podendo ser configurado roteiro para movimentação dos processos de acordo com o assunto informado. </w:t>
      </w:r>
    </w:p>
    <w:p w14:paraId="06C72ACD"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consulta do andamento dos processos digitais, sendo necessário informar o número do processo e seu código verificador, ou CPF/CNPJ do requerente.</w:t>
      </w:r>
    </w:p>
    <w:p w14:paraId="21C1BFDC"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consulta e acompanhamento dos Processos Administrativos.</w:t>
      </w:r>
    </w:p>
    <w:p w14:paraId="20EA160B"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disponibilização de serviços que possibilite a realização de assinaturas digitais em documentos cuja solicitação de assinatura foi criada.  </w:t>
      </w:r>
    </w:p>
    <w:p w14:paraId="4F5C6389"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 exibição de boxes indicativas para os contribuintes, permitindo retornar dados de débitos e quantidade de processos digitais.</w:t>
      </w:r>
    </w:p>
    <w:p w14:paraId="266359CF"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cadastrar boxes que ao acessar podem carregar serviços ou somente texto informativo</w:t>
      </w:r>
    </w:p>
    <w:p w14:paraId="4C792846"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que processos de denúncias, dúvidas e sugestões sejam abertos através do autoatendimento, sendo direcionados para o setor de ouvidoria, permitindo que o requerente seja anônimo. </w:t>
      </w:r>
    </w:p>
    <w:p w14:paraId="5F0AE99B"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para realização de autenticidade do Certificado de Registro Cadastral emitido pela entidade. </w:t>
      </w:r>
    </w:p>
    <w:p w14:paraId="40B0D9E4"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para que o fornecedor vencedor da licitação realizada em lotes, possa fazer a readequação dos valores dos itens pertencentes aos lotes nas suas dependências. Indicando o valor unitário de cada item totalizando o valor ofertado no lote. </w:t>
      </w:r>
    </w:p>
    <w:p w14:paraId="5BA3DFF6"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para preenchimento online da proposta comercial, sem a necessidade de exportação e importação de arquivos, possibilitando o preenchimento da proposta comercial pelo próprio fornecedor em suas dependências. Os dados devem ficar criptografados na base de dados sendo necessária senha para descriptografar e importar as propostas ao sistema, sem necessidade de redigitação. </w:t>
      </w:r>
    </w:p>
    <w:p w14:paraId="38D3BBEE"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realizar digitação de cotação de preços referentes a planilhas, para fins de cálculos médios de preços praticados entre os fornecedores. </w:t>
      </w:r>
    </w:p>
    <w:p w14:paraId="2DDD71F4"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disponibilização de agenda das licitações para consulta dos fornecedores.</w:t>
      </w:r>
    </w:p>
    <w:p w14:paraId="236964F9"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disponibilizar informações sobre licitações, possibilitando configurar quais informações serão exibidas no serviço como: edital, anexos, pareceres, impugnação, ata de abertura envelope, proposta, ata do pregão, ata de registro de preço, termo de homologação, termo de adjudicação, contrato, certidões, documentos exigidos, quadro comparativo preços, vencedores e ordem de compra. </w:t>
      </w:r>
    </w:p>
    <w:p w14:paraId="1D537B4D"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consulta específica das licitações com base na Lei 13019/14.</w:t>
      </w:r>
    </w:p>
    <w:p w14:paraId="26AE0075"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onde os fornecedores da entidade poderão consultar os valores retidos de seus empenhos. </w:t>
      </w:r>
    </w:p>
    <w:p w14:paraId="7C5446EA"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aos credores a verificação o saldo dos valores a receber, podendo filtrar pelo número de empenho e data. </w:t>
      </w:r>
    </w:p>
    <w:p w14:paraId="48318AF9"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aos fornecedores a consulta de todos os empenhos emitidos, sendo demonstrados os empenhos que já foram pagos, estão a pagar, as retenções dos empenhos e os saldos. </w:t>
      </w:r>
    </w:p>
    <w:p w14:paraId="2FAD57FC"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Disponibilizar a emissão da folha de pagamento através de serviço de autoatendimento, devendo possibilitar que a entidade defina previamente o layout que será utilizado na emissão. </w:t>
      </w:r>
    </w:p>
    <w:p w14:paraId="28153D1C"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funcionário realizar a emissão dos seus períodos aquisitivos e de saldos de férias através de serviço de emissão de relatório de férias. </w:t>
      </w:r>
    </w:p>
    <w:p w14:paraId="51D6177D"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 xml:space="preserve">Possibilitar ao servidor realizar a impressão da ficha financeira com os valores dos pagamentos em determinados períodos. </w:t>
      </w:r>
    </w:p>
    <w:p w14:paraId="1D4FF8B8"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Possibilitar ao funcionário emitir o comprovante de imposto de renda retido na fonte para posterior declaração do imposto de renda. </w:t>
      </w:r>
    </w:p>
    <w:p w14:paraId="20056A4F"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Disponibilizar ao servidor a emissão de relatório de tempo de serviço através de serviço de autoatendimento, devendo possibilitar que a Entidade defina previamente o layout que será utilizado na emissão. </w:t>
      </w:r>
    </w:p>
    <w:p w14:paraId="0ACC2CC6"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funcionário realizar a emissão da declaração sobre o período de trabalho no magistério. </w:t>
      </w:r>
    </w:p>
    <w:p w14:paraId="55DE53C3"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Disponibilizar ao funcionário solicitar atualização de dados pessoais através de serviço, como por exemplo, nome, RG, CNH, data de nascimento, dependentes, contatos e endereço. </w:t>
      </w:r>
    </w:p>
    <w:p w14:paraId="4D4043A5"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Possibilitar ao servidor a emissão de relatório onde constem as informações de seus empréstimos bancários.</w:t>
      </w:r>
    </w:p>
    <w:p w14:paraId="356FE8AF"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funcionário realizar qualquer tipo de solicitação ao RH, através de serviço com essa finalidade, possibilitando que o RH defina assuntos específicos, como por exemplo: Férias, Inscrição para Cursos, etc. </w:t>
      </w:r>
    </w:p>
    <w:p w14:paraId="213E4FF4"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Dispor de serviço onde qualquer pessoa/entidade possa verificar, através de chave de verificação, a autenticidade do recibo de pagamento. </w:t>
      </w:r>
    </w:p>
    <w:p w14:paraId="6E8DF6F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que empresas externas, através de convênio, ou departamentos internos realizem lançamentos para desconto em folha de pagamento dos funcionários. </w:t>
      </w:r>
    </w:p>
    <w:p w14:paraId="57484BD4"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servidor realizar a emissão do relatório anual de contribuições para a previdência. </w:t>
      </w:r>
    </w:p>
    <w:p w14:paraId="0B91E5A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 funcionário realizar a Emissão da Margem Consignável pelo Portal de Serviços com a opção de seleção dentre os bancos conveniados da entidade. </w:t>
      </w:r>
    </w:p>
    <w:p w14:paraId="7723DEC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específico para solicitação de férias, de forma que o departamento de recursos humanos possa fazer a análise do pedido, bem como realizar a programação de férias a partir do requerimento efetuado.</w:t>
      </w:r>
    </w:p>
    <w:p w14:paraId="36267174"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ao funcionário realizar a emissão de relatório com os seus períodos de licença prêmio.</w:t>
      </w:r>
    </w:p>
    <w:p w14:paraId="7BDB3E09"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 Termo de Rescisão.</w:t>
      </w:r>
    </w:p>
    <w:p w14:paraId="24E7E9BD"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da Ficha Registro de Funcionário.</w:t>
      </w:r>
    </w:p>
    <w:p w14:paraId="6FFEC4E9"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de Aniversariantes.</w:t>
      </w:r>
    </w:p>
    <w:p w14:paraId="1BD502E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de seus Afastamentos e Faltas.</w:t>
      </w:r>
    </w:p>
    <w:p w14:paraId="55DD0CE4"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de suas horas de Compensação e Banco.</w:t>
      </w:r>
    </w:p>
    <w:p w14:paraId="1C4470C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Declaração de seu Vínculo Empregatício.</w:t>
      </w:r>
    </w:p>
    <w:p w14:paraId="08A755FE"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consulta de Licenças Prêmios Gozadas.</w:t>
      </w:r>
    </w:p>
    <w:p w14:paraId="169AA0A2"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sua inscrição para Eleições da CIPA.</w:t>
      </w:r>
    </w:p>
    <w:p w14:paraId="45111289"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votações das Eleições da CIPA.</w:t>
      </w:r>
    </w:p>
    <w:p w14:paraId="3B00E7A3"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consulta de seus Atos Legais.</w:t>
      </w:r>
    </w:p>
    <w:p w14:paraId="2CC33833"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 Perfil Profissiográfico Previdenciário (PPP).</w:t>
      </w:r>
    </w:p>
    <w:p w14:paraId="584FCA2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Comunicação de Acidente de Trabalho (CAT) pelo portal de autoatendimento.</w:t>
      </w:r>
    </w:p>
    <w:p w14:paraId="080B1AE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 Relatório de Salários Contribuição de Outras Previdências.</w:t>
      </w:r>
    </w:p>
    <w:p w14:paraId="2D13D680"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 seu Recibo de Férias.</w:t>
      </w:r>
    </w:p>
    <w:p w14:paraId="6D18CA62"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Histórico Adicional Tempo Serviço.</w:t>
      </w:r>
    </w:p>
    <w:p w14:paraId="6B19024B"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participar de um evento de Recadastramento Funcional pelo portal de autoatendimento gerenciado pelo RH.</w:t>
      </w:r>
    </w:p>
    <w:p w14:paraId="3979D84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Possuir serviço onde o funcionário possa realizar a emissão do espelho de ponto com opção de filtrar por período, e de configurar previamente quais totalizadores serão exibidos. </w:t>
      </w:r>
    </w:p>
    <w:p w14:paraId="126AFE54"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Dispor de serviço que permita ao funcionário inserir uma solicitação de ajuste no ponto eletrônico, como por exemplo um abono ou justificativa ou um registro de ponto.</w:t>
      </w:r>
    </w:p>
    <w:p w14:paraId="2DAB8A86"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o Registro de Ponto Eletrônico pelo portal de autoatendimento, dispondo de recursos para restringir quais funcionários podem realizá-lo.</w:t>
      </w:r>
    </w:p>
    <w:p w14:paraId="28EDFE63"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lastRenderedPageBreak/>
        <w:t xml:space="preserve">Permitir que os departamentos realizem os lançamentos de atestados médicos de seus funcionários. </w:t>
      </w:r>
    </w:p>
    <w:p w14:paraId="4D44EF49"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de Relatório de Mensalidades e Despesas Planos de Saúde.</w:t>
      </w:r>
    </w:p>
    <w:p w14:paraId="689C9CC2"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agendamento para Segurança e Medicina do Trabalho.</w:t>
      </w:r>
    </w:p>
    <w:p w14:paraId="5B36A521"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emissão dos Certificados de Cursos e Treinamentos realizados pela entidade.</w:t>
      </w:r>
    </w:p>
    <w:p w14:paraId="5A69B6FB"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para que o funcionário possa realizar a sua Inscrição para Cursos e Treinamentos promovidos pela entidade.</w:t>
      </w:r>
    </w:p>
    <w:p w14:paraId="249DACC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consulta das obras públicas exibindo minimamente o número/ano da obra, o valor total e a descrição desta. </w:t>
      </w:r>
    </w:p>
    <w:p w14:paraId="4FFA0FDB"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de guias em atraso ou não, realizando a atualização de correção, multa e juros: ISSQN, ISSRF, ITBI, Dívida Ativa, ISS/Alvará, Fiscalização, Guia Única, IPTU ou Receitas Diversas. Com possibilidade de pagamento via PIX caso o convênio bancário assim permitir, e cartão de crédito quando este serviço estiver contratado pelo município. </w:t>
      </w:r>
    </w:p>
    <w:p w14:paraId="473F1BED"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de Extratos de Débitos: geral do contribuinte, através do cadastro Econômico ou do imóvel. </w:t>
      </w:r>
    </w:p>
    <w:p w14:paraId="5B1F24FE"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que seja exibido informativo na página inicial do portal de autoatendimento com indicativo referente aos débitos do usuário logado. </w:t>
      </w:r>
    </w:p>
    <w:p w14:paraId="54DB1291"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consulta das informações imobiliárias do imóvel. Permitindo visualizar os dados do imóvel, visualizar arquivos/imagens do imóvel e gerar o espelho do imóvel.</w:t>
      </w:r>
    </w:p>
    <w:p w14:paraId="73642CE6"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o cidadão efetuar doações para programas sociais conforme definido pela municipalidade</w:t>
      </w:r>
    </w:p>
    <w:p w14:paraId="651B66CB"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solicitação on-line de atualização de endereço de correspondência do imóvel, empresa e pessoa.</w:t>
      </w:r>
    </w:p>
    <w:p w14:paraId="674361AB"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de consulta e verificação de autenticidade da Certidão Negativa de Débito. </w:t>
      </w:r>
    </w:p>
    <w:p w14:paraId="1F06DADA"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do comprovante de retenção do imposto sobre serviços. </w:t>
      </w:r>
    </w:p>
    <w:p w14:paraId="6506AF17"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de nota fiscal de serviço eletrônica avulsa como também a consulta das notas avulsas emitidas do usuário. </w:t>
      </w:r>
    </w:p>
    <w:p w14:paraId="4C77F3A6"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aos contabilistas cadastrados emitir Certidões Negativas de Débito (CND), guias tributárias, atualização de informações cadastrais para seus clientes. </w:t>
      </w:r>
    </w:p>
    <w:p w14:paraId="30CB0F88"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a emissão do Extrato do Contribuinte, que exiba em tela organizando por abas as informações referentes aos débitos do usuário logado, permitindo que seja emitida a guia para pagamento das referidas taxas. </w:t>
      </w:r>
    </w:p>
    <w:p w14:paraId="791FA148"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a consulta e emissão dos alvarás de localização e funcionamento, ou outros a serem definidos pela municipalidade.</w:t>
      </w:r>
    </w:p>
    <w:p w14:paraId="4D7B2EEE"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Permitir registrar a solicitação do ITBI on-line, informando o imóvel urbano ou rural, nome do proprietário adquirente, transmitente e os documentos, como a matrícula do imóvel e os valores venais.</w:t>
      </w:r>
    </w:p>
    <w:p w14:paraId="09C45055"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Permitir realizar a solicitação para a emissão de alvará de construção e habite-se. </w:t>
      </w:r>
    </w:p>
    <w:p w14:paraId="4B4A879F"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serviço que permita consultar os documentos necessários e obrigatórios para que seja possível realizar as solicitações.</w:t>
      </w:r>
    </w:p>
    <w:p w14:paraId="0541C831" w14:textId="77777777" w:rsidR="00B307DB" w:rsidRPr="00680B5B" w:rsidRDefault="00B307DB" w:rsidP="00B2664C">
      <w:pPr>
        <w:pStyle w:val="PargrafodaLista"/>
        <w:numPr>
          <w:ilvl w:val="0"/>
          <w:numId w:val="324"/>
        </w:numPr>
        <w:suppressAutoHyphen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Possuir s</w:t>
      </w:r>
      <w:r w:rsidRPr="00680B5B">
        <w:rPr>
          <w:rFonts w:ascii="Times New Roman" w:hAnsi="Times New Roman" w:cs="Times New Roman"/>
          <w:highlight w:val="white"/>
        </w:rPr>
        <w:t xml:space="preserve">erviço para cadastrar solicitação de reserva de espaços públicos para realização de evento, sendo integrado com o sistema de Processo Digital. </w:t>
      </w:r>
    </w:p>
    <w:p w14:paraId="47A9A2B8" w14:textId="77777777" w:rsidR="00B307DB" w:rsidRPr="00680B5B" w:rsidRDefault="00B307DB" w:rsidP="00B307DB">
      <w:pPr>
        <w:pStyle w:val="PargrafodaLista"/>
        <w:spacing w:after="0" w:line="240" w:lineRule="auto"/>
        <w:ind w:left="0" w:right="-568"/>
        <w:jc w:val="both"/>
        <w:rPr>
          <w:rFonts w:ascii="Times New Roman" w:hAnsi="Times New Roman" w:cs="Times New Roman"/>
        </w:rPr>
      </w:pPr>
    </w:p>
    <w:p w14:paraId="51D4390C"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 xml:space="preserve">2.25 </w:t>
      </w:r>
      <w:r w:rsidRPr="00680B5B">
        <w:rPr>
          <w:rFonts w:ascii="Times New Roman" w:hAnsi="Times New Roman" w:cs="Times New Roman"/>
          <w:b/>
          <w:bCs/>
        </w:rPr>
        <w:t>GESTÃO DE PROCURADORIA</w:t>
      </w:r>
    </w:p>
    <w:p w14:paraId="559D50C8" w14:textId="77777777" w:rsidR="00B307DB" w:rsidRPr="00680B5B" w:rsidRDefault="00B307DB" w:rsidP="00B2664C">
      <w:pPr>
        <w:numPr>
          <w:ilvl w:val="0"/>
          <w:numId w:val="326"/>
        </w:numPr>
        <w:tabs>
          <w:tab w:val="clear" w:pos="720"/>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integração a sistema único de pessoas, sendo possível o cadastro de advogados e partes em processo judicial.</w:t>
      </w:r>
    </w:p>
    <w:p w14:paraId="0F30F72E" w14:textId="77777777" w:rsidR="00B307DB" w:rsidRPr="00680B5B" w:rsidRDefault="00B307DB" w:rsidP="00B2664C">
      <w:pPr>
        <w:numPr>
          <w:ilvl w:val="0"/>
          <w:numId w:val="32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consulta para pesquisa de órgãos jurisdicionais de acordo com seu nível hierárquico.</w:t>
      </w:r>
    </w:p>
    <w:p w14:paraId="6487501D" w14:textId="77777777" w:rsidR="00B307DB" w:rsidRPr="00680B5B" w:rsidRDefault="00B307DB" w:rsidP="00B2664C">
      <w:pPr>
        <w:numPr>
          <w:ilvl w:val="0"/>
          <w:numId w:val="32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links para os websites dos órgãos jurisdicionais, permitindo o acesso diretamente as informações e serviços de cada órgão.</w:t>
      </w:r>
    </w:p>
    <w:p w14:paraId="36194F6A" w14:textId="77777777" w:rsidR="00B307DB" w:rsidRPr="00680B5B" w:rsidRDefault="00B307DB" w:rsidP="00B2664C">
      <w:pPr>
        <w:numPr>
          <w:ilvl w:val="0"/>
          <w:numId w:val="32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cadastro de procurações.</w:t>
      </w:r>
    </w:p>
    <w:p w14:paraId="0408580C" w14:textId="77777777" w:rsidR="00B307DB" w:rsidRPr="00680B5B" w:rsidRDefault="00B307DB" w:rsidP="00B2664C">
      <w:pPr>
        <w:numPr>
          <w:ilvl w:val="0"/>
          <w:numId w:val="326"/>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repositório de criação de modelos (templates), que poderão ser utilizados</w:t>
      </w:r>
    </w:p>
    <w:p w14:paraId="4F268339"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como base para a criação de novos documentos dentro dos processos judiciais. Deverá conter rotina para gerenciamento dos documentos, salvando o arquivo editado como anexo do processo.</w:t>
      </w:r>
    </w:p>
    <w:p w14:paraId="13850AC2"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Integrar com o sistema de Dívida Ativa permitindo gerar automaticamente a Certidão de Dívida Ativa, bem como a Petição Inicial de Execução Fiscal com base em modelos predefinidos.</w:t>
      </w:r>
    </w:p>
    <w:p w14:paraId="71FA8146"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Notificar os usuários em tempo real sobre a entrada de novos processos de Execução Fiscal originados da Dívida Ativa.</w:t>
      </w:r>
    </w:p>
    <w:p w14:paraId="323E619A" w14:textId="77777777" w:rsidR="00B307DB" w:rsidRPr="00680B5B" w:rsidRDefault="00B307DB" w:rsidP="00B307DB">
      <w:pPr>
        <w:tabs>
          <w:tab w:val="num" w:pos="426"/>
        </w:tabs>
        <w:spacing w:after="0" w:line="240" w:lineRule="auto"/>
        <w:ind w:right="-568"/>
        <w:jc w:val="both"/>
        <w:rPr>
          <w:rFonts w:ascii="Times New Roman" w:hAnsi="Times New Roman" w:cs="Times New Roman"/>
        </w:rPr>
      </w:pPr>
      <w:r w:rsidRPr="00680B5B">
        <w:rPr>
          <w:rFonts w:ascii="Times New Roman" w:hAnsi="Times New Roman" w:cs="Times New Roman"/>
        </w:rPr>
        <w:t xml:space="preserve">Notificar os usuários em tempo real sobre os dias prazo das intimações. </w:t>
      </w:r>
    </w:p>
    <w:p w14:paraId="1E331E80"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distribuição de intimações por sequencial e por grupos previamente cadastrados.</w:t>
      </w:r>
    </w:p>
    <w:p w14:paraId="2A25C7E7"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cadastrar um afastamento para um usuário da procuradoria, onde todas as intimações deverão ser distribuídas entre um procurador específico ou por um grupo, pelo período do afastamento, com no mínimo 10 (dez) dias de antecedência do início. </w:t>
      </w:r>
    </w:p>
    <w:p w14:paraId="0672B3A0"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automatizada para a predefinição da classe e do assunto dos processos de Execução Fiscal.</w:t>
      </w:r>
    </w:p>
    <w:p w14:paraId="7961B845"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manutenção dos processos, possibilitando informar e alterar informações de: advogado, órgão jurisdicional, classe e assunto.</w:t>
      </w:r>
    </w:p>
    <w:p w14:paraId="34E72348"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configuração de usuário padrão responsável pelos processos retornados pelo Tribunal de Justiça do Estado.</w:t>
      </w:r>
    </w:p>
    <w:p w14:paraId="22415082"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definição do nível de sigilo do processo.</w:t>
      </w:r>
    </w:p>
    <w:p w14:paraId="3EBA4C6A"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assinatura digital de documentos no padrão ICP-Brasil (token, leitor de cartão, certificado digital).</w:t>
      </w:r>
    </w:p>
    <w:p w14:paraId="0C125966"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apensamento de processos imprimindo o recibo sendo possível consultar todos os processos relacionados.</w:t>
      </w:r>
    </w:p>
    <w:p w14:paraId="36FC5E32"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Bloquear a exclusão de um processo apensado, sendo necessário primeiro</w:t>
      </w:r>
    </w:p>
    <w:p w14:paraId="0AB66A3A"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desapensar o processo para depois excluir.</w:t>
      </w:r>
    </w:p>
    <w:p w14:paraId="1315E02E"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somente realize as movimentações do processo quando o</w:t>
      </w:r>
    </w:p>
    <w:p w14:paraId="49460586"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mesmo estiver sob sua responsabilidade e de acordo com os privilégios de acesso das rotinas.</w:t>
      </w:r>
    </w:p>
    <w:p w14:paraId="1E4EC417"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rotina para tramitação dos processos entre os usuários, sendo todos os trâmites registrados em histórico. </w:t>
      </w:r>
    </w:p>
    <w:p w14:paraId="4EC57B19"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rotina para tramitação das intimações entre os usuários, sendo todos os trâmites registrados em histórico. </w:t>
      </w:r>
    </w:p>
    <w:p w14:paraId="091058A2"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Integrar com o sistema de Tributos para atualização em lote e individual do valor da causa de processos de execução fiscal com base nos parâmetros de atualização monetária pré</w:t>
      </w:r>
      <w:r w:rsidRPr="00680B5B">
        <w:rPr>
          <w:rFonts w:ascii="Times New Roman" w:hAnsi="Times New Roman" w:cs="Times New Roman"/>
        </w:rPr>
        <w:softHyphen/>
        <w:t xml:space="preserve"> configurados.</w:t>
      </w:r>
    </w:p>
    <w:p w14:paraId="5324FD91"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filtrar a consulta de processos listando somente os processos sob responsabilidade do usuário logado.</w:t>
      </w:r>
    </w:p>
    <w:p w14:paraId="4D207ECA"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filtrar a consulta de intimações listando somente intimações sob responsabilidade do usuário logado.</w:t>
      </w:r>
    </w:p>
    <w:p w14:paraId="72ACE06C"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acompanhamento das movimentações de arrecadação (pagamento, parcelamento, cancelamento do parcelamento, entre outras) nos processos de Execução Fiscal. Com base na pré-configuração definida pelo usuário, o sistema gerará automaticamente a petição intermediária cabível para cada movimentação de arrecadação.</w:t>
      </w:r>
    </w:p>
    <w:p w14:paraId="6D2A95A7"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Integrar via WebService com o Tribunal de Justiça do Estado para protocolo e acompanhamento de processos em primeiro grau.</w:t>
      </w:r>
    </w:p>
    <w:p w14:paraId="15BC22C7"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Integrar via WebService com o Tribunal de Justiça do Estado para protocolo e acompanhamento de processos em segundo grau.</w:t>
      </w:r>
    </w:p>
    <w:p w14:paraId="6D8EF08D"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cadastro de processos de primeiro grau com base nos dados</w:t>
      </w:r>
    </w:p>
    <w:p w14:paraId="1FAF3D46"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processuais retornados pelo Tribunal de Justiça do Estado.</w:t>
      </w:r>
    </w:p>
    <w:p w14:paraId="20CE5736"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Protocolar processos via software diretamente no sistema do Tribunal de Justiça do Estado.</w:t>
      </w:r>
    </w:p>
    <w:p w14:paraId="26F46F9C"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para busca e recebimento das movimentações processuais via</w:t>
      </w:r>
    </w:p>
    <w:p w14:paraId="0A6A87F8"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integração WebService com o Tribunal De Justiça do Estado.</w:t>
      </w:r>
    </w:p>
    <w:p w14:paraId="33EEF5D5"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para recebimento e abertura de prazos das Intimações e Citações retornadas via WebService pelo do Tribunal de Justiça do Estado.</w:t>
      </w:r>
    </w:p>
    <w:p w14:paraId="7159C3D1"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rotina de leitura OCR de documentos retornados via WebService pelo do Tribunal de Justiça do Estado.</w:t>
      </w:r>
    </w:p>
    <w:p w14:paraId="1BBA2828"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relacionar um processo judicial a uma comunicação interna (memorando, oficio, entro outros).</w:t>
      </w:r>
    </w:p>
    <w:p w14:paraId="4FA34A7E"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gerenciamento e a consulta das petições do processo e seus anexos.</w:t>
      </w:r>
    </w:p>
    <w:p w14:paraId="466D93F2"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associar procuração às petições, sendo passivei substituir as procurações anteriormente associadas. Esse procedimento também deverá funcionar em lote, associando uma mesma procuração à várias petições, simultaneamente.</w:t>
      </w:r>
    </w:p>
    <w:p w14:paraId="74D19263"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Possuir integração com o sistema de Arrecadação possibilitando associar o extrato de débitos do contribuinte diretamente aos anexos da petição.</w:t>
      </w:r>
    </w:p>
    <w:p w14:paraId="26E9DA40"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modelos de petição intermediária, com emissão automática com base nos dados Inseridos no banco de dados, podendo executar a emissão em lote, ou seja, em vários processos simultaneamente.</w:t>
      </w:r>
    </w:p>
    <w:p w14:paraId="74668D82"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classificação das intimações, definindo suas prioridades entre Baixa, Média, Alta e Altíssima.</w:t>
      </w:r>
    </w:p>
    <w:p w14:paraId="1D4FA047"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o gerenciamento de intimações de acordo com a prioridade de prazos a vencer, sendo possível a filtragem por data inicial e data final. </w:t>
      </w:r>
    </w:p>
    <w:p w14:paraId="12C47493"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manutenção de uma intimação, sendo possível a alteração de prazos, alterando sua data de início e data fim.</w:t>
      </w:r>
    </w:p>
    <w:p w14:paraId="15B8E866"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cadastro de agenda, possibilitando a inclusão de compromissos, relacionando</w:t>
      </w:r>
      <w:r w:rsidRPr="00680B5B">
        <w:rPr>
          <w:rFonts w:ascii="Times New Roman" w:hAnsi="Times New Roman" w:cs="Times New Roman"/>
        </w:rPr>
        <w:softHyphen/>
        <w:t xml:space="preserve"> os a um processo/ato eletrônico.</w:t>
      </w:r>
    </w:p>
    <w:p w14:paraId="71B83EFC"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de compromissos agendados para o usuário, sendo possível listar suas agendas, e filtrar cada compromisso por: número do processo, data inicial e final.  Deverá   também   ser   possível   confirmar  o  recebimento de um compromisso transferido por outro usuário.</w:t>
      </w:r>
    </w:p>
    <w:p w14:paraId="445530A6"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aos usuários definir na inclusão de um compromisso quais usuários poderão ter acesso aos seus compromissos, sendo possível definir o tipo de acesso. </w:t>
      </w:r>
    </w:p>
    <w:p w14:paraId="133827C0"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cadastro automático de data e horário de audiência em agenda previamente cadastrada. </w:t>
      </w:r>
    </w:p>
    <w:p w14:paraId="6C59A340"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consulta de tipos de classes de acordo com dados disponibilizados pelo Conselho Nacional de Justiça, dispondo de consulta de informações como glossário e dispositivo legal que fundamenta cada ação. Deverá também permitir definir quais são os documentos necessários à propositura/ prosseguimento de ações judiciais relacionadas às classes.</w:t>
      </w:r>
    </w:p>
    <w:p w14:paraId="45D8B86C"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consulta de tipos de assuntos, de acordo com dados disponibilizados pelo Conselho Nacional de Justiça, dispondo ainda de consulta de Informações como glossário e dispositivo legal que fundamenta cada ação.</w:t>
      </w:r>
    </w:p>
    <w:p w14:paraId="2627EFE9" w14:textId="77777777" w:rsidR="00B307DB" w:rsidRPr="00680B5B" w:rsidRDefault="00B307DB" w:rsidP="00B2664C">
      <w:pPr>
        <w:numPr>
          <w:ilvl w:val="0"/>
          <w:numId w:val="32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emissão de relatórios de: Processos; Movimentos; Execuções Fiscais e Produtividade. </w:t>
      </w:r>
    </w:p>
    <w:p w14:paraId="652B8DF7" w14:textId="77777777" w:rsidR="00B307DB" w:rsidRPr="00680B5B" w:rsidRDefault="00B307DB" w:rsidP="00B307DB">
      <w:pPr>
        <w:spacing w:after="0" w:line="240" w:lineRule="auto"/>
        <w:ind w:right="-568"/>
        <w:jc w:val="both"/>
        <w:rPr>
          <w:rFonts w:ascii="Times New Roman" w:hAnsi="Times New Roman" w:cs="Times New Roman"/>
          <w:b/>
        </w:rPr>
      </w:pPr>
    </w:p>
    <w:p w14:paraId="52F23224" w14:textId="77777777" w:rsidR="00B307DB" w:rsidRPr="00680B5B" w:rsidRDefault="00B307DB" w:rsidP="00B307DB">
      <w:pPr>
        <w:spacing w:after="0" w:line="240" w:lineRule="auto"/>
        <w:ind w:right="-568"/>
        <w:jc w:val="both"/>
        <w:rPr>
          <w:rFonts w:ascii="Times New Roman" w:hAnsi="Times New Roman" w:cs="Times New Roman"/>
          <w:shd w:val="clear" w:color="auto" w:fill="FF0000"/>
        </w:rPr>
      </w:pPr>
      <w:r w:rsidRPr="00680B5B">
        <w:rPr>
          <w:rFonts w:ascii="Times New Roman" w:hAnsi="Times New Roman" w:cs="Times New Roman"/>
          <w:b/>
        </w:rPr>
        <w:t>2.26 MÓDULO: PROTOCOLO E PROCESSO DIGITAL</w:t>
      </w:r>
    </w:p>
    <w:p w14:paraId="307A811F" w14:textId="77777777" w:rsidR="00B307DB" w:rsidRPr="00680B5B" w:rsidRDefault="00B307DB" w:rsidP="00B2664C">
      <w:pPr>
        <w:pStyle w:val="PargrafodaLista"/>
        <w:numPr>
          <w:ilvl w:val="0"/>
          <w:numId w:val="327"/>
        </w:numPr>
        <w:suppressAutoHyphens/>
        <w:spacing w:after="0" w:line="240" w:lineRule="auto"/>
        <w:ind w:right="-568"/>
        <w:jc w:val="both"/>
        <w:rPr>
          <w:rFonts w:ascii="Times New Roman" w:hAnsi="Times New Roman" w:cs="Times New Roman"/>
        </w:rPr>
      </w:pPr>
      <w:r w:rsidRPr="00680B5B">
        <w:rPr>
          <w:rFonts w:ascii="Times New Roman" w:hAnsi="Times New Roman" w:cs="Times New Roman"/>
        </w:rPr>
        <w:t>Permitir o trâmite de todo o processo em ambiente digital.</w:t>
      </w:r>
    </w:p>
    <w:p w14:paraId="66B84745"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realização de assinatura digital por meio de utilização de certificado digital no padrão ICP-Brasil ou eletrônico durante as movimentações dos processos, como aberturas, trâmites e/ou encerramentos. </w:t>
      </w:r>
    </w:p>
    <w:p w14:paraId="46930712"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 xml:space="preserve">Permitir que </w:t>
      </w:r>
      <w:r w:rsidRPr="00680B5B">
        <w:rPr>
          <w:rFonts w:ascii="Times New Roman" w:hAnsi="Times New Roman" w:cs="Times New Roman"/>
          <w:lang w:eastAsia="pt-PT"/>
        </w:rPr>
        <w:t xml:space="preserve">todos os </w:t>
      </w:r>
      <w:r w:rsidRPr="00680B5B">
        <w:rPr>
          <w:rFonts w:ascii="Times New Roman" w:hAnsi="Times New Roman" w:cs="Times New Roman"/>
          <w:lang w:val="pt-PT" w:eastAsia="pt-PT"/>
        </w:rPr>
        <w:t>setores possam realizar a abertura de processos digitais via sistema, seguindo a mesma numeração do exercicio corrente.</w:t>
      </w:r>
    </w:p>
    <w:p w14:paraId="118311B0"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relacionar responsável a um processo, tanto no momento da abertura quanto em eventuais alterações.</w:t>
      </w:r>
    </w:p>
    <w:p w14:paraId="6C4A3FBD"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o cadastro de processos com Requerente anônimo, com a possibilidade de informar telefone e/ou e-mail para contato, desde que configurado. </w:t>
      </w:r>
    </w:p>
    <w:p w14:paraId="777C1557"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Na abertura do processo, permitir especificar a finalidade do processo: atendimento ao público ou processo interno da Entidade. </w:t>
      </w:r>
    </w:p>
    <w:p w14:paraId="6E4BA928"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Exibir indicativo durante a abertura de um processo, da existência de outros processos para o requerente informado. </w:t>
      </w:r>
    </w:p>
    <w:p w14:paraId="67A55BCA"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relacionar Requerentes Adicionais a um processo, tanto no momento da abertura quanto em eventuais alterações. </w:t>
      </w:r>
    </w:p>
    <w:p w14:paraId="4DBF42C0"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que a numeração de processo siga sequência numérica</w:t>
      </w:r>
      <w:r w:rsidRPr="00680B5B">
        <w:rPr>
          <w:rFonts w:ascii="Times New Roman" w:hAnsi="Times New Roman" w:cs="Times New Roman"/>
          <w:lang w:eastAsia="pt-PT"/>
        </w:rPr>
        <w:t xml:space="preserve">, permitindo que esta numeração seja reiniciada </w:t>
      </w:r>
      <w:r w:rsidRPr="00680B5B">
        <w:rPr>
          <w:rFonts w:ascii="Times New Roman" w:hAnsi="Times New Roman" w:cs="Times New Roman"/>
          <w:lang w:val="pt-PT" w:eastAsia="pt-PT"/>
        </w:rPr>
        <w:t>a cada novo exercício.</w:t>
      </w:r>
      <w:r w:rsidRPr="00680B5B">
        <w:rPr>
          <w:rFonts w:ascii="Times New Roman" w:hAnsi="Times New Roman" w:cs="Times New Roman"/>
        </w:rPr>
        <w:t xml:space="preserve"> </w:t>
      </w:r>
    </w:p>
    <w:p w14:paraId="3D70AEF2"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a abertura de processos</w:t>
      </w:r>
      <w:r w:rsidRPr="00680B5B">
        <w:rPr>
          <w:rFonts w:ascii="Times New Roman" w:hAnsi="Times New Roman" w:cs="Times New Roman"/>
          <w:lang w:eastAsia="pt-PT"/>
        </w:rPr>
        <w:t xml:space="preserve"> pelos requerentes/responsáveis</w:t>
      </w:r>
      <w:r w:rsidRPr="00680B5B">
        <w:rPr>
          <w:rFonts w:ascii="Times New Roman" w:hAnsi="Times New Roman" w:cs="Times New Roman"/>
          <w:lang w:val="pt-PT" w:eastAsia="pt-PT"/>
        </w:rPr>
        <w:t xml:space="preserve"> através de acesso externo via </w:t>
      </w:r>
      <w:r w:rsidRPr="00680B5B">
        <w:rPr>
          <w:rFonts w:ascii="Times New Roman" w:hAnsi="Times New Roman" w:cs="Times New Roman"/>
          <w:lang w:eastAsia="pt-PT"/>
        </w:rPr>
        <w:t>serviço de autoatendimento</w:t>
      </w:r>
      <w:r w:rsidRPr="00680B5B">
        <w:rPr>
          <w:rFonts w:ascii="Times New Roman" w:hAnsi="Times New Roman" w:cs="Times New Roman"/>
          <w:lang w:val="pt-PT" w:eastAsia="pt-PT"/>
        </w:rPr>
        <w:t>.</w:t>
      </w:r>
    </w:p>
    <w:p w14:paraId="26F442AC"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Cadastrar termo de aceite para relacionar ao assunto, onde durante a abertura do processo no autoatendimento, o usuário deverá aceitar as condições para concluir a abertura do processo.</w:t>
      </w:r>
    </w:p>
    <w:p w14:paraId="03AE8247"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no momento da abertura do processo, seja via sistema ou autoatendimento, que no cadastro único do requerente sejam verificados o preenchimento e validade dos campos CPF/CNPJ, RG, contato e endereço.</w:t>
      </w:r>
    </w:p>
    <w:p w14:paraId="58C87D56"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ao requerente no momento da abertura de processo realize a visualização dos documentos obrigatórios para cada assunto. </w:t>
      </w:r>
    </w:p>
    <w:p w14:paraId="1E7D3824"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 xml:space="preserve">Possibilitar a configuração de roteiro de cumprimento automático para cada assunto conforme definição da entidade. </w:t>
      </w:r>
    </w:p>
    <w:p w14:paraId="44DF8622"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realizar a definição de prazo para que cada etapa do roteiro seja realizada. </w:t>
      </w:r>
    </w:p>
    <w:p w14:paraId="4E29A403"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controle de prazos, conforme definição do roteiro, possibilitando que processos pendentes sejam classificados através de cores e ícones indicativos.</w:t>
      </w:r>
    </w:p>
    <w:p w14:paraId="2E85E2E1"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emissão de guia para pagamento de taxas e tarifas, em padrão bancário, possibilitando configurar para cada assunto determinada sub-receita.</w:t>
      </w:r>
    </w:p>
    <w:p w14:paraId="615D98C5"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reimprimir as taxas dos processos, caso solicitado pelo requerente ou responsável do mesmo.</w:t>
      </w:r>
    </w:p>
    <w:p w14:paraId="5EBA9EE6"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cancelar processos automaticamente que estejam com as taxas vinculadas a ele com a situação cancelada. </w:t>
      </w:r>
    </w:p>
    <w:p w14:paraId="386EB585"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Impossibilitar o recebimento de processo com taxa em aberto. </w:t>
      </w:r>
    </w:p>
    <w:p w14:paraId="0A36929A"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Impossibilitar </w:t>
      </w:r>
      <w:r w:rsidRPr="00680B5B">
        <w:rPr>
          <w:rFonts w:ascii="Times New Roman" w:hAnsi="Times New Roman" w:cs="Times New Roman"/>
          <w:lang w:val="pt-PT" w:eastAsia="pt-PT"/>
        </w:rPr>
        <w:t>a tramitação de processo com taxa em aberto.</w:t>
      </w:r>
    </w:p>
    <w:p w14:paraId="6AA2C4E8"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eastAsia="pt-PT"/>
        </w:rPr>
        <w:t>Permitir definir o grau de prioridade dos processos, incluindo ícone indicativo no gerenciamento de processos.</w:t>
      </w:r>
    </w:p>
    <w:p w14:paraId="0168E382"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texto de orientação para facilitar o entendimento do cidadão durante a realização da abertura do processo.</w:t>
      </w:r>
    </w:p>
    <w:p w14:paraId="2FECA2EE"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Controlar as fases de um processo, desde seu registro até seu arquivamento. </w:t>
      </w:r>
    </w:p>
    <w:p w14:paraId="243360DA"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Manter um histórico das fases do processo, com as informações de data de abertura, trâmites e recebimentos, além de quais movimentos foram assinados digitalmente. </w:t>
      </w:r>
    </w:p>
    <w:p w14:paraId="621748BF"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visualizar o histórico do processo em linha do tempo, carregando todos os movimentos, como: abertura, trâmite, complemento, recebimento, encerramento, arquivamento, cancelamento, paralisação e reabertura, indicando o usuário e/ou centro de custo e data/hora de execução do procedimento.</w:t>
      </w:r>
    </w:p>
    <w:p w14:paraId="324EBCC3"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Controlar a vinculação de processos por apensamento, onde ambos deverão seguir as mesmas movimentações após a vinculação.</w:t>
      </w:r>
    </w:p>
    <w:p w14:paraId="11AC6041"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anexar os arquivos nos processos digitais durante a abertura, trâmites e/ou complementos, sendo minimamente nos formatos: PDF, DOC, DOCX, XLS, XLSX, JPG, PNG, ODT. </w:t>
      </w:r>
    </w:p>
    <w:p w14:paraId="1CF5682B"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não sejam removidos os arquivos vinculados ao processo após a movimentação deste para outro setor.</w:t>
      </w:r>
    </w:p>
    <w:p w14:paraId="0DAA0933"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informar se o processo possui documentação física e/ou digital.</w:t>
      </w:r>
    </w:p>
    <w:p w14:paraId="4F2F9942"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baixar todos os anexos de um processo de uma só vez. </w:t>
      </w:r>
    </w:p>
    <w:p w14:paraId="70174780"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visualização dos anexos do mesmo formato em um processo, de forma agrupada, como se fosse um único arquivo.</w:t>
      </w:r>
    </w:p>
    <w:p w14:paraId="481EE120"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criação de repositório de modelos de documentos, que poderão ser utilizados como base para a criação de novos documentos dentro dos processos digitais.</w:t>
      </w:r>
    </w:p>
    <w:p w14:paraId="63AF6A8E"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movimentação de processos por centro de custos ou por usuário. </w:t>
      </w:r>
    </w:p>
    <w:p w14:paraId="5B97B2EF"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inserção dos textos, de abertura e movimentações dos processos, sem limite de caracteres. </w:t>
      </w:r>
    </w:p>
    <w:p w14:paraId="65B8637F"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transferência entre arquivos, após o processo estar arquivado. </w:t>
      </w:r>
    </w:p>
    <w:p w14:paraId="6DCDF5D2"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receber os processos coletivamente, não necessitando receber um a um. </w:t>
      </w:r>
    </w:p>
    <w:p w14:paraId="115C6EB4"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movimentar vários processos em lote, com a possibilidade de informar pareceres diferentes para cada um dos processos. </w:t>
      </w:r>
    </w:p>
    <w:p w14:paraId="220FBB25"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histórico de alterações efetuadas nos processos, como as alterações de requerente, assunto, subassunto, cadastro imobiliário e endereço do processo. </w:t>
      </w:r>
    </w:p>
    <w:p w14:paraId="508B466B"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definir se o último trâmite do processo poderá ser excluído. </w:t>
      </w:r>
    </w:p>
    <w:p w14:paraId="0A1957C2"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arquivar vários processos de uma única vez. </w:t>
      </w:r>
    </w:p>
    <w:p w14:paraId="09485BA3"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opção para paralisar processos que estão com limite de prazo atingido.</w:t>
      </w:r>
    </w:p>
    <w:p w14:paraId="37F02B7F"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encerrar processos em lote, informando o parecer e motivo do encerramento.</w:t>
      </w:r>
    </w:p>
    <w:p w14:paraId="13C17238"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reabertura de processos, possibilitando selecionar mais de um processo para a reabertura.</w:t>
      </w:r>
    </w:p>
    <w:p w14:paraId="7F4781F7"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configurar o envio de e-mail e/ou notificação push, ao requerente do processo a cada trâmite do processo. </w:t>
      </w:r>
    </w:p>
    <w:p w14:paraId="7551E6B3"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a resposta de e-mails enviados ao requerente/responsável durante a tramitação dos processos seja respondida. Esta resposta deverá ser incluída no processo em questão como um complemento deste.</w:t>
      </w:r>
    </w:p>
    <w:p w14:paraId="620C5889"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Definir os centros de custos que o usuário possuirá acesso, retornando na sua caixa de processos somente os registros relacionados às permissões pré-definidas.</w:t>
      </w:r>
    </w:p>
    <w:p w14:paraId="0EAD752F"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Possibilitar que em consulta única de gerenciamento de processos sejam listados os que estão sob responsabilidade do usuário logado ou do seu setor.</w:t>
      </w:r>
    </w:p>
    <w:p w14:paraId="2F7557C1"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filtro para que o usuário visualize apenas os processos relacionados a sua repartição. </w:t>
      </w:r>
    </w:p>
    <w:p w14:paraId="43B44C1F"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Nas rotinas de gerenciamento de processos, dispor minimamente dos filtros: situação (aberto, tramitando, em análise, paralisado, cancelado e arquivado), número, ano, requerente, responsável, endereço do requerente, data de abertura, data de previsão, assunto, subassunto, centro de custo atual, usuário do último trâmite e data da última movimentação.</w:t>
      </w:r>
    </w:p>
    <w:p w14:paraId="76D92643"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Na rotina de gerenciamento do processo, permitir que os processos sejam ordenados pela data da última movimentação, possibilitando visualizar os últimos processos movimentados. </w:t>
      </w:r>
    </w:p>
    <w:p w14:paraId="039DD2DA"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gerenciar o processo a partir da tela de visualização, sendo possível adicionar novos anexos, receber, tramitar e complementar o processo, alterando a situação conforme a execução realizada.</w:t>
      </w:r>
    </w:p>
    <w:p w14:paraId="58AEA812"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indicar usuários que possam ser gestores de processos, possibilitando gerenciar todos os registros cadastrados no sistema de processo digital.</w:t>
      </w:r>
    </w:p>
    <w:p w14:paraId="3F72A131"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ao gestor do sistema a visualização de todos os processos, independente do centro de custos em que o processo esteja localizado. </w:t>
      </w:r>
    </w:p>
    <w:p w14:paraId="2B9EA8CC"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um processo seja sigiloso, sendo visualizados somente pelos usuários envolvidos, conforme parametrização.</w:t>
      </w:r>
    </w:p>
    <w:p w14:paraId="00BE6557"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sejam inseridos pedidos de readequação nos processos aos requerentes/responsáveis, comunicando via e-mail que o processo está pendente.</w:t>
      </w:r>
    </w:p>
    <w:p w14:paraId="23427C2B"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requerente e responsável legal do processo acompanhem as solicitações via web, sendo necessário informar o número do processo e o código verificador ou CPF/CNPJ, visualizando todos os trâmites do processo, situação, data e horário da tramitação, local que se encontra e parecer, podendo incluir novos anexos, readequações e/ou complementos ao processo.</w:t>
      </w:r>
    </w:p>
    <w:p w14:paraId="48A254FD"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que sejam inseridas solicitações de parecer nos processos, informando o teor do pedido com notificação ao setor/usuário de recebimento deste. </w:t>
      </w:r>
    </w:p>
    <w:p w14:paraId="16A34B50"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que as solicitações de parecer respondidas sejam gravadas no histórico do processo. </w:t>
      </w:r>
    </w:p>
    <w:p w14:paraId="118CEC52"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gadget para facilitar o gerenciamento dos processos, retornando informações relevantes para agilizar as análises do dia a dia, sendo: número/ano do processo, data de abertura, data do último trâmite, requerente, assunto, subassunto, situação e taxa relacionada ao processo.</w:t>
      </w:r>
    </w:p>
    <w:p w14:paraId="6652B85D"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via gadget de gerenciamento de processos, o usuário possa despachar as demandas do dia a dia, sem a necessidade de acessar a consulta global dos seus processos.</w:t>
      </w:r>
    </w:p>
    <w:p w14:paraId="0E77B8EE"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que os processos digitais sejam gerenciados por meio de uma ferramenta de fluxo, integrada ao SGBD, sem necessidade de acesso ou integração com outros sistemas.</w:t>
      </w:r>
    </w:p>
    <w:p w14:paraId="21FE4094"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Dispor de parametrização por solicitação, para definir se processos com fluxo relacionado podem ser tramitados ao requerente ou responsável, caso seja necessário alguma readequação do pedido.</w:t>
      </w:r>
    </w:p>
    <w:p w14:paraId="3200377F"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lang w:val="pt-PT" w:eastAsia="pt-PT"/>
        </w:rPr>
        <w:t>Permitir que o requerente e/ou responsável do processo possam executar atividades configuradas no fluxo do processo, como: adicionar novos documentos e responder informações adicionais.</w:t>
      </w:r>
    </w:p>
    <w:p w14:paraId="4D5DD2C9"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Dispor de relatórios de gerenciamento por processos, centro de custo, assunto, subassunto, gráficos e etiquetas. </w:t>
      </w:r>
    </w:p>
    <w:p w14:paraId="236C4615"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Emitir relatório estatístico com no mínimo os seguintes filtros: Assunto, subassunto, Centro de Custo Atual, Requerente, Parecer, Situação, data de abertura, número do processo e usuário de abertura. </w:t>
      </w:r>
    </w:p>
    <w:p w14:paraId="0BC95E09"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emissão de comprovante de abertura, trâmites, encerramento e arquivamento. </w:t>
      </w:r>
    </w:p>
    <w:p w14:paraId="472940E8"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emissão de etiquetas personalizadas contendo informações do Processo, através dos filtros: Número, Ano, Assunto, subassunto, Data e Situação do Processo.</w:t>
      </w:r>
    </w:p>
    <w:p w14:paraId="14ABE29E"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 emissão de gráficos dos processos por assunto, subassunto, centro de custos e situação. </w:t>
      </w:r>
    </w:p>
    <w:p w14:paraId="2121952D"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em arquivo único de todos os movimentos do processo, para que seja possível realizar alguma análise detalhada da solicitação.</w:t>
      </w:r>
    </w:p>
    <w:p w14:paraId="2064A7A8"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referente aos processos de Acesso à Informação, podendo exibir gráfico, requerente, último trâmite e filtrar por data de abertura, situação e</w:t>
      </w:r>
      <w:r w:rsidRPr="00680B5B">
        <w:rPr>
          <w:rFonts w:ascii="Times New Roman" w:hAnsi="Times New Roman" w:cs="Times New Roman"/>
          <w:spacing w:val="-1"/>
        </w:rPr>
        <w:t xml:space="preserve"> </w:t>
      </w:r>
      <w:r w:rsidRPr="00680B5B">
        <w:rPr>
          <w:rFonts w:ascii="Times New Roman" w:hAnsi="Times New Roman" w:cs="Times New Roman"/>
        </w:rPr>
        <w:t>requerente.</w:t>
      </w:r>
    </w:p>
    <w:p w14:paraId="5080965F"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realizar a impressão de todo o processo, contendo as movimentações e os arquivos vinculados em ordem cronológica. </w:t>
      </w:r>
    </w:p>
    <w:p w14:paraId="70159925" w14:textId="77777777" w:rsidR="00B307DB" w:rsidRPr="00680B5B" w:rsidRDefault="00B307DB" w:rsidP="00B2664C">
      <w:pPr>
        <w:pStyle w:val="PargrafodaLista"/>
        <w:numPr>
          <w:ilvl w:val="0"/>
          <w:numId w:val="327"/>
        </w:numPr>
        <w:tabs>
          <w:tab w:val="left" w:pos="142"/>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painéis indicadores que permitam a visualização dos seguintes dados de processos digitais:</w:t>
      </w:r>
    </w:p>
    <w:p w14:paraId="07A10A18" w14:textId="77777777" w:rsidR="00B307DB" w:rsidRPr="00680B5B" w:rsidRDefault="00B307DB" w:rsidP="009A49E6">
      <w:pPr>
        <w:pStyle w:val="PargrafodaLista"/>
        <w:numPr>
          <w:ilvl w:val="0"/>
          <w:numId w:val="328"/>
        </w:numPr>
        <w:tabs>
          <w:tab w:val="clear" w:pos="720"/>
          <w:tab w:val="left" w:pos="142"/>
          <w:tab w:val="left" w:pos="851"/>
          <w:tab w:val="num" w:pos="993"/>
        </w:tabs>
        <w:suppressAutoHyphens/>
        <w:spacing w:after="0" w:line="240" w:lineRule="auto"/>
        <w:ind w:left="567" w:right="-568" w:hanging="11"/>
        <w:jc w:val="both"/>
        <w:rPr>
          <w:rFonts w:ascii="Times New Roman" w:hAnsi="Times New Roman" w:cs="Times New Roman"/>
        </w:rPr>
      </w:pPr>
      <w:r w:rsidRPr="00680B5B">
        <w:rPr>
          <w:rFonts w:ascii="Times New Roman" w:hAnsi="Times New Roman" w:cs="Times New Roman"/>
        </w:rPr>
        <w:t>Estatísticas dos processos abertos em quantidade e percentual.</w:t>
      </w:r>
    </w:p>
    <w:p w14:paraId="480CF2B1" w14:textId="77777777" w:rsidR="00B307DB" w:rsidRPr="00680B5B" w:rsidRDefault="00B307DB" w:rsidP="009A49E6">
      <w:pPr>
        <w:pStyle w:val="PargrafodaLista"/>
        <w:numPr>
          <w:ilvl w:val="0"/>
          <w:numId w:val="328"/>
        </w:numPr>
        <w:tabs>
          <w:tab w:val="left" w:pos="142"/>
          <w:tab w:val="left" w:pos="851"/>
        </w:tabs>
        <w:suppressAutoHyphens/>
        <w:spacing w:after="0" w:line="240" w:lineRule="auto"/>
        <w:ind w:left="567" w:right="-568" w:firstLine="0"/>
        <w:jc w:val="both"/>
        <w:rPr>
          <w:rFonts w:ascii="Times New Roman" w:hAnsi="Times New Roman" w:cs="Times New Roman"/>
        </w:rPr>
      </w:pPr>
      <w:r w:rsidRPr="00680B5B">
        <w:rPr>
          <w:rFonts w:ascii="Times New Roman" w:hAnsi="Times New Roman" w:cs="Times New Roman"/>
        </w:rPr>
        <w:t>Comparação da quantidade de processos dos últimos dois exercícios.</w:t>
      </w:r>
    </w:p>
    <w:p w14:paraId="33C73E14" w14:textId="77777777" w:rsidR="00B307DB" w:rsidRPr="00680B5B" w:rsidRDefault="00B307DB" w:rsidP="009A49E6">
      <w:pPr>
        <w:pStyle w:val="PargrafodaLista"/>
        <w:numPr>
          <w:ilvl w:val="0"/>
          <w:numId w:val="328"/>
        </w:numPr>
        <w:tabs>
          <w:tab w:val="left" w:pos="142"/>
          <w:tab w:val="left" w:pos="851"/>
        </w:tabs>
        <w:suppressAutoHyphens/>
        <w:spacing w:after="0" w:line="240" w:lineRule="auto"/>
        <w:ind w:left="567" w:right="-568" w:firstLine="0"/>
        <w:jc w:val="both"/>
        <w:rPr>
          <w:rFonts w:ascii="Times New Roman" w:hAnsi="Times New Roman" w:cs="Times New Roman"/>
        </w:rPr>
      </w:pPr>
      <w:r w:rsidRPr="00680B5B">
        <w:rPr>
          <w:rFonts w:ascii="Times New Roman" w:hAnsi="Times New Roman" w:cs="Times New Roman"/>
        </w:rPr>
        <w:t>Comparação da quantidade de processos mensais dos últimos exercícios.</w:t>
      </w:r>
    </w:p>
    <w:p w14:paraId="7DA54D91" w14:textId="77777777" w:rsidR="00B307DB" w:rsidRPr="00680B5B" w:rsidRDefault="00B307DB" w:rsidP="009A49E6">
      <w:pPr>
        <w:pStyle w:val="PargrafodaLista"/>
        <w:numPr>
          <w:ilvl w:val="0"/>
          <w:numId w:val="328"/>
        </w:numPr>
        <w:tabs>
          <w:tab w:val="left" w:pos="142"/>
          <w:tab w:val="left" w:pos="851"/>
        </w:tabs>
        <w:suppressAutoHyphens/>
        <w:spacing w:after="0" w:line="240" w:lineRule="auto"/>
        <w:ind w:left="567" w:right="-568" w:firstLine="0"/>
        <w:jc w:val="both"/>
        <w:rPr>
          <w:rFonts w:ascii="Times New Roman" w:hAnsi="Times New Roman" w:cs="Times New Roman"/>
        </w:rPr>
      </w:pPr>
      <w:r w:rsidRPr="00680B5B">
        <w:rPr>
          <w:rFonts w:ascii="Times New Roman" w:hAnsi="Times New Roman" w:cs="Times New Roman"/>
        </w:rPr>
        <w:t>Ranking no número de processos.</w:t>
      </w:r>
    </w:p>
    <w:p w14:paraId="499DBEBE" w14:textId="77777777" w:rsidR="00B307DB" w:rsidRPr="00680B5B" w:rsidRDefault="00B307DB" w:rsidP="009A49E6">
      <w:pPr>
        <w:pStyle w:val="PargrafodaLista"/>
        <w:numPr>
          <w:ilvl w:val="0"/>
          <w:numId w:val="328"/>
        </w:numPr>
        <w:tabs>
          <w:tab w:val="left" w:pos="142"/>
          <w:tab w:val="left" w:pos="851"/>
        </w:tabs>
        <w:suppressAutoHyphens/>
        <w:spacing w:after="0" w:line="240" w:lineRule="auto"/>
        <w:ind w:left="567" w:right="-568" w:firstLine="0"/>
        <w:jc w:val="both"/>
        <w:rPr>
          <w:rFonts w:ascii="Times New Roman" w:hAnsi="Times New Roman" w:cs="Times New Roman"/>
        </w:rPr>
      </w:pPr>
      <w:r w:rsidRPr="00680B5B">
        <w:rPr>
          <w:rFonts w:ascii="Times New Roman" w:hAnsi="Times New Roman" w:cs="Times New Roman"/>
        </w:rPr>
        <w:lastRenderedPageBreak/>
        <w:t>Processos abertos por assunto x subassunto.</w:t>
      </w:r>
    </w:p>
    <w:p w14:paraId="43AB5DA8" w14:textId="77777777" w:rsidR="00B307DB" w:rsidRPr="00680B5B" w:rsidRDefault="00B307DB" w:rsidP="00B307DB">
      <w:pPr>
        <w:spacing w:after="0" w:line="240" w:lineRule="auto"/>
        <w:ind w:left="720" w:right="-568"/>
        <w:jc w:val="both"/>
        <w:rPr>
          <w:rFonts w:ascii="Times New Roman" w:hAnsi="Times New Roman" w:cs="Times New Roman"/>
          <w:highlight w:val="white"/>
        </w:rPr>
      </w:pPr>
    </w:p>
    <w:p w14:paraId="2034DFAF" w14:textId="77777777" w:rsidR="00B307DB" w:rsidRPr="00680B5B" w:rsidRDefault="00B307DB" w:rsidP="00B307DB">
      <w:pPr>
        <w:spacing w:after="0" w:line="240" w:lineRule="auto"/>
        <w:ind w:right="-568"/>
        <w:jc w:val="both"/>
        <w:rPr>
          <w:rFonts w:ascii="Times New Roman" w:hAnsi="Times New Roman" w:cs="Times New Roman"/>
          <w:shd w:val="clear" w:color="auto" w:fill="FF0000"/>
        </w:rPr>
      </w:pPr>
      <w:r w:rsidRPr="00680B5B">
        <w:rPr>
          <w:rFonts w:ascii="Times New Roman" w:hAnsi="Times New Roman" w:cs="Times New Roman"/>
          <w:b/>
        </w:rPr>
        <w:t xml:space="preserve">2.27 </w:t>
      </w:r>
      <w:r w:rsidRPr="00680B5B">
        <w:rPr>
          <w:rFonts w:ascii="Times New Roman" w:hAnsi="Times New Roman" w:cs="Times New Roman"/>
          <w:b/>
          <w:bCs/>
        </w:rPr>
        <w:t>Aplicativo - APP - Mobile</w:t>
      </w:r>
    </w:p>
    <w:p w14:paraId="2775F466" w14:textId="77777777" w:rsidR="00B307DB" w:rsidRPr="00680B5B" w:rsidRDefault="00B307DB" w:rsidP="009A49E6">
      <w:pPr>
        <w:pStyle w:val="PargrafodaLista"/>
        <w:numPr>
          <w:ilvl w:val="0"/>
          <w:numId w:val="329"/>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disponibilizar gratuitamente o Aplicativo para download nas lojas Google Play e Apple Store.</w:t>
      </w:r>
    </w:p>
    <w:p w14:paraId="732DACE4"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aplicativo deverá estar integrado aos sistemas de gestão, sem banco dados compartilhado, evitando redundância dos dados e garantindo a unicidade dos serviços disponibilizados pela entidade pública, onde o mesmo serviço que esteja disponibilizado via portal possa ser disponibilizado via APP.</w:t>
      </w:r>
    </w:p>
    <w:p w14:paraId="3A4E9DBD"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possuir recurso que permita ao usuário solicitar acesso, considerando este quando aprovado para acesso também ao site de autoatendimento, garantindo assim a unicidade de acesso do cidadão.</w:t>
      </w:r>
    </w:p>
    <w:p w14:paraId="75063FB0"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o login do usuário ao APP por meio de CPF e Senha, este sendo a mesma credencial de acesso ao portal de serviços. Com possibilidade de login por meio de autenticação de login Gov.BR, desde que a entidade possua integração com o Gov.BR.</w:t>
      </w:r>
    </w:p>
    <w:p w14:paraId="0BC62F96"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possua várias contas no mesmo dispositivo, para acessar diversas contas no mesmo APP e dispositivo.</w:t>
      </w:r>
    </w:p>
    <w:p w14:paraId="4D1C4FA7"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que o usuário realize a alteração de senha via APP, onde a nova senha definida deverá ser válida também para acesso ao portal de serviços e para o sistema de gestão, garantindo a unicidade dos dados do usuário.</w:t>
      </w:r>
    </w:p>
    <w:p w14:paraId="5228A26B"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possibilitar ao usuário que o mesmo realize a recuperação da sua senha de acesso, onde a nova senha definida deverá ser válida também para acesso ao portal de serviços e para o sistema de gestão, garantindo a unicidade dos dados do usuário.</w:t>
      </w:r>
    </w:p>
    <w:p w14:paraId="7BEBBA2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APP deverá ser uma única plataforma de acesso, seja para funcionários da entidade, seja para cidadãos, empresa, garantido que os serviços estejam disponíveis de acordo com cada perfil acessado, onde os servidores, por exemplo, terão acesso a serviços exclusivos para eles, enquanto ao logar como cidadão que não seja funcionário, não terá acesso aos serviços destinados aos funcionários públicos.</w:t>
      </w:r>
    </w:p>
    <w:p w14:paraId="1D51A830"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gerenciamento dos serviços deve ser administrado internamente via sistema, para que a administração pública possa disponibilizar ou não os serviços que desejarem, quando for disponibilizado um serviço novo, ter uma indicação de “novo” no APP para o serviço disponibilizado para que o mesmo possa identificar os novos serviços disponibilizados pela administração</w:t>
      </w:r>
    </w:p>
    <w:p w14:paraId="60AE057D"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organização dos serviços em grupos e subgrupos, podendo definir ícone, título, ordem e os serviços que irá conter em cada um dos grupos definidos pela administração pública.</w:t>
      </w:r>
    </w:p>
    <w:p w14:paraId="0F157444"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a entidade personalize a cor do tema do APP, dentre as cores pré-definidas no sistema, bem como determine o brasão/logo ou marca d´água a ser utilizado ao realizar o login no APP.</w:t>
      </w:r>
    </w:p>
    <w:p w14:paraId="4519FEBD"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por meio do sistema que sejam enviadas notificações push ao APP, como o envio de um recado de acordo com o perfil do usuário, por exemplo, enviar push a todos os cidadãos que possuam o APP comunicando sobre uma campanha de vacinação ou comunicar apenas os funcionários sobre recados do departamento de recursos humanos.</w:t>
      </w:r>
    </w:p>
    <w:p w14:paraId="114E6EAE"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sejam enviadas notificações push a usuários com o APP instalado em diversas ocasiões, como por exemplo, na movimentação de processo digital, como trâmites, complemento, arquivamento, etc.</w:t>
      </w:r>
    </w:p>
    <w:p w14:paraId="08F8D0C5"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no APP área exclusiva para recebimento de notificações do APP, para leitura e posterior exclusão do registro caso o usuário desejar.</w:t>
      </w:r>
    </w:p>
    <w:p w14:paraId="4C6DDAF3"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no APP barra de pesquisa para que seja encontrado o serviço pelo termo pesquisa pelo usuário.</w:t>
      </w:r>
    </w:p>
    <w:p w14:paraId="2D757DC3"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área no APP para que o usuário possa ler os termos e condições de uso do APP sempre que desejar.</w:t>
      </w:r>
    </w:p>
    <w:p w14:paraId="0F666162"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área no APP para que o usuário possa realizar a leitura de notícias publicadas pelo município.</w:t>
      </w:r>
    </w:p>
    <w:p w14:paraId="65B2A146"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serviço que permita registrar demandas municipais, como a necessidade de manutenção de via pública devido a existência de buraco na pista, ou manutenção de poste de iluminação pública, ou poda de árvore, permitindo que durante o registro seja definido o local exato via localização de ponto no mapa, bem como enviar fotos ou imagens do local para demonstrar a situação. Após o registro permitir acompanhar as solicitações acompanhando as que estão em aberto e as que foram finalizadas. Bem como receber notificações da administração a cada verificação do registro de solicitação de manutenção.</w:t>
      </w:r>
    </w:p>
    <w:p w14:paraId="10E1EEDF"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Disponibilizar de serviço que demonstre as edições do diário oficial do município, permitindo a visualização de dados como a data da publicação e opção para download da edição.</w:t>
      </w:r>
    </w:p>
    <w:p w14:paraId="46959ED4"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serviço para assinatura de documentos, permitindo consultar as solicitações de assinatura disponíveis para o usuário logado que estejam pendentes, bem como as que já foram assinadas, permitindo o download do documento. Permitir assinar documentos quando o usuário logado possuir certificado digital A1 de categoria qualificado ou certificado autoassinado de categoria avançado disponível e ativo no repositório de certificados do sistema.</w:t>
      </w:r>
    </w:p>
    <w:p w14:paraId="74FAFF3B"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receba notificação push quando uma solicitação de assinatura for registrada para o mesmo.</w:t>
      </w:r>
    </w:p>
    <w:p w14:paraId="5C1E80EE"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possa incluir um certificado A1 de categoria qualificado no APP que será registrado no repositório central de certificados do sistema, para que o mesmo seja utilizado para posterior assinatura de documentos.</w:t>
      </w:r>
    </w:p>
    <w:p w14:paraId="1945061A"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serviço que liste as licitações publicadas pelo município, permitindo que o usuário realize o download dos documentos, bem como registre interesse de “seguir” a licitação para que quando surgir uma nova publicação do mesmo processo, o mesmo seja notificado via push sobre a nova publicação referente a licitação.</w:t>
      </w:r>
    </w:p>
    <w:p w14:paraId="0807CC8B"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serviço de consulta de processos/protocolos registrados em nome do usuário logado no APP, contendo informações sobre o processo, podendo visualizar históricos e o andamento do processo.</w:t>
      </w:r>
    </w:p>
    <w:p w14:paraId="2E3EB3B5"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receba notificações push sobre movimentações de trâmites do processo, complemento, encerramento, arquivamento, etc, para que o mesmo seja informado sobre as movimentações do seu processo digital.</w:t>
      </w:r>
    </w:p>
    <w:p w14:paraId="3680FDF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serviço que permita o usuário logado no APP registrar a abertura de novos processos digitais, por meio de uma tela de assistente que a cada etapa solicite os dados de preenchimento necessários.</w:t>
      </w:r>
    </w:p>
    <w:p w14:paraId="0D9BFD6C"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que realizem login no APP tenham acesso a consulta e emissão do seu recibo de pagamento, podendo realizar o download do documento correspondente ao seu recibo de pagamento.</w:t>
      </w:r>
    </w:p>
    <w:p w14:paraId="3455C20C"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responsável do departamento de RH da entidade possa notificar via push os funcionários quando o mesmo disponibilizar o recibo de pagamento para consulta, com isso os funcionários que possuam o APP devem ser notificados via push sobre a disponibilização do mesmo.</w:t>
      </w:r>
    </w:p>
    <w:p w14:paraId="5902077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visualizar os dados de rendimento para o IRRF - Imposto de Renda Retido na Fonte, para auxiliar na declaração do imposto de renda.</w:t>
      </w:r>
    </w:p>
    <w:p w14:paraId="3DE580E1"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da ficha de registro de funcionário.</w:t>
      </w:r>
    </w:p>
    <w:p w14:paraId="288DFC00"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do seu termo de rescisão.</w:t>
      </w:r>
    </w:p>
    <w:p w14:paraId="6A0951AE"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de relatório de licença prêmio, demonstrando seus períodos aquisitivos, gozos bem como as perdas.</w:t>
      </w:r>
    </w:p>
    <w:p w14:paraId="028F7D92"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do Extrato Anual de Contribuição Previdenciária.</w:t>
      </w:r>
    </w:p>
    <w:p w14:paraId="55D0F918"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do seu Recibo de Férias.</w:t>
      </w:r>
    </w:p>
    <w:p w14:paraId="4CF0EA42"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emissão do relatório de espelho ponto.</w:t>
      </w:r>
    </w:p>
    <w:p w14:paraId="5157BCF8"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os funcionários da entidade que realizarem login no APP possam realizar a solicitação de ajuste de ponto, como por exemplo, a solicitação de abono.</w:t>
      </w:r>
    </w:p>
    <w:p w14:paraId="2DF94B83"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seja realizada a consulta de autenticidade do recibo de pagamento dos servidores públicos, por meio da identificação de um código único do documento, constatando se o documento em questão é verídico.</w:t>
      </w:r>
    </w:p>
    <w:p w14:paraId="4FD2BD20"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tenha acesso a consulta dos débitos que estejam em aberto, para que o mesmo possa realizar a emissão de boletos para pagamento, permitindo a realização da cópia do código de barras para pagamento na plataforma do banco desejado. Bem como notificar via push o usuário a cada novo débito registrado em seu nome.</w:t>
      </w:r>
    </w:p>
    <w:p w14:paraId="62AE5AFA"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que o usuário logado no APP realize a emissão do documento de Certidão de acordo com a situação cadastral do mesmo, onde poderá ser emitido documento de Certidão Negativa ou Certidão Positiva ou Certidão Positiva com Efeito de Negativa.</w:t>
      </w:r>
    </w:p>
    <w:p w14:paraId="55E5074E"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a consulta de empresas ativas no município, que esteja organizado por segmento de atuação e deverá conter informações como: Razão Social/Nome da empresa, Endereço, dados de Contato por exemplo e-mail e telefone.</w:t>
      </w:r>
    </w:p>
    <w:p w14:paraId="4E56170C"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a consulta dos dados que o mesmo possui relacionamento com a entidade pública, considerando os registros no sistema relacionados ao seu CPF, como por exemplo, os processos digitais, os débitos, os empenhos.</w:t>
      </w:r>
    </w:p>
    <w:p w14:paraId="57BF0DC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a consulta das notas fiscais registradas em seu nome, trazendo assim as notas fiscais de serviços tomados.</w:t>
      </w:r>
    </w:p>
    <w:p w14:paraId="5780BD7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quando o usuário logado for uma empresa prestadora de serviço, que o mesmo realize a emissão das notas fiscais eletrônicas, bem como após o seu lançamento permita a impressão por meio de equipamento de impressora térmica com conexão Bluetooth compatível.</w:t>
      </w:r>
    </w:p>
    <w:p w14:paraId="00F1A28D"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quando o usuário logado for uma empresa prestadora de serviço, consulte as notas fiscais que o mesmo realizou a emissão, bem como realize a impressão da mesma, o cancelamento e envie por e-mail.</w:t>
      </w:r>
    </w:p>
    <w:p w14:paraId="50F5BBA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quando o usuário logado for empresa fornecedora da entidade, o mesmo possa realizar a consulta dos valores a receber da entidade.</w:t>
      </w:r>
    </w:p>
    <w:p w14:paraId="7E2D2453"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quando o usuário logado for empresa fornecedora da entidade, realize a consulta dos registros dos seus contratos e aditivos.</w:t>
      </w:r>
    </w:p>
    <w:p w14:paraId="24D778F8"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Ter a possibilidade do usuário logado como empresa que possua valores a receber da entidade, receba uma notificação push sobre a liquidação do empenho registrado em seu nome, bem como receba um novo push quando ocorrer o pagamento. </w:t>
      </w:r>
    </w:p>
    <w:p w14:paraId="79487C76"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Ter a possibilidade do usuário logado no APP realize a consulta das publicações legais do município, tendo acesso a visualização/emissão da edição do Diário Oficial do Município.</w:t>
      </w:r>
    </w:p>
    <w:p w14:paraId="6CDBA7CF"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Ter a possibilidade do usuário logado no APP que possua imóveis na entidade pública, realize a emissão de documento de espelho cadastral e a certidão negativa de débitos do imóvel.</w:t>
      </w:r>
    </w:p>
    <w:p w14:paraId="41C1B49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o agendamento de consultas médicas, respeitando as especializadas e horários dos profissionais determinados pela entidade de saúde. Este agendamento poderá ser parametrizado, para que a entidade defina se o agendamento da consulta poderá ocorrer de forma direta ou via confirmação da secretaria de saúde.</w:t>
      </w:r>
    </w:p>
    <w:p w14:paraId="3F3A29EC"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caso seja o responsável legal da família, o mesmo possa realizar a inclusão e manutenção de consultas para todos os membros da família que forem seus dependentes.</w:t>
      </w:r>
    </w:p>
    <w:p w14:paraId="3567227E"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consultar os registros de todas consultas em que o mesmo possua algum agendamento registrado.</w:t>
      </w:r>
    </w:p>
    <w:p w14:paraId="50A31ADB"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realize o cancelamento de uma consulta médica que havia sido agendada anteriormente. Independente se a consulta foi agendada pelo APP ou diretamente por uma unidade de saúde, desde que o mesmo informe o motivo e assim disponibilize imediatamente a vaga.</w:t>
      </w:r>
    </w:p>
    <w:p w14:paraId="1C4A30A8"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que o usuário logado no APP que possua uma consulta médica agendada possa realizar a transferência da mesma, respeitando a unidade de saúde, dias e horários disponíveis para a realização da transferência da consulta. </w:t>
      </w:r>
    </w:p>
    <w:p w14:paraId="6539627D"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realizar a consulta referente ao histórico de vacinas, bem como demonstrar informações referentes às próximas vacinas indicadas e de aprazamentos.</w:t>
      </w:r>
    </w:p>
    <w:p w14:paraId="65843DDC"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realizar a consulta de todos os medicamentos que estão em uso pelo mesmo, mantendo um histórico de todos os medicamentos que já tenha utilizado, informando dados como sua posologia, início e término do consumo.</w:t>
      </w:r>
    </w:p>
    <w:p w14:paraId="1D4602B5"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realizar a consulta de todos os exames que o mesmo realizou, bem como caso seja responsável legal e possua dependentes, possa consultar os exames dos seus dependentes.</w:t>
      </w:r>
    </w:p>
    <w:p w14:paraId="21E28ECE"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usuário logado no APP possa realizar a consulta de todos os medicamentos disponíveis nas farmácias do município. No entanto, a gestão para demonstrar essa informação deve ser da entidade pública onde a mesma possa ou não demonstrar o medicamento.</w:t>
      </w:r>
    </w:p>
    <w:p w14:paraId="0B8D3F65"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que o gestor público, como por exemplo, o secretário possa visualizar dados estratégicos em formato de indicadores, como dados de estatística de processos digitais, como por exemplo, o número de quantos processos digitais foram registrados no ano, quais os assuntos mais utilizados na abertura de processos digitais, demonstrativo dos processos que estejam pendentes e encerrados nos últimos exercícios.</w:t>
      </w:r>
    </w:p>
    <w:p w14:paraId="44C5AEE7"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estratégicos em formato de indicadores, como informações que demonstre dos maiores credores do município que possuam saldo a pagar.</w:t>
      </w:r>
    </w:p>
    <w:p w14:paraId="6ED3AA02"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sobre os bairros com maior valor em lançamento de IPTU.</w:t>
      </w:r>
    </w:p>
    <w:p w14:paraId="492E039D"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que o gestor público, como por exemplo, o secretário possa visualizar dados de inadimplência registrados no município. </w:t>
      </w:r>
    </w:p>
    <w:p w14:paraId="054D85AA"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ao montante da Dívida ativa, exibindo os débitos em aberto que estejam em dívida ativa, judicial ou em cartório.</w:t>
      </w:r>
    </w:p>
    <w:p w14:paraId="0A0D8641"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referentes aos valores declarados de ISS.</w:t>
      </w:r>
    </w:p>
    <w:p w14:paraId="43E427A2"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de estatísticas de pagamentos de IPTU.</w:t>
      </w:r>
    </w:p>
    <w:p w14:paraId="22D1384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demonstrando a arrecadação anual dos últimos anos, seja dos débitos em exercício ou em dívida.</w:t>
      </w:r>
    </w:p>
    <w:p w14:paraId="4F691878"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estratégicos em formato de indicadores, como o comparativo de dados de receita e despesa da entidade pública, comparando dados de Receita Prevista x Despesa Fixada e Receita Arrecadada x Despesa Realizada.</w:t>
      </w:r>
    </w:p>
    <w:p w14:paraId="0DDC862B"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estratégicos em formato de indicadores, como a listagem das principais receitas do município.</w:t>
      </w:r>
    </w:p>
    <w:p w14:paraId="6013D98A"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estratégicos em formato de indicadores, como o demonstrativo de controles legais, sendo a visualização dos recursos alocados com pessoal, saúde e educação, demonstrando dados entre o executado e o que está sobre determinação legal.</w:t>
      </w:r>
    </w:p>
    <w:p w14:paraId="748D6CA1"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ao consumo de materiais mensalmente, considerando dados dos últimos 5 anos.</w:t>
      </w:r>
    </w:p>
    <w:p w14:paraId="708D531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das compras que foram empenhadas, podendo demonstrar por órgão e unidade e um ranking dos produtos mais comprados.</w:t>
      </w:r>
    </w:p>
    <w:p w14:paraId="78B9D499"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 quantidade de funcionários por faixa etária, sexo e grau de instrução.</w:t>
      </w:r>
    </w:p>
    <w:p w14:paraId="0C1DEECA" w14:textId="77777777" w:rsidR="00B307DB" w:rsidRPr="00680B5B" w:rsidRDefault="00B307DB" w:rsidP="009A49E6">
      <w:pPr>
        <w:pStyle w:val="PargrafodaLista"/>
        <w:numPr>
          <w:ilvl w:val="0"/>
          <w:numId w:val="32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 saúde ocupacional, visualizados os motivos e os CIDs que registraram maior número de atestados para os funcionários, demonstrando ainda o tempo médio de dias de atestado.</w:t>
      </w:r>
    </w:p>
    <w:p w14:paraId="735E82F0" w14:textId="77777777" w:rsidR="00B307DB" w:rsidRPr="00680B5B" w:rsidRDefault="00B307DB" w:rsidP="009A49E6">
      <w:pPr>
        <w:numPr>
          <w:ilvl w:val="0"/>
          <w:numId w:val="329"/>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gestor público, como por exemplo, o secretário possa visualizar dados referente ao total de funcionários, sejam eles admitidos e/ou demitidos.</w:t>
      </w:r>
    </w:p>
    <w:p w14:paraId="0BD21CF0" w14:textId="77777777" w:rsidR="00B307DB" w:rsidRPr="00680B5B" w:rsidRDefault="00B307DB" w:rsidP="00B307DB">
      <w:pPr>
        <w:spacing w:after="0" w:line="240" w:lineRule="auto"/>
        <w:ind w:right="-568"/>
        <w:jc w:val="both"/>
        <w:rPr>
          <w:rFonts w:ascii="Times New Roman" w:hAnsi="Times New Roman" w:cs="Times New Roman"/>
        </w:rPr>
      </w:pPr>
    </w:p>
    <w:p w14:paraId="16ACDE75" w14:textId="77777777" w:rsidR="00B307DB" w:rsidRPr="00680B5B" w:rsidRDefault="00B307DB" w:rsidP="00B307DB">
      <w:pPr>
        <w:spacing w:after="0" w:line="240" w:lineRule="auto"/>
        <w:ind w:right="-568"/>
        <w:jc w:val="both"/>
        <w:rPr>
          <w:rFonts w:ascii="Times New Roman" w:hAnsi="Times New Roman" w:cs="Times New Roman"/>
          <w:shd w:val="clear" w:color="auto" w:fill="FF0000"/>
        </w:rPr>
      </w:pPr>
      <w:r w:rsidRPr="00680B5B">
        <w:rPr>
          <w:rFonts w:ascii="Times New Roman" w:hAnsi="Times New Roman" w:cs="Times New Roman"/>
          <w:b/>
        </w:rPr>
        <w:t xml:space="preserve">2.28 </w:t>
      </w:r>
      <w:r w:rsidRPr="00680B5B">
        <w:rPr>
          <w:rFonts w:ascii="Times New Roman" w:hAnsi="Times New Roman" w:cs="Times New Roman"/>
          <w:b/>
          <w:bCs/>
        </w:rPr>
        <w:t>MÓDULO: AGRICULTURA</w:t>
      </w:r>
    </w:p>
    <w:p w14:paraId="00DEFBFC"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dispor de cadastro de Produtor Rural vinculado ao cadastro único municipal, permitindo definir se possui CAF e a sua validade, qual o tipo do produtor e ainda deve ser possível relacionar diversas inscrições estaduais ao mesmo;</w:t>
      </w:r>
    </w:p>
    <w:p w14:paraId="05759EFC"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possível cadastrar Produtor Rural como participante de uma Inscrição Estadual existente. Também possibilitar através de consulta buscar os produtores rurais titulares ou participantes;</w:t>
      </w:r>
    </w:p>
    <w:p w14:paraId="0C60D203"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consultar os débitos do produtor, serviços solicitados pelo mesmo, animais de sua posse e suas Inscrições estaduais;</w:t>
      </w:r>
    </w:p>
    <w:p w14:paraId="79657F5B"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relatório para emissão do Espelho do Produtor Rural, contendo seus dados e também os serviços fornecidos ao mesmo;</w:t>
      </w:r>
    </w:p>
    <w:p w14:paraId="45D3C4D2"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Sistema deverá dispor consulta do histórico de alterações do cadastro de produtor, contendo detalhes como, ação realizada (inclusão, alteração), data/hora, dados alterados e usuário;</w:t>
      </w:r>
    </w:p>
    <w:p w14:paraId="68327498"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Permitir a inclusão de anexos vinculados ao cadastro de produtor rural, sendo possível enviar </w:t>
      </w:r>
      <w:r w:rsidRPr="00680B5B">
        <w:rPr>
          <w:rFonts w:ascii="Times New Roman" w:hAnsi="Times New Roman" w:cs="Times New Roman"/>
        </w:rPr>
        <w:lastRenderedPageBreak/>
        <w:t>arquivos através de Upload, Digitalização ou Câmera/Webcam.</w:t>
      </w:r>
    </w:p>
    <w:p w14:paraId="72AFCFEB"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cadastro de Inscrição Estadual do produtor, contendo número da inscrição, data de início e fim, assim como o endereço completo e informações sobre cultivos que produz;</w:t>
      </w:r>
    </w:p>
    <w:p w14:paraId="5DC86F5E"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campo do número da Inscrição Estadual deve respeitar a máscara definida para o estado do município, e ainda verificar de maneira automática se o número é válido;</w:t>
      </w:r>
    </w:p>
    <w:p w14:paraId="6D6552DF"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através do cadastro de Propriedade Rural informar características específicas da propriedade rural, contendo sua área, área ocupada, CAR, matrícula, INCRA e situação.</w:t>
      </w:r>
    </w:p>
    <w:p w14:paraId="63291A2A"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integração com ferramenta de mapas para definição da geolocalização das propriedades, permitindo posicionar no mapa. Além disso, deverá possuir consulta no formato de mapa para visualizar todas as propriedades do município.</w:t>
      </w:r>
    </w:p>
    <w:p w14:paraId="3ADD9F7D"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que sejam informados dados do cadastro imobiliário rural municipal, vinculado na propriedade rural;</w:t>
      </w:r>
    </w:p>
    <w:p w14:paraId="633C5D44"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a relação em cada propriedade de um responsável exclusivo e a forma de posse atual, sendo permitidas entre outras arrendatário, possuidor, etc;</w:t>
      </w:r>
    </w:p>
    <w:p w14:paraId="1DD2F842"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possível o registro da produção realizada pelo produtor, contendo, produtos cultivados, a área produzida e a quantidade produzida por hectare, também para fins estatísticos;</w:t>
      </w:r>
    </w:p>
    <w:p w14:paraId="418ACDCC"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geração de relatórios dinâmicos por período, com os dados da produção, sendo possível filtrar por produtor, período, cultivo, propriedade, e também a exibição minimamente dos seguintes dados: produtor, período, cultivo, propriedade, produção total, produtividade.</w:t>
      </w:r>
    </w:p>
    <w:p w14:paraId="0505F270"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Dispor de cadastro das máquinas da frota da Secretaria de Agricultura, permitindo informar detalhes como tipo do equipamento, marca, modelo, modo de controle (horímetro/hodômetro), etc;</w:t>
      </w:r>
    </w:p>
    <w:p w14:paraId="503278AB"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cadastro dos implementos utilizados nos serviços realizados com as máquinas agrícolas bem como a vinculação desses implementos as máquinas;</w:t>
      </w:r>
    </w:p>
    <w:p w14:paraId="3B4C2AFD"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cadastro de animais, contendo detalhes como dono ou responsável, nome, raça, porte, sexo, número de identificação ou brinco e data de nascimento, utilizado para o registro no prontuário de atendimento médico veterinário e também no serviço de inseminação;</w:t>
      </w:r>
    </w:p>
    <w:p w14:paraId="7419F0D7"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Dispor de cadastro padrão de espécies/raças de animais que será realizada a inseminação, conforme estabelece o Ministério da Agricultura, Pecuária e Abastecimento</w:t>
      </w:r>
    </w:p>
    <w:p w14:paraId="22396C82"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cadastro das associações de produtores rurais do município, permitindo vincular ao cadastro único de pessoas do município. Deverá ainda possuir mecanismo para cadastro dos serviços executados nas associações e registrar as solicitações de equipamentos encaminhadas pela mesma.</w:t>
      </w:r>
    </w:p>
    <w:p w14:paraId="10046935"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o cadastro e manutenção de programas realizados pela secretaria de agricultura, permitindo relacionar produtores interessados/habilitados, produtos relacionados, entre outros conforme tipo do programa;</w:t>
      </w:r>
    </w:p>
    <w:p w14:paraId="1444CFA7"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conter os mecanismos adequados para manutenção de programas, aquisição de alimentos ou troca-troca de sementes, onde produtores podem se credenciar e serem beneficiados por intermédio da secretaria de agricultura;</w:t>
      </w:r>
    </w:p>
    <w:p w14:paraId="2EDEF264"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elaboração de modelos/layouts de contratos através de recursos internos do sistema, com opção de substituição de variáveis de cada modelo por dados cadastrados previamente;</w:t>
      </w:r>
    </w:p>
    <w:p w14:paraId="3A05AD10"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coletar a assinatura dos produtores na contemplação do programa, por meio de assinatura digital;</w:t>
      </w:r>
    </w:p>
    <w:p w14:paraId="06CD0446"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Agricultor poderá assinar digitalmente os documentos por meio de serviço na internet, fazendo acesso por login único CPF/CNPJ e Senha ou Gov.Br (do Governo Federal);</w:t>
      </w:r>
    </w:p>
    <w:p w14:paraId="0229B385"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Dispor de cadastro dos tipos de serviço fornecidos na secretaria da agricultura, permitindo informar o valor a ser cobrado e o tipo de cobrança, Hora, Valor Fixo ou por Quantidade. Exemplos, Serviço de Trator, Serviço de Inseminação, Serviço de Caminhão. Além disto, deve ser possível cadastro serviços específicos conforme necessidade do município;</w:t>
      </w:r>
    </w:p>
    <w:p w14:paraId="14D8B0BD"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definir configurações no tipo serviço, tais como, limite de fornecimento (mensal, anual), programas de incentivo, definição de valor cobrado por tipo de máquina ou por tipo de serviço;</w:t>
      </w:r>
    </w:p>
    <w:p w14:paraId="5800F7B6"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o gerenciamento das solicitações de Pedidos de Serviço prestados aos produtores rurais, onde que possa consultar de maneira dinâmica e aplicando filtros para melhor gestão;</w:t>
      </w:r>
    </w:p>
    <w:p w14:paraId="382BE2AD"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vincular mais de uma solicitação de serviço por Pedido;</w:t>
      </w:r>
    </w:p>
    <w:p w14:paraId="06A3CD5C"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inclusão de anexos vinculados ao cadastro de pedidos de serviço, sendo possível enviar arquivos através de Upload, Digitalização ou Câmera/Webcam.</w:t>
      </w:r>
    </w:p>
    <w:p w14:paraId="5509F2F9"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realizar o agendamento dos serviços solicitados, contendo informações como, data prevista, operador, máquina e implemento;</w:t>
      </w:r>
    </w:p>
    <w:p w14:paraId="79BB2F44"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Permitir o registro da execução dos serviços, contendo informações como, quantidade executada, se é isento de cobrança, data de execução, operador, máquina utilizada, horímetro ou hodômetro, e implemento.</w:t>
      </w:r>
    </w:p>
    <w:p w14:paraId="1D114ABA"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realizar a geração de taxas com código de barras, dos serviços executados, de maneira automática e integrado ao sistema de arrecadação municipal, incluindo o controle de descontos, parcelamentos, inscrição em dívida, emissão de taxas pelo portal de autoatendimento;</w:t>
      </w:r>
    </w:p>
    <w:p w14:paraId="3B6C8156"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abertura de solicitações de serviços através da internet e aplicativo móvel, para Android e iOS;</w:t>
      </w:r>
    </w:p>
    <w:p w14:paraId="4CAA89D2"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emissão de relatórios estatísticos dos serviços realizados, permitindo analisar de maneira analítica e resumida a arrecadação realizada.</w:t>
      </w:r>
    </w:p>
    <w:p w14:paraId="4576255D"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relatórios de gestão dos serviços fornecidos para obtenção de dados como, serviços executados por operador, por localidade, por máquina, contendo as informações específicas para cada um.</w:t>
      </w:r>
    </w:p>
    <w:p w14:paraId="60844616"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mecanismos para controle cadastral das visitas técnicas realizadas nas propriedades rurais, histórico vinculado ao cadastro de produtor rural, contendo linha do tempo das visitas realizadas;</w:t>
      </w:r>
    </w:p>
    <w:p w14:paraId="4D81AA02"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emissão de relatório estatístico de visitas técnicas realizadas, por propriedade rural, produtor rural, também por localidade, ou ainda por profissional que atendeu;</w:t>
      </w:r>
    </w:p>
    <w:p w14:paraId="0263FDC6"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realização do registro de prontuário médico veterinário, contendo detalhes como, tipo de atendimento, encaminhamento, animal atendido, diagnóstico, orientações, exames ou procedimentos realizados.</w:t>
      </w:r>
    </w:p>
    <w:p w14:paraId="510B4FBF"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emissão do prontuário de atendimento médico veterinário em formato pdf, doc, docx. Deverá ainda ser possível assinar digitalmente o documento.</w:t>
      </w:r>
    </w:p>
    <w:p w14:paraId="39FF42C8"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inclusão de anexos vinculados ao prontuário de atendimento médico veterinário, sendo possível enviar arquivos através de Upload, Digitalização ou Câmera/Webcam.</w:t>
      </w:r>
    </w:p>
    <w:p w14:paraId="10B1CED2"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Possuir mecanismo para controle de entrega de materiais, como alevinos, mudas frutíferas, entre outros, aos produtores rurais, contendo detalhes produtor rural, produto, quantidade, data de entrega.</w:t>
      </w:r>
    </w:p>
    <w:p w14:paraId="105811CD" w14:textId="77777777" w:rsidR="00B307DB" w:rsidRPr="00680B5B" w:rsidRDefault="00B307DB" w:rsidP="009A49E6">
      <w:pPr>
        <w:pStyle w:val="PargrafodaLista"/>
        <w:widowControl w:val="0"/>
        <w:numPr>
          <w:ilvl w:val="0"/>
          <w:numId w:val="330"/>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emissão de relatório estatístico de entregas de materiais realizados, por produtor rural, por localidade, por produto e período;</w:t>
      </w:r>
    </w:p>
    <w:p w14:paraId="1DAFB234" w14:textId="77777777" w:rsidR="00B307DB" w:rsidRPr="00680B5B" w:rsidRDefault="00B307DB" w:rsidP="00B307DB">
      <w:pPr>
        <w:spacing w:after="0" w:line="240" w:lineRule="auto"/>
        <w:ind w:right="-568"/>
        <w:jc w:val="both"/>
        <w:rPr>
          <w:rFonts w:ascii="Times New Roman" w:hAnsi="Times New Roman" w:cs="Times New Roman"/>
          <w:shd w:val="clear" w:color="auto" w:fill="FF0000"/>
        </w:rPr>
      </w:pPr>
    </w:p>
    <w:p w14:paraId="7854285D"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2.29 AVALIAÇÃO DE DESEMPENHO</w:t>
      </w:r>
    </w:p>
    <w:p w14:paraId="4F9D6FD2" w14:textId="77777777" w:rsidR="00B307DB" w:rsidRPr="00680B5B" w:rsidRDefault="00B307DB" w:rsidP="009A49E6">
      <w:pPr>
        <w:pStyle w:val="numerado"/>
        <w:numPr>
          <w:ilvl w:val="0"/>
          <w:numId w:val="331"/>
        </w:numPr>
        <w:tabs>
          <w:tab w:val="left" w:pos="426"/>
        </w:tabs>
        <w:spacing w:after="0" w:line="240" w:lineRule="auto"/>
        <w:ind w:left="0" w:right="-568" w:firstLine="0"/>
        <w:rPr>
          <w:rFonts w:ascii="Times New Roman" w:hAnsi="Times New Roman"/>
        </w:rPr>
      </w:pPr>
      <w:r w:rsidRPr="00680B5B">
        <w:rPr>
          <w:rFonts w:ascii="Times New Roman" w:hAnsi="Times New Roman"/>
        </w:rPr>
        <w:t>Possuir rotina de cadastro de grupo de cargo podendo relacionar os cargos correspondentes ao grupo para uso em configurações das avaliações de desempenho.</w:t>
      </w:r>
    </w:p>
    <w:p w14:paraId="65D7A4D4" w14:textId="77777777" w:rsidR="00B307DB" w:rsidRPr="00680B5B" w:rsidRDefault="00B307DB" w:rsidP="009A49E6">
      <w:pPr>
        <w:pStyle w:val="numerado"/>
        <w:numPr>
          <w:ilvl w:val="0"/>
          <w:numId w:val="331"/>
        </w:numPr>
        <w:tabs>
          <w:tab w:val="left" w:pos="567"/>
        </w:tabs>
        <w:spacing w:after="0" w:line="240" w:lineRule="auto"/>
        <w:ind w:left="0" w:right="-568" w:firstLine="0"/>
        <w:rPr>
          <w:rFonts w:ascii="Times New Roman" w:hAnsi="Times New Roman"/>
        </w:rPr>
      </w:pPr>
      <w:r w:rsidRPr="00680B5B">
        <w:rPr>
          <w:rFonts w:ascii="Times New Roman" w:hAnsi="Times New Roman"/>
        </w:rPr>
        <w:t>Permitir realizar configuração para cada grupo de cargo os tipos de avaliação desempenho como: progressão vertical, progressão horizontal, progressão horizontal consecutiva, adicional de desempenho, adicional de formação e adicional de capacitação, separadamente.</w:t>
      </w:r>
    </w:p>
    <w:p w14:paraId="1CDB352E"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Realizar o relacionamento dos períodos de desempenho com os modelos de avaliação de desempenho correspondente a cada grupo de cargo automaticamente conforme configurado.</w:t>
      </w:r>
    </w:p>
    <w:p w14:paraId="2093E939"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avaliações para analisar o desempenho funcional, podendo informar: tipo, critérios, fatores, alternativas, avaliador que efetuará a avaliação, bem como os modelos de avaliação.</w:t>
      </w:r>
    </w:p>
    <w:p w14:paraId="6566FC6F"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da frequência da avaliação de desempenho para a geração dos períodos de avaliação se anual ou por interstício.</w:t>
      </w:r>
    </w:p>
    <w:p w14:paraId="3AEF082A"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peso para cada fator da avaliação de desempenho.</w:t>
      </w:r>
    </w:p>
    <w:p w14:paraId="7F1904ED"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cadastro e geração de interstícios, períodos de desempenho e de períodos de avaliação, visando progressão vertical e horizontal, adicionais de titulação, desempenho e capacitação.</w:t>
      </w:r>
    </w:p>
    <w:p w14:paraId="7DDEF7D9"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Realizar o relacionamento automático de avaliadores para cada avaliação de desempenho de acordo com o tipo de avaliador informado.</w:t>
      </w:r>
    </w:p>
    <w:p w14:paraId="6DD7347E"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cadastro de avaliador como exceção para efetuar a avaliação de desempenho de determinado centro de custo, podendo ainda informar o período de vigência dessa exceção.</w:t>
      </w:r>
    </w:p>
    <w:p w14:paraId="7405BEEE"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Realizar a geração de avaliação de desempenho subsidiária por troca de local de trabalho e por cadastro de afastamentos.</w:t>
      </w:r>
    </w:p>
    <w:p w14:paraId="1B7AA5BA"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efetuar liberação dos períodos de avaliação de desempenho de forma individual, coletiva e automática.</w:t>
      </w:r>
    </w:p>
    <w:p w14:paraId="4B348E63"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a configuração de avaliador padrão, sendo que este será o responsável pelo módulo e poderá efetuar manutenções nas avaliações de desempenho.</w:t>
      </w:r>
    </w:p>
    <w:p w14:paraId="3A47402F"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lastRenderedPageBreak/>
        <w:t>Possuir rotina de consulta das avaliações de desempenho já realizadas para um determinado avaliador/avaliado.</w:t>
      </w:r>
    </w:p>
    <w:p w14:paraId="5A762B35"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consulta das avaliações de desempenho pendentes para um determinado avaliador/avaliado.</w:t>
      </w:r>
    </w:p>
    <w:p w14:paraId="02646BD2"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relatório de ficha de avaliação de desempenho para preenchimento manual e permitir impressão desta mesma ficha de avaliação com as notas preenchidas para cada alternativa conforme já cadastradas no sistema.</w:t>
      </w:r>
    </w:p>
    <w:p w14:paraId="6189096A"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relatório de resultado da avaliação onde demonstre o resultado de todas as avaliações de desempenho e períodos para um funcionário em forma de gráfico.</w:t>
      </w:r>
    </w:p>
    <w:p w14:paraId="613B1534"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quais motivos de afastamentos geram perdas e prorrogações em períodos de avaliação de desempenho, inclusive por tipo com regras distintas: progressão vertical, progressão horizontal, adicional de desempenho, adicional de formação e adicional de capacitação.</w:t>
      </w:r>
    </w:p>
    <w:p w14:paraId="32A959BD"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quais relacionamentos do funcionário com função gratificada e cargo comissionado geram perdas e prorrogações em períodos de avaliação de desempenho.</w:t>
      </w:r>
    </w:p>
    <w:p w14:paraId="25E46614"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para realizar a progressão salarial automática, alterando o nível salarial no contrato do funcionário, conforme tabela de níveis salariais configurada no sistema.</w:t>
      </w:r>
    </w:p>
    <w:p w14:paraId="462CCC81"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para executar a progressão salarial por tempo de serviço, alterando o nível salarial no contrato do funcionário, conforme tabela de níveis salariais configurada no sistema.</w:t>
      </w:r>
    </w:p>
    <w:p w14:paraId="3FAE5664"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para que a progressão salarial vertical ocorra levando em consideração os pontos adquiridos pelo funcionário dos períodos de habilitação.</w:t>
      </w:r>
    </w:p>
    <w:p w14:paraId="1E3518E4"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cadastro para relacionar os assistentes ao período de avaliação, para que os mesmos possam acompanhar a realização das avaliações de desempenho de outros funcionários.</w:t>
      </w:r>
    </w:p>
    <w:p w14:paraId="76089F24"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da pontuação que o funcionário receberá para a progressão vertical por cada curso prestado.</w:t>
      </w:r>
    </w:p>
    <w:p w14:paraId="43CE30BF"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onde possa ser informada a data de entrega prévia do histórico escolar ou a declaração de conclusão de curso, bem como a data oficial da entrega do certificado do curso prestado.</w:t>
      </w:r>
    </w:p>
    <w:p w14:paraId="5830F537"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para que o funcionário tenha direito a progressão horizontal mesmo que as avaliações de desempenho não tenham sido realizadas.</w:t>
      </w:r>
    </w:p>
    <w:p w14:paraId="693C130C"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que o usuário possa escolher no momento do lançamento dos cursos prestados no módulo de Treinamento e Desenvolvimento (se contratado) se as horas do curso serão ou não consideradas para as progressões, podendo optar em contar para progressão horizontal ou vertical.</w:t>
      </w:r>
    </w:p>
    <w:p w14:paraId="40B3ABEB"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perda do período de desempenho e período de interstício quando o funcionário possuir alguma ocorrência por advertência e repreensão.</w:t>
      </w:r>
    </w:p>
    <w:p w14:paraId="47D73A2D"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para que os funcionários cedidos para outros órgãos tenham seus períodos de desempenho ou períodos de interstício perdidos enquanto durar a cessão.</w:t>
      </w:r>
    </w:p>
    <w:p w14:paraId="26DFA817"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pagamento do adicional de desempenho através de um percentual fixo ou acumulativo de acordo com a quantidade de interstícios ao qual o funcionário tenha direito.</w:t>
      </w:r>
    </w:p>
    <w:p w14:paraId="6D4048BA"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lançamento de perda manual para o adicional de desempenho.</w:t>
      </w:r>
    </w:p>
    <w:p w14:paraId="5633079F"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cadastro de funcionários com atividades que possam gerar alguma pontuação extra para que seja considerada na apuração dos pontos para progressão vertical.</w:t>
      </w:r>
    </w:p>
    <w:p w14:paraId="7EB848EE"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limite de pontos extras que poderão ser considerados na apuração da progressão vertical.</w:t>
      </w:r>
    </w:p>
    <w:p w14:paraId="7ED2E16C"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rotina de consulta das pontuações adquiridas por interstício, podendo efetuar o detalhamento das pontuações finais, apresentando os períodos relacionados aos interstícios, bem como as pontuações adquiridas para cada item de pontuação.</w:t>
      </w:r>
    </w:p>
    <w:p w14:paraId="7B1EDBF3"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Possuir relatório do resultado das pontuações obtidas por interstício, devendo ainda disponibilizar o relatório apresentando de forma sintética ou detalhada das informações referentes as pontuações obtidas para o interstício em questão.</w:t>
      </w:r>
    </w:p>
    <w:p w14:paraId="69E8F2E2" w14:textId="77777777" w:rsidR="00B307DB" w:rsidRPr="00680B5B" w:rsidRDefault="00B307DB" w:rsidP="009A49E6">
      <w:pPr>
        <w:pStyle w:val="numerado"/>
        <w:numPr>
          <w:ilvl w:val="0"/>
          <w:numId w:val="331"/>
        </w:numPr>
        <w:tabs>
          <w:tab w:val="left" w:pos="284"/>
        </w:tabs>
        <w:spacing w:after="0" w:line="240" w:lineRule="auto"/>
        <w:ind w:left="0" w:right="-568" w:firstLine="0"/>
        <w:rPr>
          <w:rFonts w:ascii="Times New Roman" w:hAnsi="Times New Roman"/>
        </w:rPr>
      </w:pPr>
      <w:r w:rsidRPr="00680B5B">
        <w:rPr>
          <w:rFonts w:ascii="Times New Roman" w:hAnsi="Times New Roman"/>
        </w:rPr>
        <w:t>Permitir realizar configuração de agendamento para notificação automática por e-mail para o avaliador quando existir uma nova avaliação de desempenho disponível para realização.</w:t>
      </w:r>
    </w:p>
    <w:p w14:paraId="28BAC0D0" w14:textId="77777777" w:rsidR="00B307DB" w:rsidRPr="00680B5B" w:rsidRDefault="00B307DB" w:rsidP="00B307DB">
      <w:pPr>
        <w:tabs>
          <w:tab w:val="left" w:pos="284"/>
        </w:tabs>
        <w:spacing w:after="0" w:line="240" w:lineRule="auto"/>
        <w:ind w:right="-568"/>
        <w:jc w:val="both"/>
        <w:rPr>
          <w:rFonts w:ascii="Times New Roman" w:hAnsi="Times New Roman" w:cs="Times New Roman"/>
          <w:shd w:val="clear" w:color="auto" w:fill="FF0000"/>
        </w:rPr>
      </w:pPr>
      <w:r w:rsidRPr="00680B5B">
        <w:rPr>
          <w:rFonts w:ascii="Times New Roman" w:hAnsi="Times New Roman" w:cs="Times New Roman"/>
        </w:rPr>
        <w:t>Possuir relatório de resumo sobre o preenchimento de determinado fator das avaliações de desempenho, para fins estatísticos, contendo gráficos, e permitindo selecionar quais avaliações realizadas e fatores devem ser considerados na emissão.</w:t>
      </w:r>
    </w:p>
    <w:p w14:paraId="1F83B6F1" w14:textId="77777777" w:rsidR="00B307DB" w:rsidRPr="00680B5B" w:rsidRDefault="00B307DB" w:rsidP="00B307DB">
      <w:pPr>
        <w:spacing w:after="0" w:line="240" w:lineRule="auto"/>
        <w:ind w:right="-568"/>
        <w:jc w:val="both"/>
        <w:rPr>
          <w:rFonts w:ascii="Times New Roman" w:hAnsi="Times New Roman" w:cs="Times New Roman"/>
          <w:b/>
        </w:rPr>
      </w:pPr>
    </w:p>
    <w:p w14:paraId="1B0E0B0D" w14:textId="77777777" w:rsidR="00B307DB" w:rsidRPr="00680B5B" w:rsidRDefault="00B307DB" w:rsidP="00B307DB">
      <w:pPr>
        <w:spacing w:after="0" w:line="240" w:lineRule="auto"/>
        <w:ind w:right="-568"/>
        <w:jc w:val="both"/>
        <w:rPr>
          <w:rFonts w:ascii="Times New Roman" w:hAnsi="Times New Roman" w:cs="Times New Roman"/>
          <w:b/>
        </w:rPr>
      </w:pPr>
      <w:r w:rsidRPr="00680B5B">
        <w:rPr>
          <w:rFonts w:ascii="Times New Roman" w:hAnsi="Times New Roman" w:cs="Times New Roman"/>
          <w:b/>
        </w:rPr>
        <w:t>2.30 MÓDULO: COMUNICAÇÃO INTERNA</w:t>
      </w:r>
    </w:p>
    <w:p w14:paraId="04CAC0DA" w14:textId="77777777" w:rsidR="00B307DB" w:rsidRPr="00680B5B" w:rsidRDefault="00B307DB" w:rsidP="009A49E6">
      <w:pPr>
        <w:pStyle w:val="PargrafodaLista"/>
        <w:widowControl w:val="0"/>
        <w:numPr>
          <w:ilvl w:val="0"/>
          <w:numId w:val="332"/>
        </w:numPr>
        <w:tabs>
          <w:tab w:val="left" w:pos="567"/>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 xml:space="preserve">Deve permitir a inclusão de diversos tipos de comunicados internos, como Memorandos, Ofícios, </w:t>
      </w:r>
      <w:r w:rsidRPr="00680B5B">
        <w:rPr>
          <w:rFonts w:ascii="Times New Roman" w:hAnsi="Times New Roman" w:cs="Times New Roman"/>
          <w:spacing w:val="-4"/>
        </w:rPr>
        <w:lastRenderedPageBreak/>
        <w:t>Circulares, entre outros tipos adicionais, conforme a necessidade da contratante.</w:t>
      </w:r>
    </w:p>
    <w:p w14:paraId="7155177A"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Para cada tipo de comunicado, deve ser possível configurar privilégios por setor, permitindo a criação de tipos específicos para cada setor.</w:t>
      </w:r>
    </w:p>
    <w:p w14:paraId="68728A92"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cadastro de tags, para que sejam utilizadas como marcadores dos comunicados.</w:t>
      </w:r>
    </w:p>
    <w:p w14:paraId="0D3AE892"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Os usuários devem ser capazes de vincular tags a qualquer momento durante o andamento das comunicações.</w:t>
      </w:r>
    </w:p>
    <w:p w14:paraId="27F8E13D"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personalizar as cores das tags para melhor organização e visualização.</w:t>
      </w:r>
    </w:p>
    <w:p w14:paraId="11E59D7B"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 xml:space="preserve">Permitir a inclusão de dados referentes ao usuário logado, como cargo e CPF.  </w:t>
      </w:r>
      <w:r w:rsidRPr="00680B5B">
        <w:rPr>
          <w:rFonts w:ascii="Times New Roman" w:hAnsi="Times New Roman" w:cs="Times New Roman"/>
        </w:rPr>
        <w:t>Estes dados deverão ser exibidos no corpo do texto dos comunicados durante as inclusões, respostas e encaminhamentos</w:t>
      </w:r>
      <w:r w:rsidRPr="00680B5B">
        <w:rPr>
          <w:rFonts w:ascii="Times New Roman" w:hAnsi="Times New Roman" w:cs="Times New Roman"/>
          <w:spacing w:val="-4"/>
        </w:rPr>
        <w:t>.</w:t>
      </w:r>
    </w:p>
    <w:p w14:paraId="30D733A1"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abas para o gerenciamento das comunicações, com no mínimo as categorias entrada, saída e arquivadas.</w:t>
      </w:r>
    </w:p>
    <w:p w14:paraId="4AE466F4"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 possuir uma caixa de entrada que apresente todas as comunicações em que os setores relacionados ao usuário logado estejam envolvidos.</w:t>
      </w:r>
    </w:p>
    <w:p w14:paraId="374E72B6"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O gerenciamento dos comunicados poderá ser realizado em uma única caixa de entrada, sem a necessidade de trocar de tela para realizar o gerenciamento geral.</w:t>
      </w:r>
    </w:p>
    <w:p w14:paraId="57938250"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caixa de saída dos comunicados, apresentando todas as comunicações enviadas pelo usuário e pelos setores relacionados ao usuário logado.</w:t>
      </w:r>
    </w:p>
    <w:p w14:paraId="50FB1ADE"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o gerenciamento dos comunicados de todos os setores em que o usuário logado está relacionado de forma simultânea, sem a necessidade de realizar a troca de telas.</w:t>
      </w:r>
    </w:p>
    <w:p w14:paraId="4C428E64"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ser possível realizar uma consulta geral dos comunicados sem a capacidade de movimentá-los, garantindo apenas a visualização.</w:t>
      </w:r>
    </w:p>
    <w:p w14:paraId="305D60B4"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o controle de numeração dos comunicados por ano, tipo, e ainda por setor.</w:t>
      </w:r>
    </w:p>
    <w:p w14:paraId="0953B315"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permitir que os usuários possam salvar um comunicado como rascunho caso a digitação não tenha sido finalizada.</w:t>
      </w:r>
    </w:p>
    <w:p w14:paraId="6B09F05D"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aba específica para acessar os comunicados salvos como rascunho.</w:t>
      </w:r>
    </w:p>
    <w:p w14:paraId="7757016A"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editar os rascunhos para que o envio definitivo do comunicado possa ser realizado.</w:t>
      </w:r>
    </w:p>
    <w:p w14:paraId="5FDE336C"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realizar o relacionamento de comunicados, possibilitando ainda a consulta de comunicados relacionados.</w:t>
      </w:r>
    </w:p>
    <w:p w14:paraId="6A679012"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 ser possível inserir modelos de documentos para que sejam utilizados durante a inclusão de comunicados.</w:t>
      </w:r>
    </w:p>
    <w:p w14:paraId="220EFA94"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configurar se os comunicados poderão ser assinados por meio eletrônico, considerando a Lei nº 14.063/2020, que prevê as hipóteses pela assinatura eletrônica classificadas em simples, avançada e qualificada, de forma obrigatória ou opcional, de acordo com o tipo de comunicado, a partir das hipóteses previstas para a utilização de cada, conforme disposto na mesma lei.</w:t>
      </w:r>
    </w:p>
    <w:p w14:paraId="33AFB2CB"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assinatura coletiva dos anexos vinculados às movimentações do comunicado durante o ato da movimentação.</w:t>
      </w:r>
    </w:p>
    <w:p w14:paraId="766AE3F8"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Possibilitar a opção de definir os comunicados como urgentes durante a sua inclusão.</w:t>
      </w:r>
    </w:p>
    <w:p w14:paraId="7DB89335"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definição de indicativos de prazo nos comunicados.</w:t>
      </w:r>
    </w:p>
    <w:p w14:paraId="2CF44AAC"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realizar o envio de arquivos para serem relacionados como anexos da comunicação durante a sua inclusão.</w:t>
      </w:r>
    </w:p>
    <w:p w14:paraId="32E16A0C"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rPr>
        <w:t>Permitir realizar o upload de arquivos .doc ou .docx para que este seja utilizado como modelo no corpo do texto dos comunicados</w:t>
      </w:r>
      <w:r w:rsidRPr="00680B5B">
        <w:rPr>
          <w:rFonts w:ascii="Times New Roman" w:hAnsi="Times New Roman" w:cs="Times New Roman"/>
          <w:spacing w:val="-4"/>
        </w:rPr>
        <w:t>.</w:t>
      </w:r>
    </w:p>
    <w:p w14:paraId="0CAE25BB"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inclusão de comunicados sigilosos, que só podem ser visualizados pelos usuários envolvidos.</w:t>
      </w:r>
    </w:p>
    <w:p w14:paraId="0FEA2278"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ser possível visualizar as tags vinculadas aos comunicados na tela de gerenciamento.</w:t>
      </w:r>
    </w:p>
    <w:p w14:paraId="24391D87"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o cadastro de comunicados do tipo 'Circular', que não poderão ser respondidos ou encaminhados, visto que serão comunicações apenas para ciência dos setores.</w:t>
      </w:r>
    </w:p>
    <w:p w14:paraId="3E2E85E8"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Durante a inclusão, resposta e encaminhamento, possibilitar a definição de um usuário como A/C (aos cuidados).</w:t>
      </w:r>
    </w:p>
    <w:p w14:paraId="19D3E229"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Durante a visualização dos comunicados, indicar de forma diferenciada as movimentações enviadas aos cuidados do usuário logado.</w:t>
      </w:r>
    </w:p>
    <w:p w14:paraId="7098004E"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Dispor de filtro no gerenciamento que mostra somente os comunicados enviados aos cuidados do usuário logado.</w:t>
      </w:r>
    </w:p>
    <w:p w14:paraId="1250A022"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responder comunicados, mostrando apenas os setores previamente envolvidos na comunicação selecionada como destinatários.</w:t>
      </w:r>
    </w:p>
    <w:p w14:paraId="3A1BEC21"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encaminhar comunicados, exibindo todos os setores da entidade como destinatários, a fim de compartilhar a comunicação entre os demais setores.</w:t>
      </w:r>
    </w:p>
    <w:p w14:paraId="5C3E752B"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lastRenderedPageBreak/>
        <w:t>Durante as respostas e encaminhamentos, permitir vincular arquivos como anexos do comunicado.</w:t>
      </w:r>
    </w:p>
    <w:p w14:paraId="6321E1E3"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Apresentar todas as movimentações em uma linha do tempo, gerando um novo registro para cada movimentação de resposta, encaminhamento e/ou arquivamento.</w:t>
      </w:r>
    </w:p>
    <w:p w14:paraId="25E3B78E"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Possibilitar marcar um comunicado como lido.</w:t>
      </w:r>
    </w:p>
    <w:p w14:paraId="2C058041"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Exibir um indicativo visual dos comunicados que já foram lidos, diferenciando-os dos que ainda possuem movimentações não visualizadas.</w:t>
      </w:r>
    </w:p>
    <w:p w14:paraId="6A1603E5"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arquivar comunicados para o setor do usuário logado.</w:t>
      </w:r>
    </w:p>
    <w:p w14:paraId="69A05090"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o arquivamento em lote dos comunicados definidos como resolvidos.</w:t>
      </w:r>
    </w:p>
    <w:p w14:paraId="463FA57D"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Os comunicados arquivados não devem ser exibidos na caixa de entrada do usuário até que novas movimentações sejam realizadas.</w:t>
      </w:r>
    </w:p>
    <w:p w14:paraId="12BC8BF2"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reabertura de comunicados arquivados, caso sejam necessárias novas movimentações.</w:t>
      </w:r>
    </w:p>
    <w:p w14:paraId="66518D17"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permitir filtrar no gerenciamento de comunicados apenas os comunicados com movimentações que ainda não foram lidas.</w:t>
      </w:r>
    </w:p>
    <w:p w14:paraId="619EA4D0"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uma consulta que apresente todos os usuários que já visualizaram um comunicado, exibindo pelo menos o nome do usuário, a data/hora da visualização do comunicado selecionado e a origem da visualização.</w:t>
      </w:r>
    </w:p>
    <w:p w14:paraId="1E25AA43"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favoritar comunicados para todo o setor ou apenas para o usuário logado.</w:t>
      </w:r>
    </w:p>
    <w:p w14:paraId="260198FE"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Possuir uma caixa de comunicados favoritados para facilitar o gerenciamento destes.</w:t>
      </w:r>
    </w:p>
    <w:p w14:paraId="26571B25"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consultar todos os centros de custo envolvidos durante as movimentações do comunicado.</w:t>
      </w:r>
    </w:p>
    <w:p w14:paraId="76B9303B"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consultar o relacionamento de usuários e seus respectivos setores para facilitar o envio dos comunicados aos setores corretos.</w:t>
      </w:r>
    </w:p>
    <w:p w14:paraId="397C46D0"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Realizar o envio de notificações pelo sistema a cada nova movimentação dos comunicados.</w:t>
      </w:r>
    </w:p>
    <w:p w14:paraId="6FB56B4F"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permitir configurar a mensagem enviada nas notificações dos comunicados.</w:t>
      </w:r>
    </w:p>
    <w:p w14:paraId="1DE2960F"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consultar o histórico de notificações enviadas diretamente do gerenciamento do comunicado.</w:t>
      </w:r>
    </w:p>
    <w:p w14:paraId="18A387B5"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Deverá possuir um serviço destinado aos usuários terceiros que recebem ofícios, permitindo a visualização dessas comunicações.</w:t>
      </w:r>
    </w:p>
    <w:p w14:paraId="5499DE74"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configurar se os ofícios poderão receber respostas complementares dos usuários terceiros por meio do serviço de comunicados.</w:t>
      </w:r>
    </w:p>
    <w:p w14:paraId="2DF7EEB8"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Possibilitar a impressão da folha de rosto do comunicado.</w:t>
      </w:r>
    </w:p>
    <w:p w14:paraId="1B8DD5DF"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impressão de cada movimentação dos comunicados em um relatório que pode ser configurado de acordo com a necessidade da entidade.</w:t>
      </w:r>
    </w:p>
    <w:p w14:paraId="2B529B5D"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impressão de todas as movimentações do comunicado em um relatório que pode ser configurado de acordo com a necessidade da entidade.</w:t>
      </w:r>
    </w:p>
    <w:p w14:paraId="1B1EFFFA" w14:textId="77777777" w:rsidR="00B307DB" w:rsidRPr="00680B5B" w:rsidRDefault="00B307DB" w:rsidP="009A49E6">
      <w:pPr>
        <w:pStyle w:val="PargrafodaLista"/>
        <w:widowControl w:val="0"/>
        <w:numPr>
          <w:ilvl w:val="0"/>
          <w:numId w:val="332"/>
        </w:numPr>
        <w:tabs>
          <w:tab w:val="left" w:pos="284"/>
        </w:tabs>
        <w:suppressAutoHyphens/>
        <w:spacing w:after="0" w:line="240" w:lineRule="auto"/>
        <w:ind w:left="0" w:right="-568"/>
        <w:jc w:val="both"/>
        <w:rPr>
          <w:rFonts w:ascii="Times New Roman" w:hAnsi="Times New Roman" w:cs="Times New Roman"/>
          <w:spacing w:val="-4"/>
        </w:rPr>
      </w:pPr>
      <w:r w:rsidRPr="00680B5B">
        <w:rPr>
          <w:rFonts w:ascii="Times New Roman" w:hAnsi="Times New Roman" w:cs="Times New Roman"/>
          <w:spacing w:val="-4"/>
        </w:rPr>
        <w:t>Permitir a impressão da comunicação de forma que seja gerado um arquivo com todas as movimentações, incluindo os arquivos vinculados a ela em ordem cronológica.</w:t>
      </w:r>
    </w:p>
    <w:p w14:paraId="0F4ECE59" w14:textId="77777777" w:rsidR="00B307DB" w:rsidRPr="00680B5B" w:rsidRDefault="00B307DB" w:rsidP="00B307DB">
      <w:pPr>
        <w:pStyle w:val="PargrafodaLista"/>
        <w:widowControl w:val="0"/>
        <w:spacing w:after="0" w:line="240" w:lineRule="auto"/>
        <w:ind w:left="426" w:right="-568"/>
        <w:jc w:val="both"/>
        <w:rPr>
          <w:rFonts w:ascii="Times New Roman" w:hAnsi="Times New Roman" w:cs="Times New Roman"/>
          <w:spacing w:val="-4"/>
        </w:rPr>
      </w:pPr>
    </w:p>
    <w:p w14:paraId="5D4EEC78" w14:textId="77777777" w:rsidR="00B307DB" w:rsidRPr="00680B5B" w:rsidRDefault="00B307DB" w:rsidP="00B307DB">
      <w:pPr>
        <w:pStyle w:val="PargrafodaLista"/>
        <w:widowControl w:val="0"/>
        <w:spacing w:after="0" w:line="240" w:lineRule="auto"/>
        <w:ind w:left="426" w:right="-568" w:hanging="426"/>
        <w:jc w:val="both"/>
        <w:rPr>
          <w:rFonts w:ascii="Times New Roman" w:hAnsi="Times New Roman" w:cs="Times New Roman"/>
          <w:spacing w:val="-4"/>
        </w:rPr>
      </w:pPr>
      <w:r w:rsidRPr="00680B5B">
        <w:rPr>
          <w:rFonts w:ascii="Times New Roman" w:hAnsi="Times New Roman" w:cs="Times New Roman"/>
          <w:b/>
          <w:spacing w:val="-4"/>
        </w:rPr>
        <w:t>2.31</w:t>
      </w:r>
      <w:r w:rsidRPr="00680B5B">
        <w:rPr>
          <w:rFonts w:ascii="Times New Roman" w:hAnsi="Times New Roman" w:cs="Times New Roman"/>
          <w:spacing w:val="-4"/>
        </w:rPr>
        <w:t xml:space="preserve"> </w:t>
      </w:r>
      <w:r w:rsidRPr="00680B5B">
        <w:rPr>
          <w:rFonts w:ascii="Times New Roman" w:hAnsi="Times New Roman" w:cs="Times New Roman"/>
          <w:b/>
          <w:spacing w:val="-4"/>
        </w:rPr>
        <w:t xml:space="preserve">MÓDULO: </w:t>
      </w:r>
      <w:r w:rsidRPr="00680B5B">
        <w:rPr>
          <w:rFonts w:ascii="Times New Roman" w:hAnsi="Times New Roman" w:cs="Times New Roman"/>
          <w:b/>
          <w:bCs/>
          <w:spacing w:val="-4"/>
        </w:rPr>
        <w:t>GESTÃO ADMINISTRATIVA ESCOLAR</w:t>
      </w:r>
    </w:p>
    <w:p w14:paraId="37D2A404" w14:textId="77777777" w:rsidR="00B307DB" w:rsidRPr="00680B5B" w:rsidRDefault="00B307DB" w:rsidP="009A49E6">
      <w:pPr>
        <w:numPr>
          <w:ilvl w:val="0"/>
          <w:numId w:val="333"/>
        </w:numPr>
        <w:tabs>
          <w:tab w:val="clear" w:pos="720"/>
          <w:tab w:val="left" w:pos="426"/>
          <w:tab w:val="num" w:pos="993"/>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cadastrar as espécies de documentos gerenciados na secretaria de educação, como acordos, atos, artigos, informando no mínimo o nome e a descrição da espécie do documento.</w:t>
      </w:r>
    </w:p>
    <w:p w14:paraId="26EB00ED"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documentos gerenciados pela secretaria de educação em todas as unidades escolares. Informando no mínimo a espécie do documento, seu nome e um descritivo.</w:t>
      </w:r>
    </w:p>
    <w:p w14:paraId="208F44EA"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unidades escolares da rede municipal de ensino, informando no mínimo a sua descrição.</w:t>
      </w:r>
    </w:p>
    <w:p w14:paraId="33537D0E"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unidades escolares com seus documentos legais, dados de endereços e contatos,</w:t>
      </w:r>
    </w:p>
    <w:p w14:paraId="24F156D5"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vínculos de órgãos regionais, esfera administrativa do conselho e código INEP.</w:t>
      </w:r>
    </w:p>
    <w:p w14:paraId="599CED90"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o cadastrar o zoneamento das unidades escolares, vinculando a unidade escolar aos bairros no qual pertence o zoneamento. A organização do zoneamento poderá ser feita por modalidade de ensino.</w:t>
      </w:r>
    </w:p>
    <w:p w14:paraId="74529263"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criar campos adicionais para o cadastro da unidade escolar.</w:t>
      </w:r>
    </w:p>
    <w:p w14:paraId="1EC6E171"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avaliações externas aplicadas nas unidades escolares, informando a sua descrição e o respectivo avaliador (governo federal, estadual, municipal ou instituição privada).</w:t>
      </w:r>
    </w:p>
    <w:p w14:paraId="4EC38118"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incluir as avaliações externas das unidades educacionais, informando seu tipo (IDEB Anos Finais/ 9º ano do Ensino Fundamental, Provinha Brasil/ Matemática / 2º ano do Ensino Fundamental, IDEB Anos Iniciais/ 5º ano do Ensino Fundamental, etc.), ano, meta e índice alcançado.</w:t>
      </w:r>
    </w:p>
    <w:p w14:paraId="3D3C55C7"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Permitir cadastrar os estoques existentes em cada unidade escolar informando a sua descrição e o tipo de estoque. Os estoques devem estar vinculados aos depósitos existentes no sistema de controle de almoxarifado do município.</w:t>
      </w:r>
    </w:p>
    <w:p w14:paraId="4EB387E3"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da unidade escolar, informando no mínimo o nome do documento, seu tipo e data de emissão ou criação.</w:t>
      </w:r>
    </w:p>
    <w:p w14:paraId="5870EC13"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selecionar os instrumentos pedagógicos disponíveis nas unidades educacionais, por exemplo, jogos educativos, acervo multimídia, brinquedos para educação infantil, etc.</w:t>
      </w:r>
    </w:p>
    <w:p w14:paraId="7F1D8238"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 xml:space="preserve">Permitir cadastrar as entidades parceiras vinculadas às unidades escolares, como ONGs, entidades privadas, ou outras instituições que prestam serviço em parceria com o município. Para este cadastro deve-se informar no mínimo a entidade parceira e o objetivo da parceria. </w:t>
      </w:r>
    </w:p>
    <w:p w14:paraId="2A199F12"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 xml:space="preserve">Permitir cadastrar os alunos da rede municipal de educação, com seus dados de nacionalidade, deficiências, filiação, endereços, contatos e foto. </w:t>
      </w:r>
    </w:p>
    <w:p w14:paraId="33F851C7"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que o endereço do aluno seja geolocalizado, informando as coordenadas de latitude e longitude automaticamente após a atualização do endereço ou de forma manual pelo usuário do sistema.</w:t>
      </w:r>
    </w:p>
    <w:p w14:paraId="586609C5"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aluno, informando no mínimo o nome do documento, seu tipo e data de emissão ou criação.</w:t>
      </w:r>
    </w:p>
    <w:p w14:paraId="5D91B989"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informar as restrições de saúde que o aluno possui, como restrições de medicamentos e alimentares.</w:t>
      </w:r>
    </w:p>
    <w:p w14:paraId="3A8796F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a ficha de saúde dos alunos, informando os dados de vacina, convênios de saúde, histórico de saúde (doenças que já teve, doenças crônicas, se possui alergias e quais os tipos de alergia, medicamentos que necessita uso e tipo sanguíneo.</w:t>
      </w:r>
    </w:p>
    <w:p w14:paraId="7EB80FB2"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 realização do controle antropométrico do aluno, informando a data da medição, peso e altura, mantendo um histórico de todas as aferições realizadas.</w:t>
      </w:r>
    </w:p>
    <w:p w14:paraId="763F0ACF"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certidões do aluno informando o tipo, número e nome do cartório.</w:t>
      </w:r>
    </w:p>
    <w:p w14:paraId="6B8E9DCF"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benefícios informando a sua descrição e permitir gerenciar os benefícios que o aluno recebe enquanto matriculado na rede de ensino, informando no mínimo o tipo do benefício, descrição, data da vigência e o valor.</w:t>
      </w:r>
    </w:p>
    <w:p w14:paraId="5948FCB8"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recursos necessários para realização das provas aplicadas pelo Instituto Nacional de Estudos e Pesquisas Educacionais Anísio Teixeira (INEP) caso o aluno apresente deficiência, informando no mínimo o tipo de deficiência e o tipo de recurso de prova, como, por exemplo, auxílio ledor, auxílio transcrição, prova ampliada (fonte 18), entre outros recursos disponíveis.</w:t>
      </w:r>
    </w:p>
    <w:p w14:paraId="6013F5AF"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o grupo familiar do aluno, informando o integrante e grau de parentesco.</w:t>
      </w:r>
    </w:p>
    <w:p w14:paraId="78C5286A"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Dispor de funcionalidade para exibir a distância do endereço do aluno em relação aos endereços das unidades escolares, apresentando a distância em metros e o tempo de deslocamento do aluno até a unidade escolar.</w:t>
      </w:r>
    </w:p>
    <w:p w14:paraId="3EAC75A6"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os turnos para a estruturação das turmas no sistema, como matutino, vespertino, noturno, integral, etc.</w:t>
      </w:r>
    </w:p>
    <w:p w14:paraId="792A46FB"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 cadastro de níveis de ensino, Educação Básica, Educação Profissional e Educação Superior, conforme LEI Nº 9.394, DE 20 DE DEZEMBRO DE 1996.</w:t>
      </w:r>
    </w:p>
    <w:p w14:paraId="65F1F7AE"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 cadastro de modalidades de ensino, como Educação Infantil, Ensino Fundamental, Ensino Médio, Educação Profissional, Técnica de Nível Médio, Educação de Jovens e Adultos (EJA), Atendimento Educacional Especializado etc.</w:t>
      </w:r>
    </w:p>
    <w:p w14:paraId="0EB7A8A7"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Organizar as modalidades de ensino por área de atuação, como Crianças (0 à 3 anos) – Creche, Crianças (4 à 5 anos) – Pré-Escola, Anos Iniciais, Anos Finais, Ensino Médios, Jovens e Adultos, etc.</w:t>
      </w:r>
    </w:p>
    <w:p w14:paraId="36CDCB5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os registros de organização escolar para a estruturação dos cursos, como, Série/Ano (Séries Anuais), Ciclo(s) do Ensino Fundamental, Períodos Semestrais, Alternância Regular de Períodos de Estudos, Grupos não seriados com base na idade ou competência (art. 23 LDB), etc.</w:t>
      </w:r>
    </w:p>
    <w:p w14:paraId="0FFF6736"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Disponibilizar o cadastro de regimes escolares para a configuração dos cursos, definindo assim a forma de progressão de cada matrícula dos alunos, como Progressão Regular, Progressão Parcial, Progressão Continuada e Promoção Automática.</w:t>
      </w:r>
    </w:p>
    <w:p w14:paraId="54272D7A"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cursos ofertados pela rede de ensino, organizando-os por nível de ensino, modalidade de ensino, organização escolar e regime escolar. Informar no mínimo o nome, sigla, quantidade de etapas escolares que o curso possui, carga horária do curso, objetivo e os documentos legais como (acordão, ato, decreto, etc.).</w:t>
      </w:r>
    </w:p>
    <w:p w14:paraId="7E087742"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Permitir cadastrar as etapas escolares da rede de ensino, informando no mínimo o curso, nome, sigla, número correspondente da etapa, vínculo com a etapa padrão do INEP, informações da progressão da etapa escolar e faixa etária atendida pela etapa escolar.</w:t>
      </w:r>
    </w:p>
    <w:p w14:paraId="25D42C4B"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configurar as etapas escolares ofertadas em cada unidade escolar.</w:t>
      </w:r>
    </w:p>
    <w:p w14:paraId="57B402E6"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 quantidade de profissionais exigidos para cada etapa escolar da educação infantil, informando a quantidade de alunos e quantidade de profissionais e auxiliares por faixa etária que serão atendidos.</w:t>
      </w:r>
    </w:p>
    <w:p w14:paraId="2FE0209A"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Dispor de funcionalidade para consultar a quantidade de profissionais necessários por matrícula na educação infantil na rede de ensino conforme a quantidade informada na resolução do município.</w:t>
      </w:r>
    </w:p>
    <w:p w14:paraId="444F6EC4"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áreas de conhecimento, informando no mínimo a descrição da área, modalidade de ensino e sigla.</w:t>
      </w:r>
    </w:p>
    <w:p w14:paraId="36591F3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componentes curriculares, informando no mínimo a base curricular do componente, a modalidade de ensino, a área de conhecimento, o nome do componente curricular, sigla, descrição resumida, descrição detalhada, vínculo com a base de componentes curriculares do INEP e da BNCC.</w:t>
      </w:r>
    </w:p>
    <w:p w14:paraId="141005F5"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componentes curriculares utilizados apenas para históricos escolares.</w:t>
      </w:r>
    </w:p>
    <w:p w14:paraId="45C15495"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atividades complementares, informando no mínimo o tipo da atividade complementar e o nome da atividade.</w:t>
      </w:r>
    </w:p>
    <w:p w14:paraId="24D6A409"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atendimentos educacionais especializados, informando no mínimo o tipo do atendimento e o nome.</w:t>
      </w:r>
    </w:p>
    <w:p w14:paraId="595FA0D2"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bases curriculares utilizadas na composição das matrizes e diretrizes curriculares como a Base Nacional Comum Curricular e Base diversificada.</w:t>
      </w:r>
    </w:p>
    <w:p w14:paraId="44A970EE"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matrizes curriculares utilizadas pelas unidades escolares da rede de ensino, informando o tipo de atendimento, modalidade de ensino, curso, etapa escolar, descrição, carga horária e mínimo de dias letivos. Permitir que a matriz curricular possa ser duplicada para outro curso e etapa escolar, mantendo suas informações básicas e informações relacionadas.</w:t>
      </w:r>
    </w:p>
    <w:p w14:paraId="335E2FBB"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vincular os componentes curriculares na matriz curricular informando a quantidade de aulas semanais. Permitir informar a carga horária total do componente curricular, a quantidade de aulas semanais presenciais e a quantidade de aulas semanais remotas.</w:t>
      </w:r>
    </w:p>
    <w:p w14:paraId="3F59E789"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turmas organizadas por atendimento escolar, mediação didática, unidades escolares, curso, etapa escolar, turno e período letivo. Informar também no mínimo a nomenclatura e sua sigla. Configurar a quantidade máxima de alunos na turma conforme definido na etapa escolar. Permitir alterar a situação da turma, se está em planejamento, em enturmação, em andamento, concluída ou cancelada.</w:t>
      </w:r>
    </w:p>
    <w:p w14:paraId="77143AFF"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configurar se a turma é participante do programa Mais Educação ou Ensino Médio Inovador. Permitir cadastro das turmas integrais vinculadas ao programa Mais Educação.</w:t>
      </w:r>
    </w:p>
    <w:p w14:paraId="5E284CB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 configuração dos critérios de disponibilidade de alunos com deficiência nas turmas para gerenciar as equivalências de vaga.</w:t>
      </w:r>
    </w:p>
    <w:p w14:paraId="4B14AB20"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Possibilitar a definição da quantidade de pessoas por metro quadrado através de configuração.</w:t>
      </w:r>
    </w:p>
    <w:p w14:paraId="72F5DADD"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configurar turmas multietapas ou multisseriadas de acordo com a padronização do MEC/INEP para o censo escolar.</w:t>
      </w:r>
    </w:p>
    <w:p w14:paraId="5CDA543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duplicar o cadastro da turma no mesmo ano letivo para outras unidades escolares, informando o novo turno, nome e sigla. Os dados básicos de ambientes e matrizes curriculares também poderão ser copiados.</w:t>
      </w:r>
    </w:p>
    <w:p w14:paraId="3EDE56B1"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a capacidade máxima de alunos na turma, ajustando a quantidade e informando uma justificativa, mantendo assim um histórico das alterações realizadas.</w:t>
      </w:r>
    </w:p>
    <w:p w14:paraId="72B0966B"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controlar a quantidade máxima de alunos de cada turma, não permitindo enturmar alunos acima da quantidade definida caso seja definida a configuração de controle.</w:t>
      </w:r>
    </w:p>
    <w:p w14:paraId="7B878A11"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 inclusão da matriz curricular que será utilizada pela turma durante o período letivo.</w:t>
      </w:r>
    </w:p>
    <w:p w14:paraId="19C8B07B"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que uma matriz curricular possa ser substituída em uma turma.</w:t>
      </w:r>
    </w:p>
    <w:p w14:paraId="43270D5D"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prédios que compõem a infraestrutura da rede municipal de ensino, informando no mínimo a descrição do tipo.</w:t>
      </w:r>
    </w:p>
    <w:p w14:paraId="4C3888D8"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informações dos prédios físicos das unidades escolares da rede de ensino, informando a descrição, quantidade de andares e o tipo de prédio.</w:t>
      </w:r>
    </w:p>
    <w:p w14:paraId="2FE69B10"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prédio, informando no mínimo o nome do documento, seu tipo e data de emissão ou criação.</w:t>
      </w:r>
    </w:p>
    <w:p w14:paraId="3CD7916D"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Permitir cadastrar os tipos de ambientes escolares informando no mínimo a sua descrição.</w:t>
      </w:r>
    </w:p>
    <w:p w14:paraId="34F2C98E"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ambientes que compõem os prédios das unidades escolares, informando no mínimo o tipo do ambiente, sua descrição, público usuário, utilização, área em m², se é climatizado e se possui acessibilidade.</w:t>
      </w:r>
    </w:p>
    <w:p w14:paraId="612B26F3"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ambiente, permitindo arquivos de até 2MB e informando no mínimo o nome do documento, seu tipo e data de emissão ou criação.</w:t>
      </w:r>
    </w:p>
    <w:p w14:paraId="4F82145D"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a capacidade física dos ambientes, informando no mínimo a modalidade, grupo de ensino e a capacidade (quantidade).</w:t>
      </w:r>
    </w:p>
    <w:p w14:paraId="4C5416B1"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restrições de um ambiente em relação a sua utilização, informando no mínimo a sua descrição, vigência, dias da semana, turno, horário de início e término.</w:t>
      </w:r>
    </w:p>
    <w:p w14:paraId="50F75526"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vincular os ambientes que as turmas utilizam durante o período letivo, informando o prédio, ambiente e se é preferencial para a turma.</w:t>
      </w:r>
    </w:p>
    <w:p w14:paraId="3B8A6C45"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tipos de abandono de matrículas informando no mínimo a sua descrição.</w:t>
      </w:r>
    </w:p>
    <w:p w14:paraId="48686842"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gerenciar os locais de trabalho dos funcionários da educação, informando no mínimo o local de trabalho e a data de início da lotação.</w:t>
      </w:r>
    </w:p>
    <w:p w14:paraId="687499F8"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visualizar os afastamentos dos funcionários da educação realizados pelo setor/departamento de recursos humanos.</w:t>
      </w:r>
    </w:p>
    <w:p w14:paraId="5C43B1CF"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visualizar os avisos prévios ou desligamentos dos funcionários da educação realizados pelo setor/departamento de recursos humanos.</w:t>
      </w:r>
    </w:p>
    <w:p w14:paraId="2C092F90"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 habilitação curricular do professor, informando quais componentes curriculares o professor está habilitado para lecionar.</w:t>
      </w:r>
    </w:p>
    <w:p w14:paraId="77726739"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restrições do funcionário, permitindo informar se existe restrição por local de trabalho, agenda ou grade de horários.</w:t>
      </w:r>
    </w:p>
    <w:p w14:paraId="7AEEF395"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vincular os profissionais em sala na turma, informando no mínimo a atribuição e o funcionário, se for professor/docente, informar os componentes curriculares, atividades complementares ou atendimentos educacionais especializados que o funcionário trabalhará.</w:t>
      </w:r>
    </w:p>
    <w:p w14:paraId="3C03A153"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 substituição dos profissionais em uma turma.</w:t>
      </w:r>
    </w:p>
    <w:p w14:paraId="7250D347"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e imprimir os comunicados internos, informando a unidade escolar, tipo (convocação ou comunicado), texto e profissionais.</w:t>
      </w:r>
    </w:p>
    <w:p w14:paraId="21C63ABD"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configurar os percentuais de alerta de infrequência para as modalidades de ensino. Permitir também que sejam configurados alertas de infrequência para benefícios e para questões de busca ativa, onde se aplicam configurações para faltas consecutivas ou faltas alternadas.</w:t>
      </w:r>
    </w:p>
    <w:p w14:paraId="4CC82686"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Dispor de funcionalidade para realizar a consulta das infrequências dos alunos, destacando os alunos que estão com os percentuais de frequência abaixo dos índices definidas nas configurações do sistema.</w:t>
      </w:r>
    </w:p>
    <w:p w14:paraId="357AAF8F"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o cadastro dos órgãos de gestão democrática como associação de pais e mestres, conselho escolar e outros. Deve ser informado no mínimo o órgão, tipo e a unidade escolar que está vinculado. O sistema também deve permitir o cadastro dos documentos legais do órgão de gestão.</w:t>
      </w:r>
    </w:p>
    <w:p w14:paraId="3EADC25D"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órgão de gestão, informando no mínimo o nome do documento, seu tipo e data de emissão ou criação.</w:t>
      </w:r>
    </w:p>
    <w:p w14:paraId="2B063337"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vincular os membros que compõem os órgãos de gestão, informando no mínimo o tipo e o período de participação.</w:t>
      </w:r>
    </w:p>
    <w:p w14:paraId="27E79F1F"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 plano municipal de educação, informando no mínimo a vigência, descrição, periodicidade da avaliação, documento legal e ano da primeira avaliação.</w:t>
      </w:r>
    </w:p>
    <w:p w14:paraId="7BD02F71"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diretrizes do plano municipal de educação informando a descrição.</w:t>
      </w:r>
    </w:p>
    <w:p w14:paraId="7CB8F151"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as comissões o plano municipal de educação, incluindo seus integrantes e informando a representatividade do integrante na comissão.</w:t>
      </w:r>
    </w:p>
    <w:p w14:paraId="5E0EA696"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anexar documentos ao cadastro do plano municipal de educação, informando no mínimo o nome do documento, seu tipo e data de emissão ou criação.</w:t>
      </w:r>
    </w:p>
    <w:p w14:paraId="7319B390"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e gerenciar a distribuição dos kits escolares (uniformes, materiais, alimentação, etc), informando o curso, etapa escolar, descrição, ano. Para cada kit, permitir vincular os itens.</w:t>
      </w:r>
    </w:p>
    <w:p w14:paraId="3C0A8ACE"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do cadastro das unidades escolares, contendo no mínimo os campos nome, tipo de unidade escolar, gestor, situação de funcionamento, código INEP, dados de endereço, dados de contato, permitindo filtrando os registros por unidade escolar, tipo de unidade escolar ou situação de funcionamento.</w:t>
      </w:r>
    </w:p>
    <w:p w14:paraId="7B7BE576"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Emitir relatório do cadastro das entidades parceiras contendo no mínimo os campos nome, CNPJ, dados de endereço e contato e gestor da entidade, permitindo filtrar por unidade escolar, entidade parceira ou gestor.</w:t>
      </w:r>
    </w:p>
    <w:p w14:paraId="5B1EDDE5"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do cadastro dos prédios contendo no mínimo os campos que identificam a unidade escolar, descrição do prédio, tipo de prédio e os ambientes vinculados ao prédio com descrição, tipo de ambiente, área em m². Permite filtrar os prédios por unidade escolar, por prédio e tipo de prédio.</w:t>
      </w:r>
    </w:p>
    <w:p w14:paraId="4A33881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etapas escolares por curso, apresentando o nome do curso, modalidade, organização escolar, regime escolar e a lista das etapas que compõem o curso. Permite filtrar por unidade escolar, modalidade de ensino, curso ou etapa escolar.</w:t>
      </w:r>
    </w:p>
    <w:p w14:paraId="35F985EB"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do cadastro das matrizes curriculares, contendo no mínimo os campos nome, curso, etapa escolar, modalidade de ensino, organização curricular e carga horária total, listando também os componentes curriculares que compõem a matriz. Permitir filtrar por matriz curricular, curso, etapa escolar, modalidade ensino ou vigência da matriz curricular.</w:t>
      </w:r>
    </w:p>
    <w:p w14:paraId="409369DA"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dos funcionários da educação, apresentando no mínimo os campos nome, nacionalidade, data de nascimento, grau de instrução, CPF e informações dos contratos. Permite filtrar por funcionário, grau de instrução, sexo, cidade, logradouro ou bairro.</w:t>
      </w:r>
    </w:p>
    <w:p w14:paraId="7250B618"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informações pessoais do aluno, apresentando no mínimo os campos nome, código INEP, data de nascimento, sexo, CPF, dados de endereço e contato. Permite filtrar por aluno.</w:t>
      </w:r>
    </w:p>
    <w:p w14:paraId="1D66B81F"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relação de alunos da turma, contendo no mínimo a identificação da unidade escolar, tipo de turma, curso, etapa escolar, atendimento escolar, situação, mediação didática e o nome dos alunos matriculados. Permite filtrar por turma.</w:t>
      </w:r>
    </w:p>
    <w:p w14:paraId="08B24B6A"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relação de professores, contendo no mínimo o nome do professor, CPF, código INEP, cargo, contrato, grau de instrução, atribuição, regime e se está lecionando. Permite filtrar por professor, unidade escolar e situação do contrato.</w:t>
      </w:r>
    </w:p>
    <w:p w14:paraId="3B03E64B"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relação de professores e componentes curriculares habilitados, contendo no mínimo o nome do professor e o nome do componente curricular habilitado. Permite filtrar por professor ou por componente curricular.</w:t>
      </w:r>
    </w:p>
    <w:p w14:paraId="1FA69B59"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alunos cancelados, contendo no mínimo o nome do aluno, data de nascimento, data do cancelamento, turma, tipo de cancelamento, tipo de abandono e motivo ou observação. Permite filtrar unidade escolar, ano letivo, data do cancelamento, curso, turma ou tipo de cancelamento.</w:t>
      </w:r>
    </w:p>
    <w:p w14:paraId="55A25F7A"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atestado de docência apresentando as unidades escolares vinculadas ao contrato e permitindo filtrar por contrato do funcionário.</w:t>
      </w:r>
    </w:p>
    <w:p w14:paraId="5135A35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resumo de matrículas, permitindo filtrar por ano letivo, unidade escolar, situação da matrícula, resultado final e grupo de ensino. O relatório deve apresentar o totalizador por grupo de ensino para cada unidade escolar.</w:t>
      </w:r>
    </w:p>
    <w:p w14:paraId="11C8EAA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resumo de matrículas complementares, permitindo filtrar por ano letivo, unidade escolar e situação da matrícula. O relatório deve apresentar o totalizador por tipo de matrícula complementar para cada unidade escolar.</w:t>
      </w:r>
    </w:p>
    <w:p w14:paraId="63DF91B0"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totalizador de deficiências dos alunos, permitindo filtrar por ano letivo, unidade escolar e modalidade de ensino. O relatório deve apresentar o totalizador por deficiência para cada modalidade de ensino.</w:t>
      </w:r>
    </w:p>
    <w:p w14:paraId="12E4F88A"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totalizador de alunos por sexo e cor/raça, permitindo filtrar por ano letivo, unidade escolar, modalidade de ensino, etapa escolar, raça/cor, sexo, turno ou data da matrícula. O relatório deve apresentar o totalizador por cor/raça agrupando por etapa escolar. Apresentar um totalizador geral ao final do relatório.</w:t>
      </w:r>
    </w:p>
    <w:p w14:paraId="751F7350"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declaração de cor/raça filtrando por aluno.</w:t>
      </w:r>
    </w:p>
    <w:p w14:paraId="5297B235"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carta de apresentação, permitindo filtrar por carta de expedição funcional e apresentando o vínculo, carga horária, cargo, função, turnos e lotação.</w:t>
      </w:r>
    </w:p>
    <w:p w14:paraId="209C75B2" w14:textId="77777777" w:rsidR="00B307DB" w:rsidRPr="00680B5B" w:rsidRDefault="00B307DB" w:rsidP="009A49E6">
      <w:pPr>
        <w:numPr>
          <w:ilvl w:val="0"/>
          <w:numId w:val="333"/>
        </w:numPr>
        <w:tabs>
          <w:tab w:val="left" w:pos="400"/>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comunicado de exercício profissional, permitindo filtrar por contrato do funcionário.</w:t>
      </w:r>
    </w:p>
    <w:p w14:paraId="2D5BEA5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equipe de gestão, contendo no mínimo a identificação da unidade escolar, nome do membro da equipe e o cargo. Permite filtrar por unidade escolar, cargo ou equipe de gestão.</w:t>
      </w:r>
    </w:p>
    <w:p w14:paraId="3A3A83D8"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auxiliares/assistentes educacionais. Permite filtrar por ano, unidade escolar, curso, turma, funcionário, situação da turma ou situação do profissional.</w:t>
      </w:r>
    </w:p>
    <w:p w14:paraId="71E0C6B0"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Emitir relatório de totalizador de alunos enturmados, permitindo filtrar por ano letivo, unidade escolar, modalidade de ensino, grupo de ensino, etapa escolar e tipo de unidade escolar. O relatório deve apresentar o totalizador por etapa escolar ou por grupo de ensino.</w:t>
      </w:r>
    </w:p>
    <w:p w14:paraId="57334A3E"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lastRenderedPageBreak/>
        <w:t>Emitir relação de disponibilidade das turmas no ano, permitindo filtrar por unidade escolar, ano letivo, tipo de atendimento escolar, curso, etapa escolar, turma, turno ou situação da turma. O relatório deve apresentar as informações da turma, como nome, etapa, turno e as capacidades da turma.</w:t>
      </w:r>
    </w:p>
    <w:p w14:paraId="65B4138C"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Dispor de funcionalidade para prever casos de evasão escolar, apresentando as informações para toda a rede de ensino, por unidade escolar e por turma.</w:t>
      </w:r>
    </w:p>
    <w:p w14:paraId="485ED8B2"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funcionários da educação, informando os dados pessoais como nome, CPF, data de nascimento, sexo, cor de pele, dados de nacionalidade, dados de filiação, tipos de deficiência, dados de endereços e contatos, informações da escolaridade.</w:t>
      </w:r>
    </w:p>
    <w:p w14:paraId="79AC01A6"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contratos de trabalho dos funcionários da rede municipal de educação, informando o funcionário, a data de admissão, regime de contratação, cargo, lotação (local de trabalho), nível salarial, horário e turno de trabalho.</w:t>
      </w:r>
    </w:p>
    <w:p w14:paraId="56C8271A" w14:textId="77777777" w:rsidR="00B307DB" w:rsidRPr="00680B5B" w:rsidRDefault="00B307DB" w:rsidP="009A49E6">
      <w:pPr>
        <w:numPr>
          <w:ilvl w:val="0"/>
          <w:numId w:val="333"/>
        </w:numPr>
        <w:tabs>
          <w:tab w:val="left" w:pos="426"/>
        </w:tabs>
        <w:suppressAutoHyphens/>
        <w:spacing w:after="0" w:line="240" w:lineRule="auto"/>
        <w:ind w:left="0" w:right="-568" w:hanging="11"/>
        <w:jc w:val="both"/>
        <w:rPr>
          <w:rFonts w:ascii="Times New Roman" w:hAnsi="Times New Roman" w:cs="Times New Roman"/>
        </w:rPr>
      </w:pPr>
      <w:r w:rsidRPr="00680B5B">
        <w:rPr>
          <w:rFonts w:ascii="Times New Roman" w:hAnsi="Times New Roman" w:cs="Times New Roman"/>
        </w:rPr>
        <w:t>Permitir cadastrar os contratos de trabalho terceirizados da rede municipal de educação, informando a pessoa, data de admissão, regime de contratação, cargo, lotação (local de trabalho), nível salarial, horário e turno de trabalho.</w:t>
      </w:r>
    </w:p>
    <w:p w14:paraId="5790FC91" w14:textId="77777777" w:rsidR="00B307DB" w:rsidRPr="00680B5B" w:rsidRDefault="00B307DB" w:rsidP="00B307DB">
      <w:pPr>
        <w:spacing w:after="0" w:line="240" w:lineRule="auto"/>
        <w:ind w:left="720" w:right="-568"/>
        <w:jc w:val="both"/>
        <w:rPr>
          <w:rFonts w:ascii="Times New Roman" w:hAnsi="Times New Roman" w:cs="Times New Roman"/>
        </w:rPr>
      </w:pPr>
    </w:p>
    <w:p w14:paraId="703624A2"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2.32  GESTÃO CALENDÁRIO ESCOLAR</w:t>
      </w:r>
    </w:p>
    <w:p w14:paraId="68285283" w14:textId="77777777" w:rsidR="00B307DB" w:rsidRPr="00680B5B" w:rsidRDefault="00B307DB" w:rsidP="009A49E6">
      <w:pPr>
        <w:numPr>
          <w:ilvl w:val="0"/>
          <w:numId w:val="334"/>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 calendário escolar geral, gerenciado pela secretaria de educação, contemplando todos os eventos e compromissos do ano letivo por modalidade de ensino.</w:t>
      </w:r>
    </w:p>
    <w:p w14:paraId="6DF24893"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 calendário escolar de cada unidade escolar vinculado ao calendário geral, onde cada unidade escolar poderá definir os eventos próprios, mas sem modificar o calendário escolar geral definido da secretaria de educação.</w:t>
      </w:r>
    </w:p>
    <w:p w14:paraId="02D71935"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vinculação de eventos ao calendário escolar, informando se o mesmo é considerado como dia letivo ou não.</w:t>
      </w:r>
    </w:p>
    <w:p w14:paraId="10EEA5A7"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visualização do total de dias letivos do calendário escolar, de acordo com as datas definidas, além dos eventos e feriados.</w:t>
      </w:r>
    </w:p>
    <w:p w14:paraId="2E55AF45"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dos tipos de módulos letivos: ano, bimestre, trimestre, semestre, etc, informando no mínimo a sua descrição e a quantidade máxima de períodos vinculados ao módulo letivo.</w:t>
      </w:r>
    </w:p>
    <w:p w14:paraId="2831AC01"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organização dos módulos letivos: 1º bimestre, 2º bimestre, 1º trimestre, 2º trimestre, etc, informando no mínimo a sua descrição e o tipo do módulo letivo.</w:t>
      </w:r>
    </w:p>
    <w:p w14:paraId="14A07636"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qualquer tipo de evento, tais como: feriados, recessos escolares, férias, reuniões, datas festivas, dias letivos, datas comemorativas, conselhos de classe, turnos únicos, planejamentos coletivos, entre outros.</w:t>
      </w:r>
    </w:p>
    <w:p w14:paraId="6AE3B2E8"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dos períodos letivos informando a modalidade de ensino, organização modular, período de vigência, período de dias não letivos e período dos exames finais.</w:t>
      </w:r>
    </w:p>
    <w:p w14:paraId="3C535E73"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vincular os módulos letivos que contemplam o período letivo. Para cada módulo letivo vinculado informar a data de início e término e as informações sobre os prazos para registros de desempenhos.</w:t>
      </w:r>
    </w:p>
    <w:p w14:paraId="655B3878"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criar grupos de horários definindo sua descrição e seu turno. Para cada grupo permitir definir os horários, classificando o horário em aula ou intervalo. Para cada horário informar a hora de início e término, bem como o número correspondente ao período.</w:t>
      </w:r>
    </w:p>
    <w:p w14:paraId="77923380"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das grades horárias contemplando o relacionamento entre o grupo de horário e a turma.</w:t>
      </w:r>
    </w:p>
    <w:p w14:paraId="3ECEA285"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ajustar o horário da grade horária informando o componente curricular, atividade complementar ou atendimento educacional especializado e seu respectivo profissional e ambiente utilizado.</w:t>
      </w:r>
    </w:p>
    <w:p w14:paraId="183DAD3F"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a validação da grade horária, validando os conflitos entre os horários das turmas do período letivo vigente.</w:t>
      </w:r>
    </w:p>
    <w:p w14:paraId="112C1711"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gerar várias versões da grade horária, porém, somente uma versão pode estar homologada e em uso para cada turma.</w:t>
      </w:r>
    </w:p>
    <w:p w14:paraId="637D9E19"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cancelar uma grade horária e a alteração só pode ser realizada enquanto a grade não estiver homologada.</w:t>
      </w:r>
    </w:p>
    <w:p w14:paraId="65270464"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visualizar as ocorrências registradas durante a validação da grade horária para a detecção de possíveis inconsistências e conflitos, contendo no mínimo o tipo do erro e a descrição do erro encontrado.</w:t>
      </w:r>
    </w:p>
    <w:p w14:paraId="24E04BF8"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gerar o calendário da turma a partir do calendário escolar e da grade horária.</w:t>
      </w:r>
    </w:p>
    <w:p w14:paraId="4BCF2230"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emissão do relatório do calendário escolar geral e do calendário da unidade escolar.</w:t>
      </w:r>
    </w:p>
    <w:p w14:paraId="645F7502"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Emitir relatório da grade de horários, filtrando por ano letivo, unidade escolar, curso, etapa, turma ou grade de horários.</w:t>
      </w:r>
    </w:p>
    <w:p w14:paraId="3D18CB4F"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vincular os sistemas de avaliação que serão utilizados em cada período letivo.</w:t>
      </w:r>
    </w:p>
    <w:p w14:paraId="7B3C59A8" w14:textId="77777777" w:rsidR="00B307DB" w:rsidRPr="00680B5B" w:rsidRDefault="00B307DB" w:rsidP="009A49E6">
      <w:pPr>
        <w:numPr>
          <w:ilvl w:val="0"/>
          <w:numId w:val="33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os tipos de resultados finais específicos para cada período letivo, podendo configurar de forma geral ou por unidade escolar.</w:t>
      </w:r>
    </w:p>
    <w:p w14:paraId="55487891" w14:textId="77777777" w:rsidR="00B307DB" w:rsidRPr="00680B5B" w:rsidRDefault="00B307DB" w:rsidP="00B307DB">
      <w:pPr>
        <w:spacing w:after="0" w:line="240" w:lineRule="auto"/>
        <w:ind w:left="720" w:right="-568"/>
        <w:jc w:val="both"/>
        <w:rPr>
          <w:rFonts w:ascii="Times New Roman" w:hAnsi="Times New Roman" w:cs="Times New Roman"/>
          <w:b/>
          <w:bCs/>
        </w:rPr>
      </w:pPr>
    </w:p>
    <w:p w14:paraId="58463A4D"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bCs/>
        </w:rPr>
        <w:t>2.32 GESTÃO PEDAGÓGICA</w:t>
      </w:r>
    </w:p>
    <w:p w14:paraId="19377DD5" w14:textId="77777777" w:rsidR="00B307DB" w:rsidRPr="00680B5B" w:rsidRDefault="00B307DB" w:rsidP="009A49E6">
      <w:pPr>
        <w:numPr>
          <w:ilvl w:val="0"/>
          <w:numId w:val="335"/>
        </w:numPr>
        <w:tabs>
          <w:tab w:val="clear" w:pos="720"/>
          <w:tab w:val="left" w:pos="426"/>
          <w:tab w:val="num" w:pos="851"/>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 estrutura pedagógica da base nacional comum curricular, organizada por modalidade de ensino, contemplado os direitos de aprendizagem, campos de experiências, grupos de organização da base, objetivos de aprendizagem, campos de atuação/eixos organizadores, eixos temáticos, unidades temáticas e práticas de linguagem, objetos de conhecimento e habilidades, campos de atuação e habilidades do ensino médio.</w:t>
      </w:r>
    </w:p>
    <w:p w14:paraId="00E31067"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sistemas de avaliação por modalidade de ensino, definindo a sistemática para cada matriz curricular, sendo por nota, conceito, parecer, indicador ou menção.</w:t>
      </w:r>
    </w:p>
    <w:p w14:paraId="21F8DF7D"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se o sistema de avaliação considera avaliação e/ou frequência escolar, definido os parâmetros mínimos para aprovação e consequente progressão escolar.</w:t>
      </w:r>
    </w:p>
    <w:p w14:paraId="63A28E5C"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cadastrar modelos de fichas avaliativas por estrutura curricular, vinculando as habilidades avaliadas.</w:t>
      </w:r>
    </w:p>
    <w:p w14:paraId="6E3C3D7E"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o uso de fichas avaliativas quando o sistema de avaliação for do tipo menção.</w:t>
      </w:r>
    </w:p>
    <w:p w14:paraId="180FF9AC"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para cada estrutura curricular da matriz curricular associada ao sistema de avaliação a definição das configurações de avaliação, por exemplo, modo de avaliação, quantidade mínima de avaliações a serem realizadas, quantidade mínima de recuperações, etc.</w:t>
      </w:r>
    </w:p>
    <w:p w14:paraId="37E9E85E"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configuração do planejamento, definindo o ano, escopo de utilização, modalidade de ensino, atendimento escolar e grupo de ensino. Para cada configuração deve ser definido os campos do plano de ensino e dos planos de aula que serão elaborados para as estruturas curriculares.</w:t>
      </w:r>
    </w:p>
    <w:p w14:paraId="2384306C"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criar campos personalizados para os planos de ensino, definindo tipo, nome e obrigatoriedade.</w:t>
      </w:r>
    </w:p>
    <w:p w14:paraId="214263A5"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criar campos personalizados para os planos de aula, definindo tipo, nome e obrigatoriedade.</w:t>
      </w:r>
    </w:p>
    <w:p w14:paraId="0AF58491"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dos planos de aula do professor, de acordo com o plano de ensino definidos, o professor pode criar seu planejamento de aulas informando a temática, datas previstas, estratégias, habilidades, campos de experiência, e outros recursos relacionados ao seu planejamento. Promover a interdisciplinaridade dos componentes curriculares do professor.</w:t>
      </w:r>
    </w:p>
    <w:p w14:paraId="07EB5711"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anexar documentos ao plano de ensino e ao plano de aula, informando no mínimo o nome do documento, seu tipo e data de emissão ou criação.</w:t>
      </w:r>
    </w:p>
    <w:p w14:paraId="6A77D6FA"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das solicitações de encaminhamento dos alunos, informando a matrícula, data de abertura, sigiloso, atrasos ou dificuldades, relatório e procedimentos pré-realizados.</w:t>
      </w:r>
    </w:p>
    <w:p w14:paraId="127F30AE"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 partir de uma solicitação de encaminhamento, o sistema deve permitir o gerenciamento do encaminhamento do aluno, onde será realizado o encaminhamento para o devido atendimento especializado, informando o profissional de atendimento, área de atendimento e turno(s) de preferência para atendimento.</w:t>
      </w:r>
    </w:p>
    <w:p w14:paraId="347B405A"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os registros de atendimentos dos encaminhamentos pedagógicos, realizando os agendamentos e relatórios de atendimento.</w:t>
      </w:r>
    </w:p>
    <w:p w14:paraId="77609EEC" w14:textId="77777777" w:rsidR="00B307DB" w:rsidRPr="00680B5B" w:rsidRDefault="00B307DB" w:rsidP="009A49E6">
      <w:pPr>
        <w:numPr>
          <w:ilvl w:val="0"/>
          <w:numId w:val="335"/>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painel gerencial para acompanhamento de informações pedagógicas nas unidades escolares.</w:t>
      </w:r>
    </w:p>
    <w:p w14:paraId="50BDC8F5" w14:textId="77777777" w:rsidR="00B307DB" w:rsidRPr="00680B5B" w:rsidRDefault="00B307DB" w:rsidP="00B307DB">
      <w:pPr>
        <w:spacing w:after="0" w:line="240" w:lineRule="auto"/>
        <w:ind w:left="720" w:right="-568"/>
        <w:jc w:val="both"/>
        <w:rPr>
          <w:rFonts w:ascii="Times New Roman" w:hAnsi="Times New Roman" w:cs="Times New Roman"/>
        </w:rPr>
      </w:pPr>
    </w:p>
    <w:p w14:paraId="1BD33759"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3.33 SECRETARIA ESCOLAR</w:t>
      </w:r>
    </w:p>
    <w:p w14:paraId="10FF0ABB" w14:textId="77777777" w:rsidR="00B307DB" w:rsidRPr="00680B5B" w:rsidRDefault="00B307DB" w:rsidP="009A49E6">
      <w:pPr>
        <w:numPr>
          <w:ilvl w:val="0"/>
          <w:numId w:val="336"/>
        </w:numPr>
        <w:tabs>
          <w:tab w:val="clear" w:pos="720"/>
          <w:tab w:val="left" w:pos="426"/>
          <w:tab w:val="num" w:pos="993"/>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controle dos documentos obrigatórios para efetivação da matrícula, informando para cada modalidade de ensino e tipo de movimentação de matrícula o tipo de documento que será aplicada a obrigatoriedade durante o processo.</w:t>
      </w:r>
    </w:p>
    <w:p w14:paraId="234B60A8" w14:textId="77777777" w:rsidR="00B307DB" w:rsidRPr="00680B5B" w:rsidRDefault="00B307DB" w:rsidP="009A49E6">
      <w:pPr>
        <w:numPr>
          <w:ilvl w:val="0"/>
          <w:numId w:val="33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matrícula regular do aluno, informando a data da matrícula, unidade escolar, aluno, modalidade, período de matrículas, curso, etapa escolar e turno. Permitir que o aluno seja enturmado ao realizar o registro da matrícula.</w:t>
      </w:r>
    </w:p>
    <w:p w14:paraId="1DC7D3C4" w14:textId="77777777" w:rsidR="00B307DB" w:rsidRPr="00680B5B" w:rsidRDefault="00B307DB" w:rsidP="009A49E6">
      <w:pPr>
        <w:numPr>
          <w:ilvl w:val="0"/>
          <w:numId w:val="336"/>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matrículas de alunos em atividades complementares. Permitir que o aluno seja enturmado ao realizar o registro da matrícula.</w:t>
      </w:r>
    </w:p>
    <w:p w14:paraId="1613CBAA"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realizar matrículas de alunos no atendimento educacional especializado. Permitir que o aluno seja enturmado ao realizar o registro da matrícula.</w:t>
      </w:r>
    </w:p>
    <w:p w14:paraId="1078FAD9"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matrículas de alunos de forma complementar, em situações onde é necessário reforço ou acompanhamento diferenciado do aluno, principalmente em alunos oriundos de outras redes de ensino.</w:t>
      </w:r>
    </w:p>
    <w:p w14:paraId="0C3C1241"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matrículas de alunos condicionados ao regime de dependência, informando quais os componentes curriculares que serão cursados no período letivo.</w:t>
      </w:r>
    </w:p>
    <w:p w14:paraId="7794FCA9"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cancelamento da matrícula e o estorno da matrícula do aluno. Se houver mais de uma matrícula vinculada à matrícula regular, o sistema deverá cancelar todas as matrículas que possuem vínculo com a mesma.</w:t>
      </w:r>
    </w:p>
    <w:p w14:paraId="29ADD050"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cadastramento de tipo de dispensa.</w:t>
      </w:r>
    </w:p>
    <w:p w14:paraId="0C1D5CB7"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dispensar componentes curriculares da matrícula do aluno, informando o componente curricular, tipo de dispensa e motivo da dispensa.</w:t>
      </w:r>
    </w:p>
    <w:p w14:paraId="5D7A8F2D"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desempenho manualmente para as matrículas do aluno.</w:t>
      </w:r>
    </w:p>
    <w:p w14:paraId="41D3A21D"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a forma de classificação da matrícula, podendo ser por classificação ou reclassificação.</w:t>
      </w:r>
    </w:p>
    <w:p w14:paraId="6EFF1A88"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anexar documentos na matrícula do aluno, informando no mínimo o nome do documento, seu tipo e data de emissão ou criação.</w:t>
      </w:r>
    </w:p>
    <w:p w14:paraId="4BA9D81B"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rematrícula dos alunos de um ano letivo para o ano letivo seguinte.</w:t>
      </w:r>
    </w:p>
    <w:p w14:paraId="4DD451A9"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definição das informações de origem e destino do processo de rematrícula.</w:t>
      </w:r>
    </w:p>
    <w:p w14:paraId="654D8FAB"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a rematrícula dos alunos de forma coletiva ou de forma individual. Em caso de erro na rematrícula informar o motivo da pendência e permitir que o usuário tente realizar novamente a operação.</w:t>
      </w:r>
    </w:p>
    <w:p w14:paraId="6B8D73B4"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a unidade escolar através de configuração somente matricule alunos da fila de espera, previamente encaminhados.</w:t>
      </w:r>
    </w:p>
    <w:p w14:paraId="2C9C9F67"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comprovante de matrícula e enturmação do aluno, contendo no mínimo o nome do aluno, estabelecimento de ensino, dados da turma, curso.</w:t>
      </w:r>
    </w:p>
    <w:p w14:paraId="0F9BF22F"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processo de avanço ou aceleração.</w:t>
      </w:r>
    </w:p>
    <w:p w14:paraId="6CA6BEA7"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remanejamento de alunos de uma turma para outra turma da mesma etapa de ensino dentro do mesmo estabelecimento de ensino e ano letivo, além de informar o motivo do remanejamento.</w:t>
      </w:r>
    </w:p>
    <w:p w14:paraId="53ECF4BE"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processo de transferência de matrícula.</w:t>
      </w:r>
    </w:p>
    <w:p w14:paraId="44760267"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processo de garantia de continuidade de estudos.</w:t>
      </w:r>
    </w:p>
    <w:p w14:paraId="7E46FA0A"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gerenciamento dos diários de classe, registrando por parte do professor o conteúdo ministrado nas aulas, informando o plano de aula de origem, a data da aula, o tema e as observações do professor para o registro.</w:t>
      </w:r>
    </w:p>
    <w:p w14:paraId="03F33C8F"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da frequência escolar dos alunos da rede de ensino.</w:t>
      </w:r>
    </w:p>
    <w:p w14:paraId="2566F538"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 frequência escolar, por data ou por período de aula, de acordo com a configuração pré-definida no sistema de avaliação definido para a matriz curricular e etapa escolar da turma.</w:t>
      </w:r>
    </w:p>
    <w:p w14:paraId="79DA32D1"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abono ou justificativa das ausências dos alunos da rede de ensino, em um determinado período do ano letivo.</w:t>
      </w:r>
    </w:p>
    <w:p w14:paraId="42DC7516"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da dispensa da frequência escolar.</w:t>
      </w:r>
    </w:p>
    <w:p w14:paraId="1E849BE5"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as avaliações no diário de classe, integrando com o planejamento do professor, informando no mínimo o título, descrição, sigla e data da avaliação. Permitir registrar o conteúdo e os critérios de avaliação.</w:t>
      </w:r>
    </w:p>
    <w:p w14:paraId="605D5DEE"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do desempenho escolar dos alunos de acordo com a forma de avaliação definido para cada área de conhecimento e/ou componente curricular da turma nos</w:t>
      </w:r>
    </w:p>
    <w:p w14:paraId="78E96712"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seus respectivos períodos avaliativos.</w:t>
      </w:r>
    </w:p>
    <w:p w14:paraId="2D242828"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desempenho de alunos portadores de necessidades especiais (PNE's) de maneira diferenciada.</w:t>
      </w:r>
    </w:p>
    <w:p w14:paraId="5F2561DE"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as observações disciplinares dos alunos, de forma individual ou coletiva durante o período letivo, informando a matrícula do aluno, o tipo de observação, uma descrição e a data da ocorrência. Permitir se a observação será publicada para o responsável do aluno e também se é necessário realizar acompanhamento para o aluno.</w:t>
      </w:r>
    </w:p>
    <w:p w14:paraId="38286B99"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o gerenciamento dos conselhos de classe pela equipe pedagógica e secretaria escolar, registrando a data e hora e participantes do conselho de classe. Permitir a impressão da ata do conselho de classe.</w:t>
      </w:r>
    </w:p>
    <w:p w14:paraId="01B4A048"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fechamento dos módulos letivos, permitindo informar o conceito, parecer, menção ou calculando as médias de cada módulo quando a forma de avaliação for nota.</w:t>
      </w:r>
    </w:p>
    <w:p w14:paraId="09759984"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fechamento anual dos módulos letivos, permitindo informar o conceito, parecer ou a menção para cada aluno.</w:t>
      </w:r>
    </w:p>
    <w:p w14:paraId="7F8F08A3"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realizar o fechamento das avaliações, onde o sistema verifica e vincula um resultado final para cada matrícula.</w:t>
      </w:r>
    </w:p>
    <w:p w14:paraId="2D4B4214"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do desempenho dos alunos somente após o início do período letivo. E bloquear o lançamento das informações se as turmas estiverem concluídas.</w:t>
      </w:r>
    </w:p>
    <w:p w14:paraId="3B32C0F9"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do desempenho do exame final dos alunos.</w:t>
      </w:r>
    </w:p>
    <w:p w14:paraId="2521E3C7"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avaliação por conselho de classe para os alunos, definindo a aprovação ou reprovação do aluno avaliado por conselho de classe.</w:t>
      </w:r>
    </w:p>
    <w:p w14:paraId="202C2289"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realização do cálculo de médias e exames dos alunos da rede de ensino.</w:t>
      </w:r>
    </w:p>
    <w:p w14:paraId="5835A20F"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as atas dos resultados finais dos alunos ao término do período letivo, registrando a situação final após o processo de fechamento das médias e frequência do aluno.</w:t>
      </w:r>
    </w:p>
    <w:p w14:paraId="1C96ED72"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fechamento dos períodos avaliativos abertos, realizando a consistência de todas as informações incorretas nas matrículas efetuadas, como exemplos: notas em aberto e falta do registro de frequência.</w:t>
      </w:r>
    </w:p>
    <w:p w14:paraId="651FF9A4"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cadastramento e manutenção de convenções.</w:t>
      </w:r>
    </w:p>
    <w:p w14:paraId="16B8F082"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cadastramento do histórico escolar dos alunos.</w:t>
      </w:r>
    </w:p>
    <w:p w14:paraId="4FEF5C3B"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gerenciamento dos históricos escolares, informando no mínimo a modalidade de ensino, curso, etapa escolar, ano de conclusão, frequência anual, e resultado final do histórico. Incluir os componentes curriculares e resultados de cada componente do histórico.</w:t>
      </w:r>
    </w:p>
    <w:p w14:paraId="2CB21555"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informações referentes aos uniformes escolares, informando o tipo e o tamanho para cada aluno matriculado.</w:t>
      </w:r>
    </w:p>
    <w:p w14:paraId="46E925CF"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consulta do histórico de inclusões, alterações e movimentações de cada matrícula do aluno.</w:t>
      </w:r>
    </w:p>
    <w:p w14:paraId="795C5E6C"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ficha de frequência contendo as informações da frequência do aluno, permitindo filtrar por ano letivo e turma.</w:t>
      </w:r>
    </w:p>
    <w:p w14:paraId="679F4879"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percentual de frequência contendo as informações da frequência do aluno, permitindo filtrar por ano letivo, curso, etapa escolar, turno, turma e matrícula.</w:t>
      </w:r>
    </w:p>
    <w:p w14:paraId="64AC31E1"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atestado de vaga permitindo informar o aluno, curso, etapa escolar, turno validade do atestado e o assinante.</w:t>
      </w:r>
    </w:p>
    <w:p w14:paraId="3D028278"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atestado de frequência permitindo informar a matrícula, validade do atestado e o assinante.</w:t>
      </w:r>
    </w:p>
    <w:p w14:paraId="2454077E"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aniversariantes, informando no mínimo o nome do aluno, data de nascimento e informações da matrícula.</w:t>
      </w:r>
    </w:p>
    <w:p w14:paraId="46B034B4"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da frequência mensal dos alunos para o programa sociais.</w:t>
      </w:r>
    </w:p>
    <w:p w14:paraId="70E2C59D"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profissional da educação ou da unidade escolar, a emissão do boletim escolar dos alunos, conforme modelos a serem disponibilizados pelo sistema.</w:t>
      </w:r>
    </w:p>
    <w:p w14:paraId="46C40B46"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emissão do histórico escolar por etapa e modalidade, contendo os dados do aluno, as médias e frequências dos registros das etapas escolares.</w:t>
      </w:r>
    </w:p>
    <w:p w14:paraId="69F1645A"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consultar histórico da matrícula do aluno em formato de linha do tempo, ilustrando as movimentações realizadas na matrícula.</w:t>
      </w:r>
    </w:p>
    <w:p w14:paraId="6CA3CE6C"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emissão de guia de transferência de matrícula.</w:t>
      </w:r>
    </w:p>
    <w:p w14:paraId="6332FD7E" w14:textId="77777777" w:rsidR="00B307DB" w:rsidRPr="00680B5B" w:rsidRDefault="00B307DB" w:rsidP="009A49E6">
      <w:pPr>
        <w:numPr>
          <w:ilvl w:val="0"/>
          <w:numId w:val="336"/>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relatório de ficha de desempenho dos alunos.</w:t>
      </w:r>
    </w:p>
    <w:p w14:paraId="3633B925" w14:textId="77777777" w:rsidR="00B307DB" w:rsidRPr="00680B5B" w:rsidRDefault="00B307DB" w:rsidP="00B307DB">
      <w:pPr>
        <w:pStyle w:val="PargrafodaLista"/>
        <w:widowControl w:val="0"/>
        <w:spacing w:after="0" w:line="240" w:lineRule="auto"/>
        <w:ind w:left="426" w:right="-568"/>
        <w:jc w:val="both"/>
        <w:rPr>
          <w:rFonts w:ascii="Times New Roman" w:hAnsi="Times New Roman" w:cs="Times New Roman"/>
          <w:b/>
        </w:rPr>
      </w:pPr>
    </w:p>
    <w:p w14:paraId="79528945"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3.34 CENSO ESCOLAR</w:t>
      </w:r>
    </w:p>
    <w:p w14:paraId="6E690B2F" w14:textId="77777777" w:rsidR="00B307DB" w:rsidRPr="00680B5B" w:rsidRDefault="00B307DB" w:rsidP="009A49E6">
      <w:pPr>
        <w:numPr>
          <w:ilvl w:val="0"/>
          <w:numId w:val="337"/>
        </w:numPr>
        <w:tabs>
          <w:tab w:val="clear" w:pos="720"/>
          <w:tab w:val="left" w:pos="426"/>
          <w:tab w:val="num" w:pos="851"/>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caracterização das unidades escolares, como localização/zona, localização diferenciada, projeto político pedagógico atualizado (PPP), etc.</w:t>
      </w:r>
    </w:p>
    <w:p w14:paraId="4EDEF24D"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funcionamento das unidades escolares, como local de funcionamento, forma de ocupação e compartilhamento.</w:t>
      </w:r>
    </w:p>
    <w:p w14:paraId="5A0240EC"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da estrutura física das unidades escolares, como abastecimento de água, fornecimento de energia elétrica, destino do lixo, etc.</w:t>
      </w:r>
    </w:p>
    <w:p w14:paraId="23818C7B"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informar os dados de equipamentos e recursos das unidades escolares, como acesso à internet, banda larga, equipamentos existentes na escola para uso técnico e administrativo, etc.</w:t>
      </w:r>
    </w:p>
    <w:p w14:paraId="3BF70FFE"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materiais e instrumentos pedagógicos das unidades escolares.</w:t>
      </w:r>
    </w:p>
    <w:p w14:paraId="102D5DCA"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áreas de atividades complementares de acordo com os padrões do MEC/INEP utilizados na gestão das turmas de atividades complementares, como Cultura, Artes e Educação Patrimonial, Esporte e Lazer, Acompanhamento Pedagógico, etc.</w:t>
      </w:r>
    </w:p>
    <w:p w14:paraId="3773D20B"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subáreas das atividades complementares de acordo com os padrões do MEC/INEP como Música, Manifestações Culturais Regionais, Acompanhamento Pedagógico, Promoção da Saúde, etc.</w:t>
      </w:r>
    </w:p>
    <w:p w14:paraId="714DCAA8"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atividades complementares de acordo com os padrões do MEC/INEP com base no Quadro 04 – Tipo de Atividade Complementar por Categoria/Área do caderno de instruções do censo escolar, como Iniciação Musical, Robótica Educacional, Futebol, Português, Matemática, etc.</w:t>
      </w:r>
    </w:p>
    <w:p w14:paraId="506486FE"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dos tipos de atendimento escolar com base no caderno de instruções do censo escolar, como Classe hospitalar, Unidade de atendimento socioeducativo, Unidade prisional, Atendimento Educacional Especializado, Atividade Complementar, Escolarização, etc.</w:t>
      </w:r>
    </w:p>
    <w:p w14:paraId="3B9B90C5"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dos tipos de atendimento especializado de acordo com os padrões do MEC/INEP, como Ensino do Sistema Braille, Ensino do Uso de Recursos Ópticos e não Ópticos, Desenvolvimento de vida autônoma, etc, e permiter incluir outros tipos de atendimento especializado a critério da rede de ensino.</w:t>
      </w:r>
    </w:p>
    <w:p w14:paraId="5A0DAEE1"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dos tipos de dependências físicas de ambientes com base no caderno de instruções do censo escolar, como, por exemplo, almoxarifado, cozinha, biblioteca, laboratório de informática, etc.</w:t>
      </w:r>
    </w:p>
    <w:p w14:paraId="59FADB5B"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dos órgãos regionais de ensino organizados por estados conforme as tabelas auxiliares do censo escolar.</w:t>
      </w:r>
    </w:p>
    <w:p w14:paraId="07BE284D"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os registros padrões das tabelas auxiliares utilizadas na exportação do censo escolar, como línguas indígenas, etapas escolares e instrumentos pedagógicos.</w:t>
      </w:r>
    </w:p>
    <w:p w14:paraId="251CB737"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os Layouts de Importação e Exportação do Educacenso para cada ano de ocorrência do censo escolar conforme o processa da matrícula inicial e da situação do aluno.</w:t>
      </w:r>
    </w:p>
    <w:p w14:paraId="59AD7705"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funcionalidade para apresentar as inconsistências conforme o layout do censo escolar. Além de apontar a inconsistência o sistema deve permitir a ação de correção dos registros apontados.</w:t>
      </w:r>
    </w:p>
    <w:p w14:paraId="6EBBE3F0"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funcionalidade para apresentar os registros que não serão considerados na exportação dos arquivos para o censo escolar.</w:t>
      </w:r>
    </w:p>
    <w:p w14:paraId="39246852" w14:textId="77777777" w:rsidR="00B307DB" w:rsidRPr="00680B5B" w:rsidRDefault="00B307DB" w:rsidP="009A49E6">
      <w:pPr>
        <w:numPr>
          <w:ilvl w:val="0"/>
          <w:numId w:val="337"/>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gerar os arquivos de migração de todas as etapas do Educacenso conforme layouts definidos pelo Instituto Nacional de Estudos e Pesquisas Educacionais Anísio Teixeira (INEP).</w:t>
      </w:r>
    </w:p>
    <w:p w14:paraId="44C2EEA0" w14:textId="77777777" w:rsidR="00B307DB" w:rsidRPr="00680B5B" w:rsidRDefault="00B307DB" w:rsidP="00B307DB">
      <w:pPr>
        <w:spacing w:after="0" w:line="240" w:lineRule="auto"/>
        <w:ind w:right="-568"/>
        <w:jc w:val="both"/>
        <w:rPr>
          <w:rFonts w:ascii="Times New Roman" w:hAnsi="Times New Roman" w:cs="Times New Roman"/>
          <w:b/>
          <w:bCs/>
        </w:rPr>
      </w:pPr>
    </w:p>
    <w:p w14:paraId="05494BFE"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3.35 TRANSPORTE ESCOLAR</w:t>
      </w:r>
    </w:p>
    <w:p w14:paraId="67F4F6E9" w14:textId="77777777" w:rsidR="00B307DB" w:rsidRPr="00680B5B" w:rsidRDefault="00B307DB" w:rsidP="009A49E6">
      <w:pPr>
        <w:numPr>
          <w:ilvl w:val="0"/>
          <w:numId w:val="338"/>
        </w:numPr>
        <w:tabs>
          <w:tab w:val="clear" w:pos="720"/>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veículos, informando dados de tipo, marca, modelo, descrição, ano de fabricação e modelo, cor e renavam.</w:t>
      </w:r>
    </w:p>
    <w:p w14:paraId="3BB125DB" w14:textId="77777777" w:rsidR="00B307DB" w:rsidRPr="00680B5B" w:rsidRDefault="00B307DB" w:rsidP="009A49E6">
      <w:pPr>
        <w:numPr>
          <w:ilvl w:val="0"/>
          <w:numId w:val="338"/>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motoristas.</w:t>
      </w:r>
    </w:p>
    <w:p w14:paraId="16061AE7" w14:textId="77777777" w:rsidR="00B307DB" w:rsidRPr="00680B5B" w:rsidRDefault="00B307DB" w:rsidP="009A49E6">
      <w:pPr>
        <w:numPr>
          <w:ilvl w:val="0"/>
          <w:numId w:val="338"/>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dados de renovação da CNH dos motoristas.</w:t>
      </w:r>
    </w:p>
    <w:p w14:paraId="0342C951" w14:textId="77777777" w:rsidR="00B307DB" w:rsidRPr="00680B5B" w:rsidRDefault="00B307DB" w:rsidP="009A49E6">
      <w:pPr>
        <w:numPr>
          <w:ilvl w:val="0"/>
          <w:numId w:val="338"/>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os cursos dos motoristas.</w:t>
      </w:r>
    </w:p>
    <w:p w14:paraId="3431E126" w14:textId="77777777" w:rsidR="00B307DB" w:rsidRPr="00680B5B" w:rsidRDefault="00B307DB" w:rsidP="009A49E6">
      <w:pPr>
        <w:numPr>
          <w:ilvl w:val="0"/>
          <w:numId w:val="338"/>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o cadastro das rotas, informando os locais de parada. </w:t>
      </w:r>
    </w:p>
    <w:p w14:paraId="78973589" w14:textId="77777777" w:rsidR="00B307DB" w:rsidRPr="00680B5B" w:rsidRDefault="00B307DB" w:rsidP="009A49E6">
      <w:pPr>
        <w:numPr>
          <w:ilvl w:val="0"/>
          <w:numId w:val="338"/>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visualizar os pontos das rotas em formato de mapa, apresentando os pontos que foram previamente cadastrados.</w:t>
      </w:r>
    </w:p>
    <w:p w14:paraId="5BEDCB98" w14:textId="77777777" w:rsidR="00B307DB" w:rsidRPr="00680B5B" w:rsidRDefault="00B307DB" w:rsidP="009A49E6">
      <w:pPr>
        <w:numPr>
          <w:ilvl w:val="0"/>
          <w:numId w:val="338"/>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gerenciar as viagens do transporte escolar, que corresponde ao agendamento da recorrência em que a rota é realizada.</w:t>
      </w:r>
    </w:p>
    <w:p w14:paraId="4CA865C0" w14:textId="77777777" w:rsidR="00B307DB" w:rsidRPr="00680B5B" w:rsidRDefault="00B307DB" w:rsidP="009A49E6">
      <w:pPr>
        <w:numPr>
          <w:ilvl w:val="0"/>
          <w:numId w:val="338"/>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de fornecedores.</w:t>
      </w:r>
    </w:p>
    <w:p w14:paraId="7354674A" w14:textId="77777777" w:rsidR="00B307DB" w:rsidRPr="00680B5B" w:rsidRDefault="00B307DB" w:rsidP="009A49E6">
      <w:pPr>
        <w:numPr>
          <w:ilvl w:val="0"/>
          <w:numId w:val="338"/>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gerenciamento das solicitações de transporte escolar realizadas pelos usuários do transporte. A funcionalidade deve permitir a autorização ou cancelamento da solicitação.</w:t>
      </w:r>
    </w:p>
    <w:p w14:paraId="080B7B58" w14:textId="77777777" w:rsidR="00B307DB" w:rsidRPr="00680B5B" w:rsidRDefault="00B307DB" w:rsidP="00B307DB">
      <w:pPr>
        <w:spacing w:after="0" w:line="240" w:lineRule="auto"/>
        <w:ind w:left="720" w:right="-568"/>
        <w:jc w:val="both"/>
        <w:rPr>
          <w:rFonts w:ascii="Times New Roman" w:hAnsi="Times New Roman" w:cs="Times New Roman"/>
        </w:rPr>
      </w:pPr>
    </w:p>
    <w:p w14:paraId="3B87A361"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3.36 GESTÃO DO PROFESSOR</w:t>
      </w:r>
    </w:p>
    <w:p w14:paraId="5D9393DB" w14:textId="77777777" w:rsidR="00B307DB" w:rsidRPr="00680B5B" w:rsidRDefault="00B307DB" w:rsidP="009A49E6">
      <w:pPr>
        <w:numPr>
          <w:ilvl w:val="0"/>
          <w:numId w:val="339"/>
        </w:numPr>
        <w:tabs>
          <w:tab w:val="clear" w:pos="720"/>
          <w:tab w:val="left" w:pos="284"/>
          <w:tab w:val="num" w:pos="993"/>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professor deve realizar o acesso ao sistema com perfil específico de forma que, em hipótese alguma, possa acessar funções administrativas do sistema ou que possa acessar dados de outros professores.</w:t>
      </w:r>
    </w:p>
    <w:p w14:paraId="019C2DAD"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acesso rápido entre mais de uma unidade escolar.</w:t>
      </w:r>
    </w:p>
    <w:p w14:paraId="5F90F5A6"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pesquisa os diários de classe.</w:t>
      </w:r>
    </w:p>
    <w:p w14:paraId="572CDD29"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realização dos planejamentos dos componentes curriculares que o professor leciona, permitindo a atualização dos planos de ensino e inclusão dos planos de aula.</w:t>
      </w:r>
    </w:p>
    <w:p w14:paraId="6F2D5CDC"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anexo de arquivos e documentos nos planos de aula.</w:t>
      </w:r>
    </w:p>
    <w:p w14:paraId="3A506480"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da frequência diária dos alunos, permitindo justificar a falta de um aluno.</w:t>
      </w:r>
    </w:p>
    <w:p w14:paraId="392C50A7"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de conteúdos diários para os componentes de uma turma, realizando o lançamento para cada data letiva, permitindo relacionar os planejamentos.</w:t>
      </w:r>
    </w:p>
    <w:p w14:paraId="741EDB73"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das avaliações informando pelo menos o título ou descrição e a data de aplicação.</w:t>
      </w:r>
    </w:p>
    <w:p w14:paraId="5ED5C13D"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dos desempenhos das avaliações para os alunos.</w:t>
      </w:r>
    </w:p>
    <w:p w14:paraId="496321BE"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das observações dos alunos.</w:t>
      </w:r>
    </w:p>
    <w:p w14:paraId="7B125507"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pareceres para os alunos da rede de ensino, em cada componente curricular da matrícula e em seus respectivos períodos avaliativos.</w:t>
      </w:r>
    </w:p>
    <w:p w14:paraId="0954FA0A"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matrículas dos alunos relacionados às turmas que o professor leciona.</w:t>
      </w:r>
    </w:p>
    <w:p w14:paraId="1C08F4ED"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consultar se o professor possui alguma pendência relacionada às frequências, desempenhos ou fechamentos de notas nos módulos letivos (bimestres, trimestres, semestres, etc.).</w:t>
      </w:r>
    </w:p>
    <w:p w14:paraId="1EA8F0C8"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realização dos fechamentos dos módulos letivos (bimestres, trimestres, semestres, etc.), gerando os cálculos de frequência ou média dos desempenhos. Caso a turma esteja configurada com a forma de avaliação diferente de nota, então o sistema deve permitir o lançamento dos pareceres, conceitos ou menções para cada módulo letivo.</w:t>
      </w:r>
    </w:p>
    <w:p w14:paraId="5229E379"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visualização da agenda do professor.</w:t>
      </w:r>
    </w:p>
    <w:p w14:paraId="2C08895A"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a ficha de frequência.</w:t>
      </w:r>
    </w:p>
    <w:p w14:paraId="5E8A06DA"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o boletim do professor, apresentando as informações de desempenho dos alunos.</w:t>
      </w:r>
    </w:p>
    <w:p w14:paraId="7035CC22"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o diário de classe, filtrando por módulo letivo.</w:t>
      </w:r>
    </w:p>
    <w:p w14:paraId="5AE5269E"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as observações ou ocorrências do aluno.</w:t>
      </w:r>
    </w:p>
    <w:p w14:paraId="24075564"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os dados do controle antropométrico dos alunos, permitindo filtrar por unidade escolar, turma ou aluno.</w:t>
      </w:r>
    </w:p>
    <w:p w14:paraId="48639693"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Emitir lista de alunos aniversariantes, permitindo filtrar por turma e por mês.</w:t>
      </w:r>
    </w:p>
    <w:p w14:paraId="2F94568D" w14:textId="77777777" w:rsidR="00B307DB" w:rsidRPr="00680B5B" w:rsidRDefault="00B307DB" w:rsidP="009A49E6">
      <w:pPr>
        <w:numPr>
          <w:ilvl w:val="0"/>
          <w:numId w:val="339"/>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funcionalidade para prever casos de evasão escolar, apresentando as informações das turmas do professor.</w:t>
      </w:r>
    </w:p>
    <w:p w14:paraId="68C92E32" w14:textId="77777777" w:rsidR="00B307DB" w:rsidRPr="00680B5B" w:rsidRDefault="00B307DB" w:rsidP="00B307DB">
      <w:pPr>
        <w:spacing w:after="0" w:line="240" w:lineRule="auto"/>
        <w:ind w:left="720" w:right="-568"/>
        <w:jc w:val="both"/>
        <w:rPr>
          <w:rFonts w:ascii="Times New Roman" w:hAnsi="Times New Roman" w:cs="Times New Roman"/>
        </w:rPr>
      </w:pPr>
    </w:p>
    <w:p w14:paraId="08FE1F3E"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3.37 APP – PROFESSOR</w:t>
      </w:r>
    </w:p>
    <w:p w14:paraId="1801304B" w14:textId="77777777" w:rsidR="00B307DB" w:rsidRPr="00680B5B" w:rsidRDefault="00B307DB" w:rsidP="009A49E6">
      <w:pPr>
        <w:numPr>
          <w:ilvl w:val="0"/>
          <w:numId w:val="340"/>
        </w:numPr>
        <w:tabs>
          <w:tab w:val="clear" w:pos="720"/>
          <w:tab w:val="left" w:pos="284"/>
          <w:tab w:val="num" w:pos="993"/>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professor deve realizar o acesso ao sistema com perfil específico de forma que, em hipótese alguma, possa acessar dados de outros professores.</w:t>
      </w:r>
    </w:p>
    <w:p w14:paraId="00A66B84" w14:textId="77777777" w:rsidR="00B307DB" w:rsidRPr="00680B5B" w:rsidRDefault="00B307DB" w:rsidP="009A49E6">
      <w:pPr>
        <w:numPr>
          <w:ilvl w:val="0"/>
          <w:numId w:val="340"/>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acesso rápido entre mais de uma unidade escolar.</w:t>
      </w:r>
    </w:p>
    <w:p w14:paraId="0B775842" w14:textId="77777777" w:rsidR="00B307DB" w:rsidRPr="00680B5B" w:rsidRDefault="00B307DB" w:rsidP="009A49E6">
      <w:pPr>
        <w:numPr>
          <w:ilvl w:val="0"/>
          <w:numId w:val="340"/>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pesquisar os diários de classe.</w:t>
      </w:r>
    </w:p>
    <w:p w14:paraId="7C81A362" w14:textId="77777777" w:rsidR="00B307DB" w:rsidRPr="00680B5B" w:rsidRDefault="00B307DB" w:rsidP="009A49E6">
      <w:pPr>
        <w:numPr>
          <w:ilvl w:val="0"/>
          <w:numId w:val="340"/>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da frequência diária dos alunos, permitindo justificar a falta de um aluno.</w:t>
      </w:r>
    </w:p>
    <w:p w14:paraId="1465CFEB" w14:textId="77777777" w:rsidR="00B307DB" w:rsidRPr="00680B5B" w:rsidRDefault="00B307DB" w:rsidP="009A49E6">
      <w:pPr>
        <w:numPr>
          <w:ilvl w:val="0"/>
          <w:numId w:val="340"/>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de conteúdos diários para os componentes de uma turma, realizando o lançamento para cada data letiva, permitindo relacionar os planejamentos.</w:t>
      </w:r>
    </w:p>
    <w:p w14:paraId="20E6160E" w14:textId="77777777" w:rsidR="00B307DB" w:rsidRPr="00680B5B" w:rsidRDefault="00B307DB" w:rsidP="009A49E6">
      <w:pPr>
        <w:numPr>
          <w:ilvl w:val="0"/>
          <w:numId w:val="340"/>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das avaliações informando pelo menos o título ou descrição e a data de aplicação.</w:t>
      </w:r>
    </w:p>
    <w:p w14:paraId="35E8ECF4" w14:textId="77777777" w:rsidR="00B307DB" w:rsidRPr="00680B5B" w:rsidRDefault="00B307DB" w:rsidP="009A49E6">
      <w:pPr>
        <w:numPr>
          <w:ilvl w:val="0"/>
          <w:numId w:val="340"/>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dos desempenhos das avaliações para os alunos.</w:t>
      </w:r>
    </w:p>
    <w:p w14:paraId="43D72CA0" w14:textId="77777777" w:rsidR="00B307DB" w:rsidRPr="00680B5B" w:rsidRDefault="00B307DB" w:rsidP="009A49E6">
      <w:pPr>
        <w:numPr>
          <w:ilvl w:val="0"/>
          <w:numId w:val="340"/>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lançamento das observações dos alunos.</w:t>
      </w:r>
    </w:p>
    <w:p w14:paraId="30D7C3C1" w14:textId="77777777" w:rsidR="00B307DB" w:rsidRPr="00680B5B" w:rsidRDefault="00B307DB" w:rsidP="009A49E6">
      <w:pPr>
        <w:numPr>
          <w:ilvl w:val="0"/>
          <w:numId w:val="340"/>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consulta das matrículas dos alunos relacionados às turmas e estruturas que o professor leciona.</w:t>
      </w:r>
    </w:p>
    <w:p w14:paraId="607D7D7B" w14:textId="77777777" w:rsidR="00B307DB" w:rsidRPr="00680B5B" w:rsidRDefault="00B307DB" w:rsidP="00B307DB">
      <w:pPr>
        <w:spacing w:after="0" w:line="240" w:lineRule="auto"/>
        <w:ind w:right="-568"/>
        <w:jc w:val="both"/>
        <w:rPr>
          <w:rFonts w:ascii="Times New Roman" w:hAnsi="Times New Roman" w:cs="Times New Roman"/>
        </w:rPr>
      </w:pPr>
    </w:p>
    <w:p w14:paraId="4943C4A1"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3.38 GESTÃO DA SAUDE</w:t>
      </w:r>
    </w:p>
    <w:p w14:paraId="47DB3260" w14:textId="77777777" w:rsidR="00B307DB" w:rsidRPr="00680B5B" w:rsidRDefault="00B307DB" w:rsidP="009A49E6">
      <w:pPr>
        <w:numPr>
          <w:ilvl w:val="0"/>
          <w:numId w:val="341"/>
        </w:numPr>
        <w:tabs>
          <w:tab w:val="clear" w:pos="720"/>
          <w:tab w:val="left" w:pos="284"/>
          <w:tab w:val="num" w:pos="993"/>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o cadastro de pessoas no padrão do e-SUS, contendo minimamente as informações de nome, data de nascimento, sexo, número do cartão nacional de saúde, raça/cor.</w:t>
      </w:r>
    </w:p>
    <w:p w14:paraId="3F285734"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cadastro de pessoas também deverá obrigar as informações relacionadas à filiação, contendo nome da mãe e nome do pai, permitindo informar o desconhecimento de cada um destes. </w:t>
      </w:r>
    </w:p>
    <w:p w14:paraId="09A646ED"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cadastro de pessoas no sistema deverá permitir informar os dados de endereço, informando minimamente o cep, o município, o tipo e o logradouro, o bairro e o número. </w:t>
      </w:r>
    </w:p>
    <w:p w14:paraId="4AFBAE31"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informar o complemento do endereço, permitindo definir se este será obrigatório ou não.</w:t>
      </w:r>
    </w:p>
    <w:p w14:paraId="34565B34"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possuir configuração que permita a remoção automática da acentuação dos cadastros, organizando assim os dados para exportação das fichas para o e-SUS.</w:t>
      </w:r>
    </w:p>
    <w:p w14:paraId="6FF5A5B7"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O sistema deve permitir informar os dados de contato da pessoa, sendo minimamente os dados de telefone, conforme exigência do e-sus, assim como os dados de celular e e-mail.</w:t>
      </w:r>
    </w:p>
    <w:p w14:paraId="3DE356CA"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possuir possibilidade de parametrizar a partir de que idade a informação relacionada ao CPF será obrigatória. </w:t>
      </w:r>
    </w:p>
    <w:p w14:paraId="55856038"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informar os horários para contato.</w:t>
      </w:r>
    </w:p>
    <w:p w14:paraId="78C92034"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permitir no cadastro de pessoa informar dados adicionais, como a unidade de saúde de referência, o tipo sanguíneo e fator RH, assim como a religião. </w:t>
      </w:r>
    </w:p>
    <w:p w14:paraId="56E55F41"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incluir as informações relacionadas à situação de trabalho, como a ocupação e o local de trabalho. </w:t>
      </w:r>
    </w:p>
    <w:p w14:paraId="38841DE6"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realizar pré-cadastro, garantindo que não seja obrigatório informar todos os campos solicitados pelo e-SUS. Após determinado período deverá ser obrigatória a atualização deste cadastro para que seja garantida a obrigatoriedade solicitada pelo Ministério da Saúde.</w:t>
      </w:r>
    </w:p>
    <w:p w14:paraId="3F7BDFDD"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permitir realizar a atualização cadastral. </w:t>
      </w:r>
    </w:p>
    <w:p w14:paraId="0E47FCED"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funcionalidade que permita definir a validade de um pré-cadastro.</w:t>
      </w:r>
    </w:p>
    <w:p w14:paraId="7ABEC931"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funcionalidade que permita definir a validade de um cadastro.</w:t>
      </w:r>
    </w:p>
    <w:p w14:paraId="04394661"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As parametrizações de período de validade dos cadastros deverão ser realizadas por unidade, de forma que seja possível manter cadastros desatualizados em atendimento em unidade de urgência e emergência, por exemplo.</w:t>
      </w:r>
    </w:p>
    <w:p w14:paraId="244DA82B"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permitir a consulta de pessoa pelos campos utilizados pela realizar o cadastro desta, sendo minimamente nome, CPF, número do cartão nacional de saúde, data de nascimento e sexo. </w:t>
      </w:r>
    </w:p>
    <w:p w14:paraId="5239448C"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registrar quando foi realizado contato telefônico com a pessoa.</w:t>
      </w:r>
    </w:p>
    <w:p w14:paraId="7A07A146"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permitir relacionar prontuários digitalizados no cadastro da pessoa, para caso exista algum prontuário que anteriormente era físico. </w:t>
      </w:r>
    </w:p>
    <w:p w14:paraId="11C2E249"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por meio do cadastro da pessoa realizar a verificação da carteira de vacinação, exibindo todos os imunobiológicos previamente aplicados.</w:t>
      </w:r>
    </w:p>
    <w:p w14:paraId="7C6FB4B3"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ser possível realizar a impressão da ficha cadastral da pessoa por meio do seu cadastro.</w:t>
      </w:r>
    </w:p>
    <w:p w14:paraId="64744158"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integração com a base nacional do CADSUS, permitindo a pesquisa pelo número do cartão nacional de saúde ou pelo CPF.</w:t>
      </w:r>
    </w:p>
    <w:p w14:paraId="5AFBB2CC"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possibilitar a pesquisa avançada a base nacional do CADSUS informando obrigatoriamente o nome da pessoa combinado com a data de nascimento. </w:t>
      </w:r>
    </w:p>
    <w:p w14:paraId="0507102F"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possibilitar realizar a impressão do cartão de saúde, utilizando o padrão nacional. Deve ser possível que o padrão seja alterado conforme a necessidade da contratante.</w:t>
      </w:r>
    </w:p>
    <w:p w14:paraId="7B0486E7"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inclusão de registro de falecimento por meio do cadastro da pessoa.</w:t>
      </w:r>
    </w:p>
    <w:p w14:paraId="77B85615"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permitir informar no registro de falecimento os dados relacionados ao registro do óbito, como a data de emissão e o município. </w:t>
      </w:r>
    </w:p>
    <w:p w14:paraId="75CB61BB" w14:textId="77777777" w:rsidR="00B307DB" w:rsidRPr="00680B5B" w:rsidRDefault="00B307DB" w:rsidP="009A49E6">
      <w:pPr>
        <w:numPr>
          <w:ilvl w:val="0"/>
          <w:numId w:val="341"/>
        </w:numPr>
        <w:tabs>
          <w:tab w:val="left" w:pos="284"/>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permitir no registro do falecimento informar as condições e/ou causas desse registro, como o motivo e CID. </w:t>
      </w:r>
    </w:p>
    <w:p w14:paraId="167137C0" w14:textId="77777777" w:rsidR="00B307DB" w:rsidRPr="00680B5B" w:rsidRDefault="00B307DB" w:rsidP="009A49E6">
      <w:pPr>
        <w:numPr>
          <w:ilvl w:val="0"/>
          <w:numId w:val="341"/>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alertar no momento do registro de falecimento caso a pessoa for a responsável legal por uma família no sistema, possibilitando que o registro da família seja alterado para o novo responsável legal.</w:t>
      </w:r>
    </w:p>
    <w:p w14:paraId="10747B1F"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o registro de todo histórico do cliente, sendo minimamente:</w:t>
      </w:r>
    </w:p>
    <w:p w14:paraId="5FA41AD8" w14:textId="77777777" w:rsidR="00B307DB" w:rsidRPr="00680B5B" w:rsidRDefault="00B307DB" w:rsidP="009A49E6">
      <w:pPr>
        <w:pStyle w:val="PargrafodaLista"/>
        <w:numPr>
          <w:ilvl w:val="0"/>
          <w:numId w:val="342"/>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dos atendimentos médicos.</w:t>
      </w:r>
    </w:p>
    <w:p w14:paraId="35A6AE5B" w14:textId="77777777" w:rsidR="00B307DB" w:rsidRPr="00680B5B" w:rsidRDefault="00B307DB" w:rsidP="009A49E6">
      <w:pPr>
        <w:pStyle w:val="PargrafodaLista"/>
        <w:numPr>
          <w:ilvl w:val="0"/>
          <w:numId w:val="342"/>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dos atendimentos odontológicos.</w:t>
      </w:r>
    </w:p>
    <w:p w14:paraId="567BA363" w14:textId="77777777" w:rsidR="00B307DB" w:rsidRPr="00680B5B" w:rsidRDefault="00B307DB" w:rsidP="009A49E6">
      <w:pPr>
        <w:pStyle w:val="PargrafodaLista"/>
        <w:numPr>
          <w:ilvl w:val="0"/>
          <w:numId w:val="342"/>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de todos os medicamentos já distribuídos ao paciente.</w:t>
      </w:r>
    </w:p>
    <w:p w14:paraId="6037EDFF" w14:textId="77777777" w:rsidR="00B307DB" w:rsidRPr="00680B5B" w:rsidRDefault="00B307DB" w:rsidP="009A49E6">
      <w:pPr>
        <w:pStyle w:val="PargrafodaLista"/>
        <w:numPr>
          <w:ilvl w:val="0"/>
          <w:numId w:val="342"/>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de todas as receitas prescritas pelo sistema.</w:t>
      </w:r>
    </w:p>
    <w:p w14:paraId="5CB23217" w14:textId="77777777" w:rsidR="00B307DB" w:rsidRPr="00680B5B" w:rsidRDefault="00B307DB" w:rsidP="009A49E6">
      <w:pPr>
        <w:pStyle w:val="PargrafodaLista"/>
        <w:numPr>
          <w:ilvl w:val="0"/>
          <w:numId w:val="342"/>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de todos os atendimentos de urgência e emergência.</w:t>
      </w:r>
    </w:p>
    <w:p w14:paraId="3B38901F" w14:textId="77777777" w:rsidR="00B307DB" w:rsidRPr="00680B5B" w:rsidRDefault="00B307DB" w:rsidP="009A49E6">
      <w:pPr>
        <w:pStyle w:val="PargrafodaLista"/>
        <w:numPr>
          <w:ilvl w:val="0"/>
          <w:numId w:val="342"/>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Visualização de todos os exames requisitados.</w:t>
      </w:r>
    </w:p>
    <w:p w14:paraId="03FDC118" w14:textId="77777777" w:rsidR="00B307DB" w:rsidRPr="00680B5B" w:rsidRDefault="00B307DB" w:rsidP="009A49E6">
      <w:pPr>
        <w:pStyle w:val="PargrafodaLista"/>
        <w:numPr>
          <w:ilvl w:val="0"/>
          <w:numId w:val="342"/>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Visualização de registros relacionados ao paciente que estejam em lista de espera, sejam estes de consultas, exames ou programas de saúde. </w:t>
      </w:r>
    </w:p>
    <w:p w14:paraId="38E5624D" w14:textId="77777777" w:rsidR="00B307DB" w:rsidRPr="00680B5B" w:rsidRDefault="00B307DB" w:rsidP="009A49E6">
      <w:pPr>
        <w:pStyle w:val="PargrafodaLista"/>
        <w:numPr>
          <w:ilvl w:val="0"/>
          <w:numId w:val="342"/>
        </w:numPr>
        <w:tabs>
          <w:tab w:val="left" w:pos="284"/>
        </w:tabs>
        <w:spacing w:after="0" w:line="240" w:lineRule="auto"/>
        <w:ind w:left="0" w:right="-568" w:firstLine="0"/>
        <w:contextualSpacing w:val="0"/>
        <w:jc w:val="both"/>
        <w:rPr>
          <w:rFonts w:ascii="Times New Roman" w:hAnsi="Times New Roman" w:cs="Times New Roman"/>
        </w:rPr>
      </w:pPr>
      <w:r w:rsidRPr="00680B5B">
        <w:rPr>
          <w:rFonts w:ascii="Times New Roman" w:hAnsi="Times New Roman" w:cs="Times New Roman"/>
        </w:rPr>
        <w:t xml:space="preserve">Visualização dos imunobiológicos aplicados. </w:t>
      </w:r>
    </w:p>
    <w:p w14:paraId="52F900BC" w14:textId="77777777" w:rsidR="00B307DB" w:rsidRPr="00680B5B" w:rsidRDefault="00B307DB" w:rsidP="009A49E6">
      <w:pPr>
        <w:numPr>
          <w:ilvl w:val="0"/>
          <w:numId w:val="341"/>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unificação dos cadastros de clientes em caso de duplicidade de registros.</w:t>
      </w:r>
    </w:p>
    <w:p w14:paraId="359E0131" w14:textId="77777777" w:rsidR="00B307DB" w:rsidRPr="00680B5B" w:rsidRDefault="00B307DB" w:rsidP="009A49E6">
      <w:pPr>
        <w:numPr>
          <w:ilvl w:val="0"/>
          <w:numId w:val="341"/>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o cadastro para registro do Cadastro Brasileiro de Ocupações (CBO).</w:t>
      </w:r>
    </w:p>
    <w:p w14:paraId="09A086ED" w14:textId="77777777" w:rsidR="00B307DB" w:rsidRPr="00680B5B" w:rsidRDefault="00B307DB" w:rsidP="009A49E6">
      <w:pPr>
        <w:numPr>
          <w:ilvl w:val="0"/>
          <w:numId w:val="341"/>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realizar a importação/atualização das unidades de saúde conforme o sistema CNES, por meio de arquivos na extensão .xml. </w:t>
      </w:r>
    </w:p>
    <w:p w14:paraId="6E64E891" w14:textId="77777777" w:rsidR="00B307DB" w:rsidRPr="00680B5B" w:rsidRDefault="00B307DB" w:rsidP="009A49E6">
      <w:pPr>
        <w:numPr>
          <w:ilvl w:val="0"/>
          <w:numId w:val="341"/>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Ao importar o arquivo do CNES, os cadastros de estabelecimentos de saúde, profissional e vínculo empregatício devem ser realizados. </w:t>
      </w:r>
    </w:p>
    <w:p w14:paraId="303B04E7"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Deverá permitir realizar o cadastro de mantenedoras, informando minimamente os dados relacionados à identificação, como nome, CNPJ, endereço, informar os dados bancários, as informações dos serviços de apoio e as caracterizações do estabelecimento.</w:t>
      </w:r>
    </w:p>
    <w:p w14:paraId="6337E011"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possibilitar o relacionamento de unidades de saúde com o objetivo de realizar o faturamento para o BNAFAR. </w:t>
      </w:r>
    </w:p>
    <w:p w14:paraId="719BD752"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permitir realizar o cadastro de horários de expediente relacionados ao profissional, de acordo com a unidade de saúde relacionada, informando minimamente o horário de entrada e de saída. </w:t>
      </w:r>
    </w:p>
    <w:p w14:paraId="02A05B41"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alertar ao profissional quando algum lançamento que poderá impactar no registro de produção for realizado fora do horário de expediente cadastrado. </w:t>
      </w:r>
    </w:p>
    <w:p w14:paraId="5CD986D5"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ser possível por meio do software realizar a criação/alteração dos vínculos empregatícios do profissional, informando minimamente a unidade de saúde, especialidade e carga horária. </w:t>
      </w:r>
    </w:p>
    <w:p w14:paraId="20167865"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o envio de notificações de forma automática, permitindo que estas sejam enviadas por e-mail e por push. </w:t>
      </w:r>
    </w:p>
    <w:p w14:paraId="19156B19"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que as notificações sejam enviadas de acordo com a operação realizada no sistema, sendo configurado por agendamento, transferência e cancelamento de consultas. </w:t>
      </w:r>
    </w:p>
    <w:p w14:paraId="65BA5E98"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realizar o envio de notificação para alertar a data próxima de realização de consulta ou exame, configurando a data de antecedência de envio. </w:t>
      </w:r>
    </w:p>
    <w:p w14:paraId="39CBD61E"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de agendamento e envio automático de notificações por E-mail, Push APP e SMS para pacientes das agendas de consultas médicas e procedimentos.</w:t>
      </w:r>
    </w:p>
    <w:p w14:paraId="5BE22220"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a personalização do assunto e conteúdo das mensagens de E-mail e SMS.</w:t>
      </w:r>
    </w:p>
    <w:p w14:paraId="0D440EAE"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relacionar eventos específicos para o envio automático de notificações aos pacientes, como agendamento, agendamento pela lista de espera, transferência e cancelamento.</w:t>
      </w:r>
    </w:p>
    <w:p w14:paraId="06F3CFA7"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disponibilizar funcionalidades que permitam a configuração dos critérios para o envio de notificações, como convênio, unidade e especialidade, tanto para consultas como para procedimentos.</w:t>
      </w:r>
    </w:p>
    <w:p w14:paraId="5271F41C"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a criação e relação de diversos critérios para os eventos de notificação, assim como a definição de critérios distintos para cada meio de envio (SMS, E-mail, Push APP).</w:t>
      </w:r>
    </w:p>
    <w:p w14:paraId="78AECA15"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configurar notificações para alertar a aproximação da data da consulta ou procedimento, com definição da antecedência desejada.</w:t>
      </w:r>
    </w:p>
    <w:p w14:paraId="648B87C1"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 cadastro do paciente, será possível habilitar ou desabilitar o envio de notificações por e-mail, celular ou ambos.</w:t>
      </w:r>
    </w:p>
    <w:p w14:paraId="57E3E854"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enviar notificações manuais (avulsas) pelo operador para o paciente, permitindo editar o assunto e o texto da mensagem, tanto por E-mail como por SMS.</w:t>
      </w:r>
    </w:p>
    <w:p w14:paraId="5D54C9F6"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um gerenciador de notificações que centralize todas as notificações enviadas aos pacientes, registrando detalhes como situação, data/hora de envio e processamento, identificação do paciente, modo de envio, assunto e texto da mensagem.</w:t>
      </w:r>
    </w:p>
    <w:p w14:paraId="18D4CE57"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Deverá permitir a inclusão de avisos, definindo os perfis de exibição desses. </w:t>
      </w:r>
    </w:p>
    <w:p w14:paraId="36FCAFA1"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incluir o título e texto dos avisos, possibilitando a inclusão de estilos como negrito e sublinhado no texto.</w:t>
      </w:r>
    </w:p>
    <w:p w14:paraId="16EA8D08"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Deverá permitir ao final do atendimento multiprofissional o envio de pesquisa de satisfação para a pessoa que foi atendida via e-mail ou SMS.</w:t>
      </w:r>
    </w:p>
    <w:p w14:paraId="3F3121B5"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painéis gráficos para monitorar a evolução de diversos indicadores de saúde ao longo dos anos, como dispensações de medicamentos, atendimentos farmacêuticos, consultas médicas e odontológicas.</w:t>
      </w:r>
    </w:p>
    <w:p w14:paraId="5AE6E043"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que permita a realização de uma análise detalhada dos agendamentos de consultas, incluindo evolução ao longo do tempo, faltosos, não atendidos e agendamentos por bairro.</w:t>
      </w:r>
    </w:p>
    <w:p w14:paraId="66365D6D"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painéis indicadores com dados sobre consultas na atenção básica e especializada, atendimentos domiciliares e visitas realizadas pelos Agentes Comunitários de Saúde (ACS).</w:t>
      </w:r>
    </w:p>
    <w:p w14:paraId="4EAB1ECD"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de apresentar mapas de doenças e agravantes relacionados aos pacientes do município e visitas realizadas pelos ACS.</w:t>
      </w:r>
    </w:p>
    <w:p w14:paraId="15C97026" w14:textId="77777777" w:rsidR="00B307DB" w:rsidRPr="00680B5B" w:rsidRDefault="00B307DB" w:rsidP="009A49E6">
      <w:pPr>
        <w:numPr>
          <w:ilvl w:val="0"/>
          <w:numId w:val="341"/>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de fornecer indicadores sobre procedimentos odontológicos, de enfermagem, exames solicitados e vacinas aplicadas.</w:t>
      </w:r>
    </w:p>
    <w:p w14:paraId="6BE014D4" w14:textId="77777777" w:rsidR="00B307DB" w:rsidRPr="00680B5B" w:rsidRDefault="00B307DB" w:rsidP="009A49E6">
      <w:pPr>
        <w:numPr>
          <w:ilvl w:val="0"/>
          <w:numId w:val="341"/>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Deverá existir a possibilidade de filtragem dos dados por unidade de saúde e impressão dos mesmos.</w:t>
      </w:r>
    </w:p>
    <w:p w14:paraId="0E8BFD9B" w14:textId="77777777" w:rsidR="00B307DB" w:rsidRPr="00680B5B" w:rsidRDefault="00B307DB" w:rsidP="009A49E6">
      <w:pPr>
        <w:numPr>
          <w:ilvl w:val="0"/>
          <w:numId w:val="341"/>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apresentar as informações necessárias para lançamento dos dados no sistema e consolidação dos indicadores.</w:t>
      </w:r>
    </w:p>
    <w:p w14:paraId="2B8CEF10" w14:textId="77777777" w:rsidR="00B307DB" w:rsidRPr="00680B5B" w:rsidRDefault="00B307DB" w:rsidP="009A49E6">
      <w:pPr>
        <w:numPr>
          <w:ilvl w:val="0"/>
          <w:numId w:val="341"/>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de realizar o tratamento de dados conforme configuração de quadrimestres de validação.</w:t>
      </w:r>
    </w:p>
    <w:p w14:paraId="58BC04CA" w14:textId="77777777" w:rsidR="00B307DB" w:rsidRPr="00680B5B" w:rsidRDefault="00B307DB" w:rsidP="009A49E6">
      <w:pPr>
        <w:numPr>
          <w:ilvl w:val="0"/>
          <w:numId w:val="341"/>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existir a funcionalidade para listagem das famílias relacionadas a cada unidade de saúde, com opção de filtragem por equipe de saúde, ACS e classe social.</w:t>
      </w:r>
    </w:p>
    <w:p w14:paraId="40109A44" w14:textId="77777777" w:rsidR="00B307DB" w:rsidRPr="00680B5B" w:rsidRDefault="00B307DB" w:rsidP="00B307DB">
      <w:pPr>
        <w:spacing w:after="0" w:line="240" w:lineRule="auto"/>
        <w:ind w:right="-568"/>
        <w:jc w:val="both"/>
        <w:rPr>
          <w:rFonts w:ascii="Times New Roman" w:hAnsi="Times New Roman" w:cs="Times New Roman"/>
        </w:rPr>
      </w:pPr>
    </w:p>
    <w:p w14:paraId="57FAF739" w14:textId="77777777" w:rsidR="00B307DB" w:rsidRPr="00680B5B" w:rsidRDefault="00B307DB" w:rsidP="00B307DB">
      <w:pPr>
        <w:spacing w:after="0" w:line="240" w:lineRule="auto"/>
        <w:ind w:right="-568"/>
        <w:jc w:val="both"/>
        <w:rPr>
          <w:rFonts w:ascii="Times New Roman" w:hAnsi="Times New Roman" w:cs="Times New Roman"/>
          <w:b/>
        </w:rPr>
      </w:pPr>
      <w:r w:rsidRPr="00680B5B">
        <w:rPr>
          <w:rFonts w:ascii="Times New Roman" w:hAnsi="Times New Roman" w:cs="Times New Roman"/>
          <w:b/>
        </w:rPr>
        <w:t>3.39 ATENÇÃO PRIMÁRIA</w:t>
      </w:r>
    </w:p>
    <w:p w14:paraId="51EB1B59"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o cadastro de famílias, contendo minimamente as informações do responsável, os dados relacionados ao endereço, as informações de abrangência de saúde da família como unidade de saúde e equipe, e os dados relacionados à classe social e tipo de família. </w:t>
      </w:r>
    </w:p>
    <w:p w14:paraId="438516C6"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possibilitar no cadastro de famílias, informar os dados relacionados aos integrantes dessa, informando a pessoa e o parentesco. </w:t>
      </w:r>
    </w:p>
    <w:p w14:paraId="63C783EB"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no cadastro de família, informar os dados relacionados às condições de saúde da família, como dados de gestação, uso excessivo de álcool, uso excessivo de drogas, deficiências e a necessidade de cuidados dos integrantes.</w:t>
      </w:r>
    </w:p>
    <w:p w14:paraId="781CADFA"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alertar no momento do registro de falecimento caso a pessoa for a responsável legal por uma família no sistema, possibilitando que o registro da família seja alterado para o novo responsável legal. </w:t>
      </w:r>
    </w:p>
    <w:p w14:paraId="7F4B4754"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o cadastro de famílias, contendo minimamente as informações do responsável, os dados relacionados ao endereço, as informações de abrangência de saúde da família como unidade de saúde e equipe, e os dados relacionados à classe social e tipo de família. </w:t>
      </w:r>
    </w:p>
    <w:p w14:paraId="05FC56EF"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possibilitar no cadastro de famílias, informar os dados relacionados aos integrantes dessa, informando a pessoa e o parentesco. </w:t>
      </w:r>
    </w:p>
    <w:p w14:paraId="3C9FB437"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no cadastro de família, informar os dados relacionados às condições de saúde da família, como dados de gestação, uso excessivo de álcool, uso excessivo de drogas, deficiências e a necessidade de cuidados dos integrantes.</w:t>
      </w:r>
    </w:p>
    <w:p w14:paraId="55D16DF5"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realizar o cadastro de domicílios, informando minimamente os dados que são apresentados na ficha de cadastro domiciliar e territorial do e-SUS.</w:t>
      </w:r>
    </w:p>
    <w:p w14:paraId="5E7430E2"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o relacionamento de famílias e domicílios, permitindo dessa forma que o território seja organizado entre as áreas e subáreas. </w:t>
      </w:r>
    </w:p>
    <w:p w14:paraId="2A8448FC"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definir um cliente como gestante através do atendimento, permitindo posteriormente o gerenciamento dos dados da gestação por meio de rotina de gerenciamento.  </w:t>
      </w:r>
    </w:p>
    <w:p w14:paraId="2FF0C131"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possuir funcionalidade de cálculo automático da data provável do parto e da idade gestacional.</w:t>
      </w:r>
    </w:p>
    <w:p w14:paraId="42303FE1"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no cadastro da gestante por meio do atendimento, informar minimamente os dados de data da última menstruação, data do ultrassom, peso, altura, tipo de gravidez, se existiu gravidez anterior e a data do último preventivo.</w:t>
      </w:r>
    </w:p>
    <w:p w14:paraId="500F74BA"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possuir controle para que durante o atendimento da gestante exista o relacionamento do CID/CIAP correspondente, garantindo assim a inclusão dessa pessoa nos indicadores do Previne Brasil. </w:t>
      </w:r>
    </w:p>
    <w:p w14:paraId="7BFDE32D"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o lançamento de informações relacionadas à gestação durante o atendimento, em blocos que sejam relacionados aos dados de primeiro, segundo ou terceiro trimestre. </w:t>
      </w:r>
    </w:p>
    <w:p w14:paraId="56012CDB"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lançar informações no atendimento relacionados à consulta puerperal, informando os dados relacionados ao parto, sendo minimamente a idade gestacional, o tipo de parte, o local, e as condições clínicas. </w:t>
      </w:r>
    </w:p>
    <w:p w14:paraId="0622C2FA"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informar na consulta puerperal se o desfecho da gestação foi do tipo aborto. </w:t>
      </w:r>
    </w:p>
    <w:p w14:paraId="7E9E9622"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realizar o desfecho administrativo da gestação, informando o motivo e a justificativa.</w:t>
      </w:r>
    </w:p>
    <w:p w14:paraId="24F281BA"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exibir em forma gráfica o I.M.C da gestante, apresentando o número de semanas da gestação.</w:t>
      </w:r>
    </w:p>
    <w:p w14:paraId="06677B4A"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conter indicativo no momento do atendimento informando se a paciente é gestante.</w:t>
      </w:r>
    </w:p>
    <w:p w14:paraId="4AF17AA2"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 xml:space="preserve">O sistema deve permitir em tela específica de gerenciamento, informar dados clínicos relacionados à hipertensão e diabetes, incluindo dados de pressão, glicemia, fatores de risco e a possível presença de complicações. </w:t>
      </w:r>
    </w:p>
    <w:p w14:paraId="2CFA6DE6"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Possibilitar a realização de acompanhamento de pessoas hipertensas durante o atendimento, com bloco específico de lançamento das informações relacionadas ao acompanhamento, como as intercorrências e os exames realizados.</w:t>
      </w:r>
    </w:p>
    <w:p w14:paraId="1E56CA40"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possuir controle para que durante o atendimento de pacientes hipertensos e/ou diabéticos exista o relacionamento do CID/CIAP correspondente, garantindo assim a inclusão dessa pessoa nos indicadores do Previne Brasil. </w:t>
      </w:r>
    </w:p>
    <w:p w14:paraId="0299CDD9"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conter indicativo no momento do atendimento informando se o paciente é hipertenso e/ou diabético.</w:t>
      </w:r>
    </w:p>
    <w:p w14:paraId="617AB414"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o cadastro de imunobiológicos, permitindo o relacionamento do imunobiológico conforme e-SUS/RNDS.</w:t>
      </w:r>
    </w:p>
    <w:p w14:paraId="3B5B5097"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a parametrização das cores a serem exibidas na carteira de vacinação de acordo com a situação da aplicação.</w:t>
      </w:r>
    </w:p>
    <w:p w14:paraId="392F7BDC"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conter funcionalidade que permita definir no cadastro do imunobiológico se o diluente será obrigatório. </w:t>
      </w:r>
    </w:p>
    <w:p w14:paraId="6DAF79F1"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o vínculo de imunobiológicos incompatíveis, informando o intervalo de aplicação permitido.</w:t>
      </w:r>
    </w:p>
    <w:p w14:paraId="7FE5F647"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o cadastro de Eventos Supostamente Atribuíveis à Vacinação ou Imunização (ESAVI), sendo que este cadastro deve estar relacionado ao imunobiológico.</w:t>
      </w:r>
    </w:p>
    <w:p w14:paraId="3425F901"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o cadastro de fabricantes de vacinas, sendo que este cadastro deverá permitir o relacionamento do código do produtor de acordo com o e-SUS/RNDS.</w:t>
      </w:r>
    </w:p>
    <w:p w14:paraId="2FCE74E7"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o cadastro de produtos que sejam do tipo diluente, de forma que estes possam ser relacionados aos imunobiológicos posteriormente. </w:t>
      </w:r>
    </w:p>
    <w:p w14:paraId="1E679E15"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dispor de funcionalidade que permita realizar o cadastro dos quadros de cobertura, informando minimamente a dose, estratégia e faixa etária. </w:t>
      </w:r>
    </w:p>
    <w:p w14:paraId="08284F25"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possibilitar realizar o cadastro de campanhas de vacinação, com o objetivo de realizar divulgações, informando a data de início e fim. </w:t>
      </w:r>
    </w:p>
    <w:p w14:paraId="0D70E4CF"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exibir a carteira de vacinação de acordo com a pessoa selecionada, apresentando os imunobiológicos de acordo com os quadros de cobertura cadastrados. Por meio da carteira de vacina, deverá ser possível realizar algumas ações básicas, como a aplicação, a indicação, o resgate e o aprazamento. </w:t>
      </w:r>
    </w:p>
    <w:p w14:paraId="3F068CAD"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Por meio da carteira de vacinação, o sistema também deverá exibir informações relacionadas às restrições alergias e os medicamentos em uso. </w:t>
      </w:r>
    </w:p>
    <w:p w14:paraId="794F9A84"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conter funcionalidade que permita que o usuário informe contra indicações relacionadas ao imunobiológico. Essa funcionalidade deve estar contida na carteira de vacinação.</w:t>
      </w:r>
    </w:p>
    <w:p w14:paraId="7DE7B9B4"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existir tela que permita realizar aplicação de vacina informando a pessoa, o profissional responsável pela aplicação, as informações relacionadas à vacinação, como a data da vacinação, a estratégia, o grupo de atendimento e o local de aplicação.</w:t>
      </w:r>
    </w:p>
    <w:p w14:paraId="3DCC230E"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Caso a vacina tenha sido indicada, o sistema deverá possuir funcionalidade que permita informar qual foi o profissional responsável pela indicação.</w:t>
      </w:r>
    </w:p>
    <w:p w14:paraId="5B69A2E1"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funcionalidade que permita realizar o controle de estoque dos imunobiológicos e seus referidos diluentes, quando existirem.</w:t>
      </w:r>
    </w:p>
    <w:p w14:paraId="7E9A86EC"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possibilitar realizar a entrada de produtos do tipo imunobiológico, informando o produto, o lote, a data de validade, a quantidade de doses do frasco e a quantidade.</w:t>
      </w:r>
    </w:p>
    <w:p w14:paraId="09370F3D"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existir funcionalidade que permita realizar a baixa de doses, retirando-as do estoque.</w:t>
      </w:r>
    </w:p>
    <w:p w14:paraId="2050423F"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existir funcionalidade que permita realizar o bloqueio de lotes, evitando assim que estes sejam aplicados.</w:t>
      </w:r>
    </w:p>
    <w:p w14:paraId="420A2F5F"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existir funcionalidade que permita realizar a requisição de imunobiológicos para outra unidade de saúde, em caso de falta de estoque. A funcionalidade deverá controlar até o momento que a transferência desse seja realizada, caso o processo seja concluído. </w:t>
      </w:r>
    </w:p>
    <w:p w14:paraId="1BC82A1A"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a emissão das fichas de vacinação de acordo com os padrões do ministério da saúde.</w:t>
      </w:r>
    </w:p>
    <w:p w14:paraId="6903F212"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possuir funcionalidade que permita realizar a emissão da certidão de regularidade vacinal. </w:t>
      </w:r>
    </w:p>
    <w:p w14:paraId="576A9972"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O sistema deverá conter funcionalidade para lançamento das atividades coletivas. Nesse lançamento, deve ser permitido informar o tipo de atividade.</w:t>
      </w:r>
    </w:p>
    <w:p w14:paraId="2F8D7C63"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informar os temas e práticas abordados de acordo com o tipo de atividade.</w:t>
      </w:r>
    </w:p>
    <w:p w14:paraId="61E9B0DD"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Para envio da produção, deve permitir relacionar o procedimento executado durante o registro de atividade coletiva.</w:t>
      </w:r>
    </w:p>
    <w:p w14:paraId="5D32F263"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funcionalidade que permita os lançamentos relacionados à atenção domiciliar.</w:t>
      </w:r>
    </w:p>
    <w:p w14:paraId="0689B395"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incluir os dados relacionados à avaliação de elegibilidade e ao atendimento domiciliar conforme regras do e-SUS. </w:t>
      </w:r>
    </w:p>
    <w:p w14:paraId="6BBB1904"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possível informar os dados relacionados à modalidade, CID e caráter.</w:t>
      </w:r>
    </w:p>
    <w:p w14:paraId="03BBB002"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funcionalidade que permita os lançamentos relacionados à atenção psicossocial.</w:t>
      </w:r>
    </w:p>
    <w:p w14:paraId="525BF273" w14:textId="77777777" w:rsidR="00B307DB" w:rsidRPr="00680B5B" w:rsidRDefault="00B307DB" w:rsidP="009A49E6">
      <w:pPr>
        <w:numPr>
          <w:ilvl w:val="0"/>
          <w:numId w:val="343"/>
        </w:numPr>
        <w:tabs>
          <w:tab w:val="left" w:pos="426"/>
          <w:tab w:val="left" w:pos="709"/>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informar os dados relacionados à origem, ao caráter e a CID principal.  </w:t>
      </w:r>
    </w:p>
    <w:p w14:paraId="2C7108AF" w14:textId="77777777" w:rsidR="00B307DB" w:rsidRPr="00680B5B" w:rsidRDefault="00B307DB" w:rsidP="00B307DB">
      <w:pPr>
        <w:spacing w:after="0" w:line="240" w:lineRule="auto"/>
        <w:ind w:right="-568"/>
        <w:jc w:val="both"/>
        <w:rPr>
          <w:rFonts w:ascii="Times New Roman" w:hAnsi="Times New Roman" w:cs="Times New Roman"/>
        </w:rPr>
      </w:pPr>
    </w:p>
    <w:p w14:paraId="0766F26D"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 xml:space="preserve">3.40 </w:t>
      </w:r>
      <w:r w:rsidRPr="00680B5B">
        <w:rPr>
          <w:rFonts w:ascii="Times New Roman" w:hAnsi="Times New Roman" w:cs="Times New Roman"/>
        </w:rPr>
        <w:t xml:space="preserve"> </w:t>
      </w:r>
      <w:r w:rsidRPr="00680B5B">
        <w:rPr>
          <w:rFonts w:ascii="Times New Roman" w:hAnsi="Times New Roman" w:cs="Times New Roman"/>
          <w:b/>
        </w:rPr>
        <w:t>ASSISTÊNCIA À SAÚDE</w:t>
      </w:r>
    </w:p>
    <w:p w14:paraId="136EF2B4" w14:textId="77777777" w:rsidR="00B307DB" w:rsidRPr="00680B5B" w:rsidRDefault="00B307DB" w:rsidP="009A49E6">
      <w:pPr>
        <w:numPr>
          <w:ilvl w:val="0"/>
          <w:numId w:val="344"/>
        </w:numPr>
        <w:tabs>
          <w:tab w:val="clear" w:pos="720"/>
          <w:tab w:val="left" w:pos="426"/>
          <w:tab w:val="num" w:pos="993"/>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possuir tela para gerenciamento de todas as consultas agendadas para os profissionais. </w:t>
      </w:r>
    </w:p>
    <w:p w14:paraId="22619239"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Por meio da tela de gerenciamento das consultas, deve existir a possibilidade de realizar os registros relacionados à triagem. </w:t>
      </w:r>
    </w:p>
    <w:p w14:paraId="14335C57"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Na tela de gerenciamento das consultas, deve existir funcionalidade que permita realizar o atendimento médico. </w:t>
      </w:r>
    </w:p>
    <w:p w14:paraId="116A41F6"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chamada do paciente, de forma que essa chamada seja enviada ao painel de chamadas da unidade de saúde.</w:t>
      </w:r>
    </w:p>
    <w:p w14:paraId="3471315E"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realizar aplicação de vacina por meio da tela centralizadora de atendimentos agendados.</w:t>
      </w:r>
    </w:p>
    <w:p w14:paraId="757FA30F"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exibir indicativo visual dos agendamentos que já tiveram a triagem realizada.</w:t>
      </w:r>
    </w:p>
    <w:p w14:paraId="3C9F7454"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que as consultas em espera, atendidas e não atendidas sejam apresentadas em diferentes áreas.</w:t>
      </w:r>
    </w:p>
    <w:p w14:paraId="4C3E9A59"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 acordo com os lançamentos efetuados durante o atendimento, o sistema deve preencher a tela de procedimentos executados, garantindo as integridades para faturamento posterior.</w:t>
      </w:r>
    </w:p>
    <w:p w14:paraId="18B42E63"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possibilitar o atendimento multiprofissional por meio de biometria.</w:t>
      </w:r>
    </w:p>
    <w:p w14:paraId="53644E93"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funcionalidade que permita realizar a configuração dos blocos de atendimento por especialidade.</w:t>
      </w:r>
    </w:p>
    <w:p w14:paraId="4A274999"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a requisição de exames durante o atendimento multiprofissional.</w:t>
      </w:r>
    </w:p>
    <w:p w14:paraId="603F5782"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permitir a avaliação de exames durante o atendimento multiprofissional. </w:t>
      </w:r>
    </w:p>
    <w:p w14:paraId="790D09C3"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Na avaliação de exames, deve ser possível informar a data da realização, a data do resultado, se teve alteração no exame e quem foi o prestador responsável pelo exame em questão. </w:t>
      </w:r>
    </w:p>
    <w:p w14:paraId="043C817E"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Caso o resultado do exame tenha sido disponibilizado via integração laboratorial, deve permitir que o resultado seja visualizado durante o atendimento multiprofissional.</w:t>
      </w:r>
    </w:p>
    <w:p w14:paraId="204077CC"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a inclusão de modelos de evolução, para que estes sejam utilizados durante o atendimento multiprofissional.</w:t>
      </w:r>
    </w:p>
    <w:p w14:paraId="6440895A"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possibilitar a prescrição de medicamentos, informando minimamente a posologia, a quantidade, o tipo de uso, e a quantidade de dias. </w:t>
      </w:r>
    </w:p>
    <w:p w14:paraId="1AE21D09"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possibilitar prescrever medicamentos manipulados, permitindo informar minimamente o tipo de receita, a descrição do medicamento e as informações da posologia. </w:t>
      </w:r>
    </w:p>
    <w:p w14:paraId="6F80A5DA"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Durante a prescrição, o sistema deverá realizar a separação das receitas de forma automática considerando os medicamentos prescritos.</w:t>
      </w:r>
    </w:p>
    <w:p w14:paraId="35679641"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funcionalidade que permita realizar o cadastro de receituários padrões, com o objetivo de otimizar o atendimento multiprofissional.</w:t>
      </w:r>
    </w:p>
    <w:p w14:paraId="61FC1168"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existir funcionalidade que permita a administração do medicamento no ato do atendimento multiprofissional, informando se os medicamentos administrados serão dispensados do estoque ou eram de propriedade do paciente.</w:t>
      </w:r>
    </w:p>
    <w:p w14:paraId="1E349BCC"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que sejam informados os materiais utilizados durante a administração de medicamentos. </w:t>
      </w:r>
    </w:p>
    <w:p w14:paraId="6349B2DB" w14:textId="77777777" w:rsidR="00B307DB" w:rsidRPr="00680B5B" w:rsidRDefault="00B307DB" w:rsidP="009A49E6">
      <w:pPr>
        <w:numPr>
          <w:ilvl w:val="0"/>
          <w:numId w:val="344"/>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informar possíveis notificações de agravo, detalhando o tipo de notificação e a data dos primeiros sintomas. </w:t>
      </w:r>
    </w:p>
    <w:p w14:paraId="1D5F5BEB"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 permitir que de acordo com o grupo de atendimento selecionado no momento do atendimento multiprofissional, novos blocos sejam habilitados para garantir o preenchimento das informações, como as informações relacionadas à gestante e aos hipertensos e diabéticos, por exemplo.</w:t>
      </w:r>
    </w:p>
    <w:p w14:paraId="6E561079"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indicativo visual caso o paciente em atendimento possua alguma restrição alérgica.</w:t>
      </w:r>
    </w:p>
    <w:p w14:paraId="76C2E472"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possuir indicativo visual caso o paciente em atendimento possua algum medicamento em uso contínuo. </w:t>
      </w:r>
    </w:p>
    <w:p w14:paraId="2DC2D83C"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área que detalhe todos os atendimentos anteriores do paciente, conforme parametrização de privilégio.</w:t>
      </w:r>
    </w:p>
    <w:p w14:paraId="26EE4227"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funcionalidade na finalização do atendimento que permita manter o paciente em observação.</w:t>
      </w:r>
    </w:p>
    <w:p w14:paraId="1D6C892B"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Nos casos em que o paciente seja mantido em observação, deve permitir a exibição de toda a evolução do episódio.</w:t>
      </w:r>
    </w:p>
    <w:p w14:paraId="67D6F688"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Durante o atendimento multiprofissional, deve ser possível visualizar as informações familiares do paciente em questão.</w:t>
      </w:r>
    </w:p>
    <w:p w14:paraId="3CBCBD49"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possibilitar informar os dados ao consumo alimentar do paciente em questão, bem como, visualizar o histórico deste. </w:t>
      </w:r>
    </w:p>
    <w:p w14:paraId="2FB6795B"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Em todos os campos de texto do atendimento multiprofissional, deve possuir funcionalidade de captação de áudio, que permita ao profissional a digitação por meio de comando de voz.</w:t>
      </w:r>
    </w:p>
    <w:p w14:paraId="065A57C0"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agendar o retorno após a finalização do atendimento.</w:t>
      </w:r>
    </w:p>
    <w:p w14:paraId="52E5235C"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a impressão do atestado médico ou comprovante de comparecimento após a finalização do atendimento.</w:t>
      </w:r>
    </w:p>
    <w:p w14:paraId="3B8A6C9E"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possibilitar a impressão do receituário médico após a finalização do atendimento. </w:t>
      </w:r>
    </w:p>
    <w:p w14:paraId="4875CE54"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que seja impresso o espelho do atendimento, contendo as informações que foram lançadas durante a triagem e o atendimento.</w:t>
      </w:r>
    </w:p>
    <w:p w14:paraId="6A7939B1"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emissão da guia de encaminhamento após a finalização do atendimento, de acordo com as informações que foram lançadas para o encaminhamento durante o atendimento multiprofissional.</w:t>
      </w:r>
    </w:p>
    <w:p w14:paraId="47A71896"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possibilitar realizar parametrização para que alguns dos documentos gerados pelo atendimento sejam assinados digitalmente, sendo minimamente parametrizável o atestado médico, comprovante de comparecimento, requisição de exames, receituário médico, guia de encaminhamento e o resumo/espelho do atendimento. </w:t>
      </w:r>
    </w:p>
    <w:p w14:paraId="706711CC"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possuir funcionalidade de criação de modelos de documento, de forma que estes fiquem disponíveis para impressão na finalização do atendimento. Os modelos devem possuir formatação de acordo com a necessidade da contratante. </w:t>
      </w:r>
    </w:p>
    <w:p w14:paraId="3D22C11C"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possuir funcionalidade que permita realizar a alteração do atendimento. Deve ser possível parametrizar a quantidade de horas disponíveis para a alteração deste. </w:t>
      </w:r>
    </w:p>
    <w:p w14:paraId="79572EB4"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registrar atendimentos de demanda espontânea, incluindo-os em lista de chegada, definindo o motivo do atendimento, os sintomas e a classificação de urgência. </w:t>
      </w:r>
    </w:p>
    <w:p w14:paraId="20A79FEF"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Nos atendimentos relacionados à demanda espontânea, todas as funcionalidades relacionadas ao atendimento multiprofissional devem estar disponíveis, como a chamada do paciente, a triagem, as informações relacionadas à requisição e avaliação de exames, a evolução do paciente, a prescrição e administração de medicamentos, o encaminhamento para outras especialidades e a finalização do atendimento.</w:t>
      </w:r>
    </w:p>
    <w:p w14:paraId="59AF6711"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impressão dos documentos gerados relacionados ao atendimento, como o receituário, o atestado e comprovante de comparecimento, a guia de encaminhamento, os laudos de BPA-I, TFD, CAT, bem como a impressão do resumo/espelho de atendimento.</w:t>
      </w:r>
    </w:p>
    <w:p w14:paraId="3911EFD0"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a aplicação de vacinas por meio da tela de gerenciamento das demandas espontâneas.</w:t>
      </w:r>
    </w:p>
    <w:p w14:paraId="0029C2FA"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a justificativa da não realização de algum atendimento, sendo por falta ou por não atendimento da pessoa, informando a justificativa para tal.</w:t>
      </w:r>
    </w:p>
    <w:p w14:paraId="5D299E13"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possuir funcionalidade que permita realizar o encaminhamento interno, definindo outra fila de atendimento para o paciente. </w:t>
      </w:r>
    </w:p>
    <w:p w14:paraId="20A23405"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 possibilitar o agendamento de retorno após a finalização do atendimento relacionado à demanda espontânea. </w:t>
      </w:r>
    </w:p>
    <w:p w14:paraId="09B26203"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 existir funcionalidade que permita realizar o acolhimento de pacientes. Durante o acolhimento, deve ser possível informar o profissional responsável pelo acolhimento, o motivo, os sintomas e a avaliação.</w:t>
      </w:r>
    </w:p>
    <w:p w14:paraId="1B66B76D"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Na tela de acolhimento deve ser possível visualizar o histórico dos últimos atendimentos do paciente.</w:t>
      </w:r>
    </w:p>
    <w:p w14:paraId="4E979C20"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funcionalidade que permita realizar o atendimento odontológico, seja ele por demanda espontânea ou por consulta agendada.</w:t>
      </w:r>
    </w:p>
    <w:p w14:paraId="294D5510"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Por meio da tela de gerenciamento dos atendimentos odontológicos, deve ser possível realizar a triagem dos pacientes.</w:t>
      </w:r>
    </w:p>
    <w:p w14:paraId="16C50DB3"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 atendimento odontológico, deve possuir a representação visual do odontograma.</w:t>
      </w:r>
    </w:p>
    <w:p w14:paraId="20AB3910"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possuir funcionalidade que permita visualizar somente a arcada adulta, somente a infantil, ou ambas.</w:t>
      </w:r>
    </w:p>
    <w:p w14:paraId="63B8D4A8"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No odontograma, deve possuir funcionalidade que permita definir a situação do dente.</w:t>
      </w:r>
    </w:p>
    <w:p w14:paraId="44C31390"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possuir funcionalidade que permita registrar os procedimentos efetuados em cada dente.</w:t>
      </w:r>
    </w:p>
    <w:p w14:paraId="0AD24FAF"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possuir funcionalidade que permita definir o tipo de marcação, sendo por dente, arcada, quadrante, boca ou sextante. </w:t>
      </w:r>
    </w:p>
    <w:p w14:paraId="4147B448"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informar o Índice de Higiene Oral Simplificado.</w:t>
      </w:r>
    </w:p>
    <w:p w14:paraId="76DC0179"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Durante o atendimento odontológico, deve permitir informar os demais dados relacionados ao atendimento, como a evolução do paciente.</w:t>
      </w:r>
    </w:p>
    <w:p w14:paraId="71317E8F"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realizar o controle de sessões em caso de atendimentos de fisioterapia ou psicologia. </w:t>
      </w:r>
    </w:p>
    <w:p w14:paraId="12D11AAE"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incluir anamneses, de forma que estas estejam disponíveis para preenchimento durante o atendimento médico. </w:t>
      </w:r>
    </w:p>
    <w:p w14:paraId="7AF939E2"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exibir o histórico de anamneses previamente preenchidas. </w:t>
      </w:r>
    </w:p>
    <w:p w14:paraId="462E878A"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realizar o relacionamento das especialidades que poderão realizar a anamnese.</w:t>
      </w:r>
    </w:p>
    <w:p w14:paraId="02129D77"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a definição da ordenação das perguntas que serão aplicadas.</w:t>
      </w:r>
    </w:p>
    <w:p w14:paraId="1F2F9A07"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cadastrar o tipo de respostas permitidas. </w:t>
      </w:r>
    </w:p>
    <w:p w14:paraId="0034B014"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Deve permitir relacionar respostas a uma doença ou agravante, de forma que ao realizar a resposta dessa anamnese a doença relacionada seja atribuída ao paciente. </w:t>
      </w:r>
    </w:p>
    <w:p w14:paraId="005395DC"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o cadastramento de Órgãos Emissores de autorização de procedimentos ambulatoriais e hospitalares, conforme PORTARIA DATASUS No 637 DE 11 DE NOVEMBRO DE 2005.</w:t>
      </w:r>
    </w:p>
    <w:p w14:paraId="21A8BAF1"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realizar o cadastro e controle da faixa numérica de AIH, especificando a validade da numeração e a quantidade de números disponíveis.</w:t>
      </w:r>
    </w:p>
    <w:p w14:paraId="6118833B"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realizar a inclusão de laudos de AIH com informações detalhadas do paciente, diagnóstico, procedimentos e profissionais envolvidos.</w:t>
      </w:r>
    </w:p>
    <w:p w14:paraId="046F64DD"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possuir funcionalidade que realize a impressão automática do laudo de AIH após a inclusão.</w:t>
      </w:r>
    </w:p>
    <w:p w14:paraId="407D15CD"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possuir funcionalidade que permita identificar manualmente as AIH pagas.</w:t>
      </w:r>
    </w:p>
    <w:p w14:paraId="19BA3710"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possibilitar a aprovação, glosa e arquivamento do laudo de AIH, registrando automaticamente as ações realizadas.</w:t>
      </w:r>
    </w:p>
    <w:p w14:paraId="17DF0F45"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autorização dos laudos de AIH individualmente, com a próxima AIH disponível pré-carregada para facilitar a autorização.</w:t>
      </w:r>
    </w:p>
    <w:p w14:paraId="63599538"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autorização dos laudos de AIH em massa, permitindo a seleção de vários laudos de uma vez e autorizando-os simultaneamente.</w:t>
      </w:r>
    </w:p>
    <w:p w14:paraId="7EBE664C"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a impressão da autorização de AIH em duas vias, contendo informações detalhadas do paciente, solicitação, autorização e autorizador.</w:t>
      </w:r>
    </w:p>
    <w:p w14:paraId="69677375"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O sistema deverá possuir funcionalidade de cancelamento de uma autorização de AIH, registrando automaticamente a ação e o usuário responsável. Deve possuir funcionalidade que permita a parametrização de necessidade de senha para tal cancelamento. </w:t>
      </w:r>
    </w:p>
    <w:p w14:paraId="40C54777"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registrar a saída do paciente e, em caso de alta por óbito, atualizar automaticamente o cadastro do paciente como falecido, registrando a data e o usuário responsável.</w:t>
      </w:r>
    </w:p>
    <w:p w14:paraId="6B5372A6"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o cadastramento de Órgãos Emissores de autorização de procedimentos ambulatoriais e hospitalares, conforme PORTARIA No 637 DE 11 DE NOVEMBRO DE 2005.</w:t>
      </w:r>
    </w:p>
    <w:p w14:paraId="7B624303"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cadastrar e controlar a faixa numérica de APAC, especificando a validade da numeração e a quantidade de números disponíveis.</w:t>
      </w:r>
    </w:p>
    <w:p w14:paraId="03B1BBE9"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Deverá possuir funcionalidade que permita a inclusão dos laudos de APAC com informações detalhadas do paciente, diagnóstico, exames e procedimentos.</w:t>
      </w:r>
    </w:p>
    <w:p w14:paraId="548289D3"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aprovação, glosa e arquivamento do laudo de APAC, registrando automaticamente as ações realizadas.</w:t>
      </w:r>
    </w:p>
    <w:p w14:paraId="2EEE35A0"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a autorização de laudos de APAC individualmente, com a próxima APAC disponível pré-carregada para facilitar a autorização.</w:t>
      </w:r>
    </w:p>
    <w:p w14:paraId="038C0A07"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 permitir a impressão da autorização de APAC em duas vias, contendo informações detalhadas do paciente, solicitação, autorização e validade.</w:t>
      </w:r>
    </w:p>
    <w:p w14:paraId="2E696C49"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cancelar uma autorização de APAC, registrando automaticamente a ação e o usuário responsável.</w:t>
      </w:r>
    </w:p>
    <w:p w14:paraId="1D6BF9C6"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realizar a renovação do laudo de APAC após o vencimento, facilitando a criação de um novo laudo com base no anterior.</w:t>
      </w:r>
    </w:p>
    <w:p w14:paraId="5259DED2"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possibilitar registrar a permanência do paciente para APAC do tipo inicial e não vencida, com a obrigação de informar o motivo da permanência.</w:t>
      </w:r>
    </w:p>
    <w:p w14:paraId="5CC5F97A"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 permitir realizar o registro da saída do paciente e, em caso de alta por óbito, atualizar automaticamente o cadastro do paciente como falecido, registrando a data e o usuário responsável.</w:t>
      </w:r>
    </w:p>
    <w:p w14:paraId="32009955"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O sistema deve estar adequado para as informações necessárias ao sistema SISPRENATAL, mantendo os padrões do Ministério da Saúde.</w:t>
      </w:r>
    </w:p>
    <w:p w14:paraId="5C072DD1"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O sistema deve estar adequado para as informações necessárias ao sistema HIPERDIA, mantendo os padrões do Ministério da Saúde.</w:t>
      </w:r>
    </w:p>
    <w:p w14:paraId="1A757FE6"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a criação de painéis por unidade de saúde.</w:t>
      </w:r>
    </w:p>
    <w:p w14:paraId="28B84D48"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permitir condicionar a exibição de alguns dados no painel, como o nome do profissional de saúde, e a forma de exibição do nome do paciente.</w:t>
      </w:r>
    </w:p>
    <w:p w14:paraId="41799BDF"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que seja cadastrada a mensagem que será apresentada quando uma chamada for realizada no painel.</w:t>
      </w:r>
    </w:p>
    <w:p w14:paraId="715D963F" w14:textId="77777777" w:rsidR="00B307DB" w:rsidRPr="00680B5B" w:rsidRDefault="00B307DB" w:rsidP="009A49E6">
      <w:pPr>
        <w:numPr>
          <w:ilvl w:val="0"/>
          <w:numId w:val="344"/>
        </w:numPr>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permitir a personalização de cores do painel.</w:t>
      </w:r>
    </w:p>
    <w:p w14:paraId="2E59DFBB" w14:textId="77777777" w:rsidR="00B307DB" w:rsidRPr="00680B5B" w:rsidRDefault="00B307DB" w:rsidP="00B307DB">
      <w:pPr>
        <w:spacing w:after="0" w:line="240" w:lineRule="auto"/>
        <w:ind w:right="-568"/>
        <w:jc w:val="both"/>
        <w:rPr>
          <w:rFonts w:ascii="Times New Roman" w:hAnsi="Times New Roman" w:cs="Times New Roman"/>
        </w:rPr>
      </w:pPr>
    </w:p>
    <w:p w14:paraId="48E8D1B0" w14:textId="77777777" w:rsidR="00B307DB" w:rsidRPr="00680B5B" w:rsidRDefault="00B307DB" w:rsidP="00B307DB">
      <w:pPr>
        <w:spacing w:after="0" w:line="240" w:lineRule="auto"/>
        <w:ind w:right="-568"/>
        <w:jc w:val="both"/>
        <w:rPr>
          <w:rFonts w:ascii="Times New Roman" w:hAnsi="Times New Roman" w:cs="Times New Roman"/>
        </w:rPr>
      </w:pPr>
      <w:r w:rsidRPr="00680B5B">
        <w:rPr>
          <w:rFonts w:ascii="Times New Roman" w:hAnsi="Times New Roman" w:cs="Times New Roman"/>
          <w:b/>
        </w:rPr>
        <w:t>3.41</w:t>
      </w:r>
      <w:r w:rsidRPr="00680B5B">
        <w:rPr>
          <w:rFonts w:ascii="Times New Roman" w:hAnsi="Times New Roman" w:cs="Times New Roman"/>
        </w:rPr>
        <w:t xml:space="preserve"> </w:t>
      </w:r>
      <w:r w:rsidRPr="00680B5B">
        <w:rPr>
          <w:rFonts w:ascii="Times New Roman" w:hAnsi="Times New Roman" w:cs="Times New Roman"/>
          <w:b/>
        </w:rPr>
        <w:t>ASSISTÊNCIA FARMACÊUTICA</w:t>
      </w:r>
    </w:p>
    <w:p w14:paraId="26C13517" w14:textId="77777777" w:rsidR="00B307DB" w:rsidRPr="00680B5B" w:rsidRDefault="00B307DB" w:rsidP="00A63962">
      <w:pPr>
        <w:numPr>
          <w:ilvl w:val="0"/>
          <w:numId w:val="345"/>
        </w:numPr>
        <w:tabs>
          <w:tab w:val="left" w:pos="426"/>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dispor de cadastro de produtos, permitindo o vínculo com o código CATMAT (Catálogo de Materiais e Serviços).</w:t>
      </w:r>
    </w:p>
    <w:p w14:paraId="5D1E7943"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informar a unidade de fornecimento.</w:t>
      </w:r>
    </w:p>
    <w:p w14:paraId="751EEB3C"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que seja informada a descrição do princípio ativo relacionado ao produto.</w:t>
      </w:r>
    </w:p>
    <w:p w14:paraId="3E334C37"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informar os dados relacionados à apresentação do produto, como comprimido, pomada, tubo, frasco, entre outros.</w:t>
      </w:r>
    </w:p>
    <w:p w14:paraId="50FFB7B7"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informar se o produto está listado na RENAME.</w:t>
      </w:r>
    </w:p>
    <w:p w14:paraId="7D37CA3C"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informar se o produto está listado na REMUME.</w:t>
      </w:r>
    </w:p>
    <w:p w14:paraId="60564912"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dispor de funcionalidade que permita informar a quantidade mínima sugerida para o estoque.</w:t>
      </w:r>
    </w:p>
    <w:p w14:paraId="693E1951"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dispor de funcionalidade que permita informar a quantidade máxima que este produto poderá ser dispensado. </w:t>
      </w:r>
    </w:p>
    <w:p w14:paraId="0E5E3A34"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apresentar a lista de Denominações Comuns Brasileiras (DCB) da Anvisa de 2007, contendo o nome da substância, o número de DCB e o número do CAS (Chemical Abstract Service).</w:t>
      </w:r>
    </w:p>
    <w:p w14:paraId="4FEBA772"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realizar o cadastro da posologia descritiva do produto, com o objetivo de facilitar a prescrição deste posteriormente.</w:t>
      </w:r>
    </w:p>
    <w:p w14:paraId="1E838FFE"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Permitir a definição de produtos incompatíveis, alertando o usuário no caso de relacionamento desses produtos. </w:t>
      </w:r>
    </w:p>
    <w:p w14:paraId="3837B301"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incluir a recomendação do produto, com o objetivo de apresentá-la na impressão do receituário.</w:t>
      </w:r>
    </w:p>
    <w:p w14:paraId="4BDAFBE3"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possuir funcionalidade que permita definir a judicialidade de um produto, permitindo que este seja vinculado aos processos judiciais.</w:t>
      </w:r>
    </w:p>
    <w:p w14:paraId="2AFE1B18"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dispor de funcionalidade de gerenciamento de estoque, contendo a possibilidade de realizar a entrada de produtos.</w:t>
      </w:r>
    </w:p>
    <w:p w14:paraId="71622336"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exibir consulta com todas as entradas previamente realizadas.</w:t>
      </w:r>
    </w:p>
    <w:p w14:paraId="5CEDB0FF"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que na entrada de produtos sejam informados os dados relacionados à nota fiscal do produto.</w:t>
      </w:r>
    </w:p>
    <w:p w14:paraId="25AC1382"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Deve possibilitar importar o arquivo XML da nota fiscal para otimizar a entrada de produtos.</w:t>
      </w:r>
    </w:p>
    <w:p w14:paraId="55753924"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informar o tipo de entrada, como fornecedor, doação e ajuste de estoque.</w:t>
      </w:r>
    </w:p>
    <w:p w14:paraId="0D1E0EE5"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Caso a entrada seja do tipo doação, o sistema somente poderá obrigar o nome do doador.</w:t>
      </w:r>
    </w:p>
    <w:p w14:paraId="552E217C"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o vínculo dos itens relacionados à entrada em questão.</w:t>
      </w:r>
    </w:p>
    <w:p w14:paraId="65C77806"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obrigar a informação do lote, validade, quantidade e valor unitário para realização de uma entrada.</w:t>
      </w:r>
    </w:p>
    <w:p w14:paraId="30546030"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informar o fabricante do produto durante o processo de inclusão de entrada.</w:t>
      </w:r>
    </w:p>
    <w:p w14:paraId="2FFADB65"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dispor de funcionalidade que permita condicionar a entrada à aprovação desta. Antes da aprovação, os produtos não devem ser incluídos no estoque.</w:t>
      </w:r>
    </w:p>
    <w:p w14:paraId="45BF6FE2"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programação de chegada de novos medicamentos, onde a partir desta seja possível realizar a entrada desses produtos.</w:t>
      </w:r>
    </w:p>
    <w:p w14:paraId="5C3401CC"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possuir a funcionalidade de baixa de estoque, que permitirá informar os produtos que serão baixados do estoque por motivos de vencimento ou extravio, por exemplo. </w:t>
      </w:r>
    </w:p>
    <w:p w14:paraId="5235E100"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existir funcionalidade que permita realizar o bloqueio de determinados lotes vinculados aos produtos, evitando assim que estes sejam dispensados. </w:t>
      </w:r>
    </w:p>
    <w:p w14:paraId="78059A6F"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permitir realizar a transferência de produtos entre as unidades. </w:t>
      </w:r>
    </w:p>
    <w:p w14:paraId="0A028193"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que produtos sejam requisitados para unidades que possuam estoque disponível.</w:t>
      </w:r>
    </w:p>
    <w:p w14:paraId="1D319196"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controlar todo o processo de requisição e transferência de produtos. </w:t>
      </w:r>
    </w:p>
    <w:p w14:paraId="11AAEF47"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possuir gerenciamento de demanda reprimida, que permita o cadastro de produtos quando estes estiverem em falta.</w:t>
      </w:r>
    </w:p>
    <w:p w14:paraId="65AA2AB7"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existir rotina responsável pelo gerenciamento do inventário do estoque, possibilitando aos usuários realizarem os ajustes necessários durante este processo.</w:t>
      </w:r>
    </w:p>
    <w:p w14:paraId="4C35A9F6"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mecanismo de inserção de processos judiciais relacionados aos produtos farmacêuticos.</w:t>
      </w:r>
    </w:p>
    <w:p w14:paraId="41C62965"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realizar o cadastro de advogados.</w:t>
      </w:r>
    </w:p>
    <w:p w14:paraId="6A2ED82A"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realizar a inclusão de processos judiciais, informando o paciente solicitante, o processo, a data de abertura e o advogado responsável.</w:t>
      </w:r>
    </w:p>
    <w:p w14:paraId="2227A03F"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incluir dados adicionais relacionados ao processo, como as digitalizações relacionadas, e as informações do pedido de compra.</w:t>
      </w:r>
    </w:p>
    <w:p w14:paraId="653B5452"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existir possibilidade de realizar o registro das fases posteriores do processo, como os trâmites, a suspensão do processo, o arquivamento deste e a renovação.</w:t>
      </w:r>
    </w:p>
    <w:p w14:paraId="301EB9E9"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Após a aprovação do processo, o sistema deverá possibilitar a dispensação dos medicamentos pela tela de gerenciamento dos processos judiciais. </w:t>
      </w:r>
    </w:p>
    <w:p w14:paraId="25CEFD9B"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impressão do extrato do processo.</w:t>
      </w:r>
    </w:p>
    <w:p w14:paraId="10E3F49C"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impressão da negativa do processo, caso necessário.</w:t>
      </w:r>
    </w:p>
    <w:p w14:paraId="142BBB39"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funcionalidade que permita registrar o controle de entregas de kits de medicamentos.</w:t>
      </w:r>
    </w:p>
    <w:p w14:paraId="6CBA362C"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ser possível realizar o cadastro dos kits, vinculando os produtos pertencentes a ele. </w:t>
      </w:r>
    </w:p>
    <w:p w14:paraId="3EBD263A"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informar a quantidade padrão de cada produto no kit.</w:t>
      </w:r>
    </w:p>
    <w:p w14:paraId="79705CCD"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a geração dos kits de acordo com as informações definidas pelo usuário, como validade da receita, endereço, e qual ação programática o paciente está vinculado.</w:t>
      </w:r>
    </w:p>
    <w:p w14:paraId="66A52D97"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Caso não exista estoque para geração dos kits, o usuário deve ser alertado e deve ser gerado registro de demanda reprimida.</w:t>
      </w:r>
    </w:p>
    <w:p w14:paraId="69D2E347"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possibilitar o registro de não retirada do kit pelo paciente, informando justificativa. </w:t>
      </w:r>
    </w:p>
    <w:p w14:paraId="5A660A6F"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gerar registros de retorno de estoque no caso dos kits não entregues.</w:t>
      </w:r>
    </w:p>
    <w:p w14:paraId="17AB36E4"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Permitir realizar a dispensação de medicamentos por meio do código de barras do receituário prescrito pelo sistema.</w:t>
      </w:r>
    </w:p>
    <w:p w14:paraId="1E659841"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Possibilitar durante a dispensação, a seleção de prescrições de acordo com o paciente selecionado, organizando automaticamente os produtos para dispensação.</w:t>
      </w:r>
    </w:p>
    <w:p w14:paraId="3A8EBDC5"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informar os produtos da dispensação de forma manual, incluindo o lote e quantidade.</w:t>
      </w:r>
    </w:p>
    <w:p w14:paraId="11130556"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 acordo com o produto selecionado, o sistema deve permitir que seja exibida a localização do produto, de acordo com o cadastro de localização previamente realizado para este.</w:t>
      </w:r>
    </w:p>
    <w:p w14:paraId="21C074C2"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Em caso de receitas especiais, o sistema deve obrigar a informação do profissional prescritor.</w:t>
      </w:r>
    </w:p>
    <w:p w14:paraId="6F4BF903"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possuir funcionalidade que apresente em quais unidades o produto selecionado possui estoque. </w:t>
      </w:r>
    </w:p>
    <w:p w14:paraId="509CCD51"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Deve permitir realizar a impressão da declaração de recebimento de medicamentos.</w:t>
      </w:r>
    </w:p>
    <w:p w14:paraId="2A7D858D"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Deverá permitir o gerenciamento de todas as dispensações previamente realizadas, permitindo filtrar por data, unidade e paciente.</w:t>
      </w:r>
    </w:p>
    <w:p w14:paraId="2C7945FE"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possibilitar informar a retirada do produto por outra pessoa, em caso de crianças e acamados. </w:t>
      </w:r>
    </w:p>
    <w:p w14:paraId="437EFDF6"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garantir que as dispensações considerem o tipo de receita. </w:t>
      </w:r>
    </w:p>
    <w:p w14:paraId="79E1944A"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editar e excluir a dispensação, desde que parametrizado.</w:t>
      </w:r>
    </w:p>
    <w:p w14:paraId="5E02D77D"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a integração com o sistema fornecido com o sistema BNAFAR do Ministério da Saúde.</w:t>
      </w:r>
    </w:p>
    <w:p w14:paraId="2E11B2F3"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estabelecer relação entre as unidades de fornecimento do cadastro oficial do CATMAT e as unidades de fornecimento, simplificando o processo de exportação.</w:t>
      </w:r>
    </w:p>
    <w:p w14:paraId="780AD443"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realizar a configuração da comunicação com o sistema BNAFAR, incluindo definição do ambiente de integração, endereços dos WebService e credenciais de acesso.</w:t>
      </w:r>
    </w:p>
    <w:p w14:paraId="527E1330"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enviar as Dispensações, Entradas, Posição de Estoque e registros de Saídas de forma automática quando a integração estiver ativa.</w:t>
      </w:r>
    </w:p>
    <w:p w14:paraId="49B2F439"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realizar a transmissão dos dados para os produtos dos componentes: Básico, Especializado e Estratégico.</w:t>
      </w:r>
    </w:p>
    <w:p w14:paraId="71501C1A"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o detalhamento dos resultados do envio para o sistema BNAFAR, incluindo mensagem retornada, protocolo de envio e quantidade de inconsistências e sucessos.</w:t>
      </w:r>
    </w:p>
    <w:p w14:paraId="2952F2C7"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possuir consulta da situação dos envios via WebService com BNAFAR para garantir controle.</w:t>
      </w:r>
    </w:p>
    <w:p w14:paraId="6E389455" w14:textId="77777777" w:rsidR="00B307DB" w:rsidRPr="00680B5B" w:rsidRDefault="00B307DB" w:rsidP="00A63962">
      <w:pPr>
        <w:numPr>
          <w:ilvl w:val="0"/>
          <w:numId w:val="345"/>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a diferenciação visual das exportações de acordo com a situação de envio.</w:t>
      </w:r>
    </w:p>
    <w:p w14:paraId="0B9F6B21" w14:textId="77777777" w:rsidR="00B307DB" w:rsidRPr="00680B5B" w:rsidRDefault="00B307DB" w:rsidP="00B307DB">
      <w:pPr>
        <w:tabs>
          <w:tab w:val="left" w:pos="284"/>
        </w:tabs>
        <w:spacing w:after="0" w:line="240" w:lineRule="auto"/>
        <w:ind w:right="-568"/>
        <w:jc w:val="both"/>
        <w:rPr>
          <w:rFonts w:ascii="Times New Roman" w:hAnsi="Times New Roman" w:cs="Times New Roman"/>
        </w:rPr>
      </w:pPr>
      <w:r w:rsidRPr="00680B5B">
        <w:rPr>
          <w:rFonts w:ascii="Times New Roman" w:hAnsi="Times New Roman" w:cs="Times New Roman"/>
        </w:rPr>
        <w:t>O sistema deve permitir realizar a configuração das competências para envio dos dados.</w:t>
      </w:r>
    </w:p>
    <w:p w14:paraId="7DDD9A57" w14:textId="77777777" w:rsidR="00B307DB" w:rsidRPr="00680B5B" w:rsidRDefault="00B307DB" w:rsidP="00B307DB">
      <w:pPr>
        <w:spacing w:after="0" w:line="240" w:lineRule="auto"/>
        <w:ind w:right="-568"/>
        <w:jc w:val="both"/>
        <w:rPr>
          <w:rFonts w:ascii="Times New Roman" w:hAnsi="Times New Roman" w:cs="Times New Roman"/>
        </w:rPr>
      </w:pPr>
    </w:p>
    <w:p w14:paraId="3976F524" w14:textId="77777777" w:rsidR="00B307DB" w:rsidRPr="00680B5B" w:rsidRDefault="00B307DB" w:rsidP="00B307DB">
      <w:pPr>
        <w:spacing w:after="0" w:line="240" w:lineRule="auto"/>
        <w:ind w:right="-568"/>
        <w:jc w:val="both"/>
        <w:rPr>
          <w:rFonts w:ascii="Times New Roman" w:hAnsi="Times New Roman" w:cs="Times New Roman"/>
          <w:b/>
          <w:bCs/>
        </w:rPr>
      </w:pPr>
      <w:r w:rsidRPr="00680B5B">
        <w:rPr>
          <w:rFonts w:ascii="Times New Roman" w:hAnsi="Times New Roman" w:cs="Times New Roman"/>
          <w:b/>
          <w:bCs/>
        </w:rPr>
        <w:t xml:space="preserve">3.42 INTERFACEAMENTO </w:t>
      </w:r>
    </w:p>
    <w:p w14:paraId="23A73188"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A contratada, em conjunto com as empresas responsáveis pelos equipamentos de processamento de exames, deve ser responsável pelo interfaceamento.</w:t>
      </w:r>
    </w:p>
    <w:p w14:paraId="602404DF"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Para posterior integração com o sistema fornecido, a contratada deve dispor de um servidor de banco de dados local para armazenamento dos dados interfaceados.</w:t>
      </w:r>
    </w:p>
    <w:p w14:paraId="60DBD060"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Deve permitir o cadastro de equipamentos que serão utilizados, bem como o cadastro de Regras de Westgard e a definição de valores de média de bula ou de laboratório.</w:t>
      </w:r>
    </w:p>
    <w:p w14:paraId="6BD5EC42"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O interfaceamento deve ter solução única e integrada entre o sistema de gestão do laboratório e o de automação.</w:t>
      </w:r>
    </w:p>
    <w:p w14:paraId="08D583B6"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Os resultados do exame devem ser extraídos automaticamente.</w:t>
      </w:r>
    </w:p>
    <w:p w14:paraId="022A879B"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Leitura automática de todos os parâmetros disponíveis, incluindo flags, através de protocolos ASTM, HL7, Kermit ou qualquer outra forma de automação disponível nos aparelhos de automação.</w:t>
      </w:r>
    </w:p>
    <w:p w14:paraId="34A0F869"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Leitura automática do código de barras das amostras, bidirecional com "request mode" (dependendo dos modelos de equipamentos).</w:t>
      </w:r>
    </w:p>
    <w:p w14:paraId="1E66A958"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Possibilidade de elaboração de listas de trabalho para equipamentos que não fazem leitura de códigos de barras.</w:t>
      </w:r>
    </w:p>
    <w:p w14:paraId="637B4D3D"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Rastreabilidade e indicação de status no momento da automação devem ser garantidas.</w:t>
      </w:r>
    </w:p>
    <w:p w14:paraId="0C4F06D0"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A centralização do servidor de automação deve ser possível, ou seja, apenas UM Micro (ou 6 no mínimo) para os equipamentos analisadores.</w:t>
      </w:r>
    </w:p>
    <w:p w14:paraId="4EC51162"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Desenvolvimento de novos protocolos/interfaceamentos deve ser uma possibilidade.</w:t>
      </w:r>
    </w:p>
    <w:p w14:paraId="7938C2CD"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Extração de gráficos por pontos ou imagem através do interfaceamento para apresentação no laudo.</w:t>
      </w:r>
    </w:p>
    <w:p w14:paraId="11962963"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Os pedidos repassados para outros laboratórios devem ser cadastrados no laboratório que solicita o serviço e já devem entrar no banco de dados do sistema prontos para serem digitados.</w:t>
      </w:r>
    </w:p>
    <w:p w14:paraId="48BE78A1"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Os pedidos repassados para outros laboratórios devem ser totalmente integrados ao prontuário do paciente desde a solicitação do exame e resultados.</w:t>
      </w:r>
    </w:p>
    <w:p w14:paraId="4E26A522"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Deve gerar os arquivos de faturamento SUS individualizado e consolidado dos pedidos repassados para outros laboratórios.</w:t>
      </w:r>
    </w:p>
    <w:p w14:paraId="3B99F1BA" w14:textId="77777777" w:rsidR="00B307DB" w:rsidRPr="00680B5B" w:rsidRDefault="00B307DB" w:rsidP="00A63962">
      <w:pPr>
        <w:numPr>
          <w:ilvl w:val="0"/>
          <w:numId w:val="346"/>
        </w:numPr>
        <w:tabs>
          <w:tab w:val="left" w:pos="284"/>
        </w:tabs>
        <w:suppressAutoHyphens/>
        <w:spacing w:after="0" w:line="240" w:lineRule="auto"/>
        <w:ind w:right="-568" w:hanging="10"/>
        <w:jc w:val="both"/>
        <w:rPr>
          <w:rFonts w:ascii="Times New Roman" w:hAnsi="Times New Roman" w:cs="Times New Roman"/>
        </w:rPr>
      </w:pPr>
      <w:r w:rsidRPr="00680B5B">
        <w:rPr>
          <w:rFonts w:ascii="Times New Roman" w:hAnsi="Times New Roman" w:cs="Times New Roman"/>
        </w:rPr>
        <w:t>Deve permitir a geração dos relatórios em formato PDF ou CSV dos pedidos repassados para outros laboratórios.</w:t>
      </w:r>
    </w:p>
    <w:p w14:paraId="1BDB4763" w14:textId="77777777" w:rsidR="00B307DB" w:rsidRPr="00680B5B" w:rsidRDefault="00B307DB" w:rsidP="00B307DB">
      <w:pPr>
        <w:spacing w:after="0" w:line="240" w:lineRule="auto"/>
        <w:ind w:right="-568" w:hanging="10"/>
        <w:jc w:val="both"/>
        <w:rPr>
          <w:rFonts w:ascii="Times New Roman" w:hAnsi="Times New Roman" w:cs="Times New Roman"/>
        </w:rPr>
      </w:pPr>
    </w:p>
    <w:p w14:paraId="464E5A23" w14:textId="77777777" w:rsidR="00B307DB" w:rsidRPr="00680B5B" w:rsidRDefault="00B307DB" w:rsidP="00B307DB">
      <w:pPr>
        <w:spacing w:after="0" w:line="240" w:lineRule="auto"/>
        <w:ind w:right="-568" w:hanging="10"/>
        <w:jc w:val="both"/>
        <w:rPr>
          <w:rFonts w:ascii="Times New Roman" w:hAnsi="Times New Roman" w:cs="Times New Roman"/>
          <w:b/>
        </w:rPr>
      </w:pPr>
      <w:r w:rsidRPr="00680B5B">
        <w:rPr>
          <w:rFonts w:ascii="Times New Roman" w:hAnsi="Times New Roman" w:cs="Times New Roman"/>
          <w:b/>
        </w:rPr>
        <w:t>3.43 FATURAMENTO</w:t>
      </w:r>
    </w:p>
    <w:p w14:paraId="46E4BAE5"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Deverá permitir a importação da tabela SIGTAP, gerando todos os relacionamentos necessários de procedimentos, valores, especialidades e CIDs. </w:t>
      </w:r>
    </w:p>
    <w:p w14:paraId="4FE2B649"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lastRenderedPageBreak/>
        <w:t>O sistema deve dispor de gerenciamento de procedimentos, de forma que eles possam ser filtrados por grupo e subgrupo.</w:t>
      </w:r>
    </w:p>
    <w:p w14:paraId="4777F938"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possuir funcionalidade que permita criar condições para requisição dos procedimentos, como a necessidade de outro procedimento já ter tido resultado liberado.</w:t>
      </w:r>
    </w:p>
    <w:p w14:paraId="60A0A5FE"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disponibilizar consulta que permita avaliar os relacionamentos dos procedimentos, sendo o relacionamento com CBO, CID, serviços, habilitação e modalidade, por exemplo.</w:t>
      </w:r>
    </w:p>
    <w:p w14:paraId="0E0CFA83"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importação do arquivo CNES, importando os estabelecimentos de saúde, profissionais, os vínculos empregatícios e as equipes.</w:t>
      </w:r>
    </w:p>
    <w:p w14:paraId="22F32306"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Durante o atendimento multiprofissional, o sistema deve possibilitar que sejam gerados os procedimentos de acordo com o profissional que está fazendo o lançamento, alertando para possíveis críticas de faturamento.</w:t>
      </w:r>
    </w:p>
    <w:p w14:paraId="64934FD4"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permitir que no cadastro de unidades seja relacionada a unidade responsável envio dos dados para o BNAFAR nos casos em que a unidade do cadastro seja apenas para controle da farmácia. </w:t>
      </w:r>
    </w:p>
    <w:p w14:paraId="026A7021"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 permitir que no cadastro de unidades seja definida a unidade prestadora para os registros de demanda espontânea. </w:t>
      </w:r>
    </w:p>
    <w:p w14:paraId="485C5BFC"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Deve ser possível realizar a criação de tabelas auxiliares, de forma que possam ser definidos procedimentos e valores específicos para execução. </w:t>
      </w:r>
    </w:p>
    <w:p w14:paraId="1A419CA8"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gerenciar o faturamento de Procedimentos Ambulatoriais de Alta Complexidade (APAC) no formato SIASUS, utilizando os dados fornecidos pelos programas, eliminando a necessidade de digitação manual.</w:t>
      </w:r>
    </w:p>
    <w:p w14:paraId="622395CC"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gerenciar o faturamento das Autorizações de Internações Hospitalares (AIH) no formato SIH/SUS, utilizando os dados dos programas fornecidos, sem necessidade de digitação adicional.</w:t>
      </w:r>
    </w:p>
    <w:p w14:paraId="0A3698DE"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gerar e monitorar o faturamento do Boletim de Produção Ambulatorial (BPA), tanto consolidado quanto individualizado, em formato BPA Magnético, utilizando os dados dos programas fornecidos, sem a necessidade de digitação manual.</w:t>
      </w:r>
    </w:p>
    <w:p w14:paraId="6B932362"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possibilitar a geração do arquivo de faturamento do BPA das unidades municipais de forma agrupada ou individual, conforme preferência (um arquivo para todas as unidades ou um arquivo para cada unidade).</w:t>
      </w:r>
    </w:p>
    <w:p w14:paraId="06C16349"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possuir funcionalidade que permita acompanhar os gastos do paciente desde o atendimento até a conclusão do procedimento, seja internação, ambulatorial ou exames, proporcionando uma visão clara dos custos envolvidos.</w:t>
      </w:r>
    </w:p>
    <w:p w14:paraId="440AA496"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possibilitar a emissão de prévias de faturamento para as unidades de saúde, profissionais e em geral, fornecendo uma estimativa dos custos antes da fatura final.</w:t>
      </w:r>
    </w:p>
    <w:p w14:paraId="6758E9C1"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a inserção manual da produção das unidades de saúde durante a implantação dos programas, especialmente para aquelas que ainda não foram informatizadas.</w:t>
      </w:r>
    </w:p>
    <w:p w14:paraId="590C7418"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o registro das Ações Ambulatoriais em Saúde (RAAS) domiciliares e psicossociais de forma adequada e organizada. O sistema deverá gerar arquivo para envio de dados ao sistema RAAS utilizando as informações gerenciadas pelos programas fornecidos, sem necessidade de entrada manual de dados.</w:t>
      </w:r>
    </w:p>
    <w:p w14:paraId="4DCE9489"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possuir funcionalidade para envio dos dados ao sistema e-SUS a partir das informações lançadas durante a utilização do sistema, eliminando a necessidade de digitação adicional.</w:t>
      </w:r>
    </w:p>
    <w:p w14:paraId="0925211E"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permitir o envio de dados à Rede Nacional de Dados em Saúde (RNDS), incluindo informações sobre vacinas configuradas e autorizadas.</w:t>
      </w:r>
    </w:p>
    <w:p w14:paraId="70742B1A"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 conter funcionalidade para realizar o envio dos dados necessários para consolidação na Base Nacional de Assistência Farmacêutica (BNAFAR).</w:t>
      </w:r>
    </w:p>
    <w:p w14:paraId="33A66EEB"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geração do Boletim de Produção Ambulatorial (BPA) consolidado para impressão.</w:t>
      </w:r>
    </w:p>
    <w:p w14:paraId="12FA0B8F"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geração do Boletim de Produção Ambulatorial (BPA) individualizado para impressão.</w:t>
      </w:r>
    </w:p>
    <w:p w14:paraId="1D9A2CCA"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permitir realizar a geração da prévia do Boletim de Produção Ambulatorial (BPA) para impressão.</w:t>
      </w:r>
    </w:p>
    <w:p w14:paraId="3EB511EE" w14:textId="77777777" w:rsidR="00B307DB" w:rsidRPr="00680B5B" w:rsidRDefault="00B307DB" w:rsidP="00A63962">
      <w:pPr>
        <w:numPr>
          <w:ilvl w:val="0"/>
          <w:numId w:val="347"/>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 xml:space="preserve">O sistema deverá possuir painel indicador que permita realizar o acompanhamento do Previne Brasil de acordo com os lançamentos realizados no sistema, de forma que seja possível realizar a configuração das metas e o acompanhamento do percentual de conclusão destas. </w:t>
      </w:r>
    </w:p>
    <w:p w14:paraId="437DBB6A" w14:textId="77777777" w:rsidR="00B307DB" w:rsidRPr="00680B5B" w:rsidRDefault="00B307DB" w:rsidP="00B307DB">
      <w:pPr>
        <w:spacing w:after="0" w:line="240" w:lineRule="auto"/>
        <w:ind w:right="-568"/>
        <w:jc w:val="both"/>
        <w:rPr>
          <w:rFonts w:ascii="Times New Roman" w:hAnsi="Times New Roman" w:cs="Times New Roman"/>
        </w:rPr>
      </w:pPr>
    </w:p>
    <w:p w14:paraId="498BB72F" w14:textId="77777777" w:rsidR="00B307DB" w:rsidRPr="00680B5B" w:rsidRDefault="00B307DB" w:rsidP="00B307DB">
      <w:pPr>
        <w:spacing w:after="0" w:line="240" w:lineRule="auto"/>
        <w:ind w:right="-568" w:hanging="10"/>
        <w:jc w:val="both"/>
        <w:rPr>
          <w:rFonts w:ascii="Times New Roman" w:hAnsi="Times New Roman" w:cs="Times New Roman"/>
          <w:b/>
        </w:rPr>
      </w:pPr>
      <w:r w:rsidRPr="00680B5B">
        <w:rPr>
          <w:rFonts w:ascii="Times New Roman" w:hAnsi="Times New Roman" w:cs="Times New Roman"/>
          <w:b/>
        </w:rPr>
        <w:t>3.44 APLICATIVO DA AGENTE COMUNITÁRIA DE SAÚDE</w:t>
      </w:r>
    </w:p>
    <w:p w14:paraId="0FFF7293"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aplicativo deve operar de forma independente, ou seja, sem a necessidade de conexão com a rede.</w:t>
      </w:r>
    </w:p>
    <w:p w14:paraId="55DB257A"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possuir características para o controle e administração dos mesmos dados do software online.</w:t>
      </w:r>
    </w:p>
    <w:p w14:paraId="53399C60"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possível liberar o acesso aos ACS pelo operador responsável pela unidade de saúde.</w:t>
      </w:r>
    </w:p>
    <w:p w14:paraId="6430EDA8"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A identificação do ACS deve ser feita por meio do Cadastro de Pessoa Física (CPF) e senha.</w:t>
      </w:r>
    </w:p>
    <w:p w14:paraId="441A3D9E"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Após 3 (três) tentativas com dados de login inválidos, o acesso do ACS deve ser bloqueado.</w:t>
      </w:r>
    </w:p>
    <w:p w14:paraId="3DBAAC57"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gerenciamento de cargas dos ACS deve ser permitido pelo operador responsável da unidade de saúde, sem manipulação de arquivos, para garantir a integridade das informações, incluindo funcionalidades como cancelamento de carga e redefinição de validade da carga.</w:t>
      </w:r>
    </w:p>
    <w:p w14:paraId="3D726C8F"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realizado bloqueio e liberação do cadastro das famílias e seus integrantes enviados para o aplicativo móvel devem ser controlados até a data final da validade da carga, liberando automaticamente após esta data ou após o recebimento.</w:t>
      </w:r>
    </w:p>
    <w:p w14:paraId="69BB7374"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ser gerada produção (BPA) das visitas efetuadas pela agente comunitária de forma automática.</w:t>
      </w:r>
    </w:p>
    <w:p w14:paraId="57490A3F"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a visualização das informações da carga atual incluindo data de recebimento, responsável, área, microárea, número de famílias, número de pessoas e data de validade da carga.</w:t>
      </w:r>
    </w:p>
    <w:p w14:paraId="281AFC50"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possuir controle de permissão das informações por ACS, limitando a manutenção às famílias de sua área e microárea.</w:t>
      </w:r>
    </w:p>
    <w:p w14:paraId="2E4E5258"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que o ACS possa solicitar consultas não reguladas para membros da família.</w:t>
      </w:r>
    </w:p>
    <w:p w14:paraId="0DB9C62D"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disponibilizar uma lista de famílias contidas na carga de dados de acordo com os relacionamentos do ACS.</w:t>
      </w:r>
    </w:p>
    <w:p w14:paraId="2AF45569"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que as informações da família sejam visualizáveis conforme os padrões da Ficha "A" ou fichas de cadastro individual e domiciliar do e-SUS.</w:t>
      </w:r>
    </w:p>
    <w:p w14:paraId="7A7D654C"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possibilitar a atualização e inclusão de novos integrantes na família.</w:t>
      </w:r>
    </w:p>
    <w:p w14:paraId="37A411BE"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permitir realizar o registro de visita domiciliar, com informações específicas para cada membro da família.</w:t>
      </w:r>
    </w:p>
    <w:p w14:paraId="2C4966B0"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registrar a latitude e longitude automaticamente ao concluir uma visita domiciliar.</w:t>
      </w:r>
    </w:p>
    <w:p w14:paraId="16F53E6A"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possibilitar o acesso à consulta de histórico de vacinas e impressão da carteira de vacinação.</w:t>
      </w:r>
    </w:p>
    <w:p w14:paraId="59681F21"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O sistema deverá possibilitar consulta do histórico dos exames, listagem dos exames agendados e visualização das orientações para coleta.</w:t>
      </w:r>
    </w:p>
    <w:p w14:paraId="0A7F1ECA" w14:textId="77777777" w:rsidR="00B307DB" w:rsidRPr="00680B5B" w:rsidRDefault="00B307DB" w:rsidP="00A63962">
      <w:pPr>
        <w:numPr>
          <w:ilvl w:val="0"/>
          <w:numId w:val="348"/>
        </w:numPr>
        <w:tabs>
          <w:tab w:val="left" w:pos="284"/>
        </w:tabs>
        <w:suppressAutoHyphens/>
        <w:spacing w:after="0" w:line="240" w:lineRule="auto"/>
        <w:ind w:left="0" w:right="-568"/>
        <w:jc w:val="both"/>
        <w:rPr>
          <w:rFonts w:ascii="Times New Roman" w:hAnsi="Times New Roman" w:cs="Times New Roman"/>
        </w:rPr>
      </w:pPr>
      <w:r w:rsidRPr="00680B5B">
        <w:rPr>
          <w:rFonts w:ascii="Times New Roman" w:hAnsi="Times New Roman" w:cs="Times New Roman"/>
        </w:rPr>
        <w:t>Deve disponibilizar o histórico de atendimentos médicos, odontológicos e de enfermagem são registrados, incluindo informações sobre atendimento, triagem, procedimentos, exames solicitados e prescrições.</w:t>
      </w:r>
    </w:p>
    <w:p w14:paraId="49CCF124" w14:textId="77777777" w:rsidR="00B307DB" w:rsidRPr="00680B5B" w:rsidRDefault="00B307DB" w:rsidP="00B307DB">
      <w:pPr>
        <w:tabs>
          <w:tab w:val="left" w:pos="284"/>
        </w:tabs>
        <w:spacing w:after="0" w:line="240" w:lineRule="auto"/>
        <w:ind w:right="-568"/>
        <w:jc w:val="both"/>
        <w:rPr>
          <w:rFonts w:ascii="Times New Roman" w:hAnsi="Times New Roman" w:cs="Times New Roman"/>
        </w:rPr>
      </w:pPr>
      <w:r w:rsidRPr="00680B5B">
        <w:rPr>
          <w:rFonts w:ascii="Times New Roman" w:hAnsi="Times New Roman" w:cs="Times New Roman"/>
        </w:rPr>
        <w:t>Deve possuir funcionalidade que permita a realização de agendamento de consultas não reguladas.</w:t>
      </w:r>
    </w:p>
    <w:p w14:paraId="564BD00A" w14:textId="77777777" w:rsidR="00B307DB" w:rsidRPr="00680B5B" w:rsidRDefault="00B307DB" w:rsidP="00B307DB">
      <w:pPr>
        <w:spacing w:after="0" w:line="240" w:lineRule="auto"/>
        <w:ind w:right="-568"/>
        <w:jc w:val="both"/>
        <w:rPr>
          <w:rFonts w:ascii="Times New Roman" w:hAnsi="Times New Roman" w:cs="Times New Roman"/>
        </w:rPr>
      </w:pPr>
    </w:p>
    <w:p w14:paraId="3578E0EE" w14:textId="77777777" w:rsidR="00B307DB" w:rsidRPr="00680B5B" w:rsidRDefault="00B307DB" w:rsidP="00B307DB">
      <w:pPr>
        <w:spacing w:after="0" w:line="240" w:lineRule="auto"/>
        <w:ind w:right="-568"/>
        <w:jc w:val="both"/>
        <w:rPr>
          <w:rFonts w:ascii="Times New Roman" w:hAnsi="Times New Roman" w:cs="Times New Roman"/>
          <w:b/>
        </w:rPr>
      </w:pPr>
      <w:r w:rsidRPr="00680B5B">
        <w:rPr>
          <w:rFonts w:ascii="Times New Roman" w:hAnsi="Times New Roman" w:cs="Times New Roman"/>
          <w:b/>
        </w:rPr>
        <w:t>3.45 GESTÃO SOCIAL</w:t>
      </w:r>
    </w:p>
    <w:p w14:paraId="7959E75E" w14:textId="77777777" w:rsidR="00B307DB" w:rsidRPr="00680B5B" w:rsidRDefault="00B307DB" w:rsidP="00A63962">
      <w:pPr>
        <w:pStyle w:val="PargrafodaLista"/>
        <w:numPr>
          <w:ilvl w:val="0"/>
          <w:numId w:val="349"/>
        </w:numPr>
        <w:tabs>
          <w:tab w:val="clear" w:pos="720"/>
          <w:tab w:val="left" w:pos="426"/>
          <w:tab w:val="left" w:pos="709"/>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unidades/equipamentos sociais contendo no mínimo nome da unidade, coordenador ou responsável, endereço, município, telefone, tipo (CRAS, CREAS, Secretaria, Centro POP, Centro DIA, Acolhimento, Saúde, Judiciário, entre outros), unidades/equipamentos de referência; código de identificação e data de implantação.</w:t>
      </w:r>
    </w:p>
    <w:p w14:paraId="090E0A59" w14:textId="77777777" w:rsidR="00B307DB" w:rsidRPr="00680B5B" w:rsidRDefault="00B307DB" w:rsidP="00A63962">
      <w:pPr>
        <w:pStyle w:val="PargrafodaLista"/>
        <w:numPr>
          <w:ilvl w:val="0"/>
          <w:numId w:val="349"/>
        </w:numPr>
        <w:tabs>
          <w:tab w:val="clear" w:pos="720"/>
          <w:tab w:val="left" w:pos="426"/>
          <w:tab w:val="left" w:pos="709"/>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georreferenciamento dos equipamentos sociais.</w:t>
      </w:r>
    </w:p>
    <w:p w14:paraId="7AAF9BEB" w14:textId="77777777" w:rsidR="00B307DB" w:rsidRPr="00680B5B" w:rsidRDefault="00B307DB" w:rsidP="00A63962">
      <w:pPr>
        <w:pStyle w:val="PargrafodaLista"/>
        <w:numPr>
          <w:ilvl w:val="0"/>
          <w:numId w:val="349"/>
        </w:numPr>
        <w:tabs>
          <w:tab w:val="clear" w:pos="720"/>
          <w:tab w:val="left" w:pos="426"/>
          <w:tab w:val="left" w:pos="709"/>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um equipamento social como sigiloso e com isso restringir a acesso as informações de atendimento geradas por este equipamento apenas a sua equipe técnica.</w:t>
      </w:r>
    </w:p>
    <w:p w14:paraId="3DFD914A" w14:textId="77777777" w:rsidR="00B307DB" w:rsidRPr="00680B5B" w:rsidRDefault="00B307DB" w:rsidP="00A63962">
      <w:pPr>
        <w:pStyle w:val="PargrafodaLista"/>
        <w:numPr>
          <w:ilvl w:val="0"/>
          <w:numId w:val="349"/>
        </w:numPr>
        <w:tabs>
          <w:tab w:val="clear" w:pos="720"/>
          <w:tab w:val="left" w:pos="426"/>
          <w:tab w:val="left" w:pos="709"/>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cadastro de cargos profissionais conforme NOB-RH/SUAS.</w:t>
      </w:r>
    </w:p>
    <w:p w14:paraId="43BB94BB" w14:textId="77777777" w:rsidR="00B307DB" w:rsidRPr="00680B5B" w:rsidRDefault="00B307DB" w:rsidP="00A63962">
      <w:pPr>
        <w:pStyle w:val="PargrafodaLista"/>
        <w:numPr>
          <w:ilvl w:val="0"/>
          <w:numId w:val="349"/>
        </w:numPr>
        <w:tabs>
          <w:tab w:val="clear" w:pos="720"/>
          <w:tab w:val="left" w:pos="426"/>
          <w:tab w:val="left" w:pos="709"/>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profissionais da assistência social, informando seus vínculos empregatícios com o equipamento e horários de expediente.</w:t>
      </w:r>
    </w:p>
    <w:p w14:paraId="0E45A367" w14:textId="77777777" w:rsidR="00B307DB" w:rsidRPr="00680B5B" w:rsidRDefault="00B307DB" w:rsidP="00A63962">
      <w:pPr>
        <w:pStyle w:val="PargrafodaLista"/>
        <w:numPr>
          <w:ilvl w:val="0"/>
          <w:numId w:val="349"/>
        </w:numPr>
        <w:tabs>
          <w:tab w:val="clear" w:pos="720"/>
          <w:tab w:val="num"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configuração para definir quais informações cada profissional irá visualizar no prontuário da pessoa, possibilitando limitar para apenas os registros lançados pelo próprio profissional; ou todos os atendimentos realizados no equipamento onde o mesmo possui vínculo; ou então todos os atendimentos registrados no município.</w:t>
      </w:r>
    </w:p>
    <w:p w14:paraId="209A554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Dispor de configuração para definir quais informações cada profissional irá visualizar no prontuário da Família, possibilitando limitar para apenas os registros lançados pelo próprio profissional; ou todos os atendimentos realizados no equipamento onde o mesmo possui vínculo; ou então todos os atendimentos registrados no município.</w:t>
      </w:r>
    </w:p>
    <w:p w14:paraId="5BC53FE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a inclusão, edição, exclusão e inativação do cadastro de tipos de renda e despesa;</w:t>
      </w:r>
    </w:p>
    <w:p w14:paraId="39308D7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 salário mínimo vigente;</w:t>
      </w:r>
    </w:p>
    <w:p w14:paraId="16AF788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família contendo as seguintes informações: código do CadÚnico da família; Responsável familiar; tipo de família; classe social; povo/comunidade tradicional; Integrantes da família; e informações do Domicilio.</w:t>
      </w:r>
    </w:p>
    <w:p w14:paraId="64AEACC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no cadastro de domicílio todos os dados comuns do cadastro único, como, endereço, tipo de localidade (urbana ou rural), espécie do domicílio (particular permanente, particular improvisado e coletivo), quantidade de cômodos, material predominante no piso, material predominante nas paredes, forma de iluminação, forma de abastecimento de água, forma de destino do lixo e se existe banheiro ou sanitário;</w:t>
      </w:r>
    </w:p>
    <w:p w14:paraId="1C2725D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um único domicílio possa ser relacionado a múltiplas famílias.</w:t>
      </w:r>
    </w:p>
    <w:p w14:paraId="24E2560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inclusão, edição, exclusão e inativação do cadastro de pessoas possibilitando informar: CPF; NIS; Nome; Filiação; data de nascimento; Sexo; Raça/cor; orientação sexual e identidade de gênero; Endereço; contatos; escolaridade; equipamento social de referência; </w:t>
      </w:r>
    </w:p>
    <w:p w14:paraId="1A0B56F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as vulnerabilidades da pessoa informando: Vulnerabilidade; data de identificação e observações;</w:t>
      </w:r>
    </w:p>
    <w:p w14:paraId="4013DDF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 superação de vulnerabilidade;</w:t>
      </w:r>
    </w:p>
    <w:p w14:paraId="5537AC0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histórico no cadastro da pessoa de todas as vulnerabilidades que possui e também aquelas já superadas por ela.</w:t>
      </w:r>
    </w:p>
    <w:p w14:paraId="53CEFA6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respeitar a configuração feita para a vulnerabilidade permitindo que apenas os tipos de equipamentos configurados possam registrá-la.</w:t>
      </w:r>
    </w:p>
    <w:p w14:paraId="46684EC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as potencialidades da pessoa informado: data de identificação e observações</w:t>
      </w:r>
    </w:p>
    <w:p w14:paraId="2AA3059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remover as potencialidades da pessoa;</w:t>
      </w:r>
    </w:p>
    <w:p w14:paraId="4B19DE1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o histórico de todas as potencialidades da pessoa.</w:t>
      </w:r>
    </w:p>
    <w:p w14:paraId="3A695A8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no cadastro de pessoas campo descrição do nome social para atender o Decreto Presidencial Nº 8.727/2016, que dispõe sobre o uso do nome social e o reconhecimento da identidade de gênero de pessoas travestis e transexuais.</w:t>
      </w:r>
    </w:p>
    <w:p w14:paraId="76C33F9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informações trabalhistas da pessoa permitindo informar: Situação de trabalho; Ocupação; Local de trabalho; e data de admissão.</w:t>
      </w:r>
    </w:p>
    <w:p w14:paraId="3B6B6D6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informações socioeconômicas da pessoa, permitindo registrar rendas (tipo; valor; data; e vínculo empregatício que gerou a renda) e despesas (tipo; valor; e data).</w:t>
      </w:r>
    </w:p>
    <w:p w14:paraId="2351EC4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o histórico de rendas e despesas da pessoa</w:t>
      </w:r>
    </w:p>
    <w:p w14:paraId="18E1448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Registro de falecimento da pessoa contendo: Pessoa; Data do óbito; Tipo do Óbito; Local; Causa;</w:t>
      </w:r>
    </w:p>
    <w:p w14:paraId="150F548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tipo de atividade de gestão;</w:t>
      </w:r>
    </w:p>
    <w:p w14:paraId="082B66B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atividades de gestão informando: Data; Tipo de Atividade; Local; Descrição; Programa, serviços e/ou projeto; Participantes.</w:t>
      </w:r>
    </w:p>
    <w:p w14:paraId="0410248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atividades de unidades nas quais o mesmo não possua vínculo empregatício.</w:t>
      </w:r>
    </w:p>
    <w:p w14:paraId="7A55B1F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o sistema para alertar quando um cidadão está com cadastro desatualizado e impedir o seu atendimento sem que antes seja atualizo seus dados cadastrais.</w:t>
      </w:r>
    </w:p>
    <w:p w14:paraId="4499650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importação do arquivo do CadÚnico e a partir desta importação criar os novos cadastros de pessoas e famílias presentes no arquivo e não no sistema e, atualizar os dados das pessoas e das famílias já existentes de acordo com as informações presentes no arquivo.</w:t>
      </w:r>
    </w:p>
    <w:p w14:paraId="4BC50FE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parametrizar a forma de importação dos dados do cadastro único, para que seja possível importar apenas os novos cadastros ou todos os cadastros, importar e não alterar composição familiar, importar e não alterar o endereço; importar e não alterar características do domicílio; importar e não alterar documentação das pessoas; importar e não alterar informações de escolaridade; importar e não alterar contatos;</w:t>
      </w:r>
    </w:p>
    <w:p w14:paraId="6200461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dos tipos de benefícios contendo: Nome do tipo de benefício; classificação (Auxilio Funeral; Auxilio Natalidade; Situação de Calamidade; Situação de vulnerabilidade temporária);</w:t>
      </w:r>
    </w:p>
    <w:p w14:paraId="3F8DE88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benefícios permitindo informar: Beneficio; Tipo; Forma de dispensação (quantidade ou valor); possui controle por Cota; Necessita de aprovação para dispensar; e Locais de oferta do benefício.</w:t>
      </w:r>
    </w:p>
    <w:p w14:paraId="421D51E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ao profissional definir as regras para dispensação de cada benefícios permitindo definir minimamente os seguintes parâmetros: Quantidade de benefícios por requisição; Número de benefícios recebidos pelo solicitante em determinado período; e Benefícios já recebidos pela família.</w:t>
      </w:r>
    </w:p>
    <w:p w14:paraId="79DC488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profissional definir o comportamento do sistema quando na requisição do benefício o cidadão não atender a alguma das regras, podendo ter os seguintes comportamentos: Apenas alertar o profissional que está incluindo a requisição; impedir de requisitar o benefício; ou permitir a requisição mediante senha de autorização do supervisor.</w:t>
      </w:r>
    </w:p>
    <w:p w14:paraId="12D88BE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 o gerenciamento de cotas de benefícios devendo possuir as seguintes informações: Total de cotas para o período; total de cotas por unidade assistencial; e período de vigência da cota.</w:t>
      </w:r>
    </w:p>
    <w:p w14:paraId="187B59B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incluir cotas para períodos futuros, no entanto será permitido a dispensação apenas das cotas do período vigente.</w:t>
      </w:r>
    </w:p>
    <w:p w14:paraId="4F2D513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sobreposição de datas para cotas do mesmo benefício.</w:t>
      </w:r>
    </w:p>
    <w:p w14:paraId="18918A5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dos fornecedores do benefício.</w:t>
      </w:r>
    </w:p>
    <w:p w14:paraId="2275F46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 entrada dos benefícios sociais com as seguintes informações: Fornecedor; nota fiscal; Data de Emissão da nota; valor total; Benefícios;</w:t>
      </w:r>
    </w:p>
    <w:p w14:paraId="222D7BA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 exclusão de requisições de benefícios devendo informar: Pessoa/família requisitante; benefícios requisitados; data; Profissional;</w:t>
      </w:r>
    </w:p>
    <w:p w14:paraId="45EE12B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 apresentação de documentos obrigatórios para a inclusão da requisição.</w:t>
      </w:r>
    </w:p>
    <w:p w14:paraId="59507D7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requisitar um benefício que exigem autorização de supervisores esta requisição deve ficar pendente de autorização e impossibilitando sua dispensação até que o profissional responsável avalie.</w:t>
      </w:r>
    </w:p>
    <w:p w14:paraId="7FE97A7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Disponibilizar a impressão do comprovante de requisição de benefícios, sendo que cada benefício poderá ter um comprovante específico.</w:t>
      </w:r>
    </w:p>
    <w:p w14:paraId="3B0D2C2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Enviar automaticamente uma notificação ao profissional responsável pela avaliação dos benefícios, sempre que for incluso uma requisição em que existir um benefício com esta configuração.</w:t>
      </w:r>
    </w:p>
    <w:p w14:paraId="0364DD0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profissional responsável avaliar de forma individual cada benefício presente na requisição.</w:t>
      </w:r>
    </w:p>
    <w:p w14:paraId="4F7FC96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Um benefício que exige autorização, somente poderá ser avaliado pelo profissional autorizador do equipamento requisitante, conforme configurado para o benefício.</w:t>
      </w:r>
    </w:p>
    <w:p w14:paraId="745E644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Controlar para que cada profissional autorizador, possa visualizar e avaliar apenas os benefícios para o qual ele está definido como responsável.</w:t>
      </w:r>
    </w:p>
    <w:p w14:paraId="643A25A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avaliação.</w:t>
      </w:r>
    </w:p>
    <w:p w14:paraId="25C2548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a entrega do benefício apenas quando os mesmos estejam autorizados ou então quando não exijam autorização.</w:t>
      </w:r>
    </w:p>
    <w:p w14:paraId="2B326E8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cancelar a requisição de benefícios, desde que a mesma ainda não tenha sido entregue.</w:t>
      </w:r>
    </w:p>
    <w:p w14:paraId="48C6171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 entrega dos benefícios preenchendo as seguintes informações: data; motivo; profissional;</w:t>
      </w:r>
    </w:p>
    <w:p w14:paraId="726FB69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imprimir o comprovante de dispensação.</w:t>
      </w:r>
    </w:p>
    <w:p w14:paraId="42BCFA1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parametrizar o tempo máximo em que uma requisição poderá ser alterada, cancelada ou excluída após o seu registro no sistema.</w:t>
      </w:r>
    </w:p>
    <w:p w14:paraId="66D38E4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 exclusão de registros dos beneficiários do Benefício de Prestação Continuada - BPC, contendo as seguintes informações: Nome do beneficiário; número do benefício; data de início do recebimento; tipo do representante; e representante quando possuir;</w:t>
      </w:r>
    </w:p>
    <w:p w14:paraId="5D06745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incluir atualização do valor recebido, de acordo com o salário mínimo vigente no período informado.</w:t>
      </w:r>
    </w:p>
    <w:p w14:paraId="5BAAF89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as atualizações de situação do BPC, permitindo registrar suspensões do benefício e o encerramento no recebimento.</w:t>
      </w:r>
    </w:p>
    <w:p w14:paraId="490E91E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Realizar a importação da folha de pagamento do BPC, atualizando os valores e situações de todos os beneficiários; e incluir os novos beneficiários; </w:t>
      </w:r>
    </w:p>
    <w:p w14:paraId="4F00A38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tela que liste os benefícios em demanda reprimida (benefícios autorizados e não entregues por falta em estoque) contendo informações, no mínimo, nome do cidadão, benefício e quantidade; e data de entrada na fila.</w:t>
      </w:r>
    </w:p>
    <w:p w14:paraId="668E9D5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incluir a requisição do benefício através da lista de demanda reprimida, quando houver benefício disponível.</w:t>
      </w:r>
    </w:p>
    <w:p w14:paraId="0836823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Possibilitar a inclusão, edição, exclusão e inativação das formas de acesso a programas, serviços e projetos socioassistenciais.</w:t>
      </w:r>
    </w:p>
    <w:p w14:paraId="2E2D9A7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formas de acesso estarão disponíveis para cada tipos de programas, serviços ou projetos socioassistenciais.</w:t>
      </w:r>
    </w:p>
    <w:p w14:paraId="268BD36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das formas de desligamento dos programas, serviços e projetos socioassistenciais.</w:t>
      </w:r>
    </w:p>
    <w:p w14:paraId="5D3AAA4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formas de desligamento estarão disponíveis para cada tipos de programas, serviços ou projetos socioassistenciais.</w:t>
      </w:r>
    </w:p>
    <w:p w14:paraId="2EA4448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dos tipos de públicos prioritários a serem inclusos nos programas, serviços e projetos socioassistenciais.</w:t>
      </w:r>
    </w:p>
    <w:p w14:paraId="6EE5F93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tipos de públicos prioritários estarão disponíveis para cada tipos de programas, serviços ou projetos socioassistenciais.</w:t>
      </w:r>
    </w:p>
    <w:p w14:paraId="0796645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das atividades sociais a serem desenvolvidas em cada programa, serviço ou projetos socioassistenciais.</w:t>
      </w:r>
    </w:p>
    <w:p w14:paraId="2F94EBE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quais vulnerabilidades e potencialidades serão trabalhadas com cada atividade desenvolvida.</w:t>
      </w:r>
    </w:p>
    <w:p w14:paraId="7F29AAA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tipos de medidas socioeducativas, contendo os seguintes tipos: Liberdade Assistida; Prestação de Serviço a Comunidade; Advertência; Obrigação de reparo ao dano; Semiliberdade; Internação; e Liberdade Assistida com Prestação de Serviço a comunidade;</w:t>
      </w:r>
    </w:p>
    <w:p w14:paraId="7C85481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cadastro de atos infracionais.</w:t>
      </w:r>
    </w:p>
    <w:p w14:paraId="202BC92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programas assistenciais informando: Nome do programa; Tipo do programa; Oferta do programa; Esfera administrativa;</w:t>
      </w:r>
    </w:p>
    <w:p w14:paraId="4AD1214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programa, com base nos seguintes parâmetros: Tipo de Integrante (familiar ou individual); limitar o acesso por sexo; número de vagas disponíveis; faixa etária; ser integrantes em outro programa ou serviço; possuir vulnerabilidades.</w:t>
      </w:r>
    </w:p>
    <w:p w14:paraId="53F5A20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equipamentos irão ofertar o programa.</w:t>
      </w:r>
    </w:p>
    <w:p w14:paraId="1155406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a equipe de profissionais responsável por executar as ações de cada programa social.</w:t>
      </w:r>
    </w:p>
    <w:p w14:paraId="0E949E2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gerenciar os valores ofertados pelos programas de transferência de renda, mantendo o histórico dos valores alterados.</w:t>
      </w:r>
    </w:p>
    <w:p w14:paraId="7684769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configurar quais atividades, potencialidades e vulnerabilidade serão trabalhadas em cada programa socioassistencial.</w:t>
      </w:r>
    </w:p>
    <w:p w14:paraId="52C5733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grupos de integrantes para cada programa.</w:t>
      </w:r>
    </w:p>
    <w:p w14:paraId="7BE0E27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Cada grupo deve ser exclusivo de um equipamento social, não sendo possível outro equipamento utilizar o mesmo grupo.</w:t>
      </w:r>
    </w:p>
    <w:p w14:paraId="7D5CA38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grupo do programa, com base nos seguintes parâmetros: tipo de integrante (familiar ou individual); limitar o acesso por sexo; número de vagas disponíveis; e faixa etária; ser participante de algum programa ou serviço; possuir vulnerabilidade; ser beneficiário do BPC;</w:t>
      </w:r>
    </w:p>
    <w:p w14:paraId="65FA6A2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As regras definidas para o grupo não podem contrariar as regras do programa a qual o grupo pertence.</w:t>
      </w:r>
    </w:p>
    <w:p w14:paraId="52C73A9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as características do grupo, preenchendo minimamente as seguintes informações: tipo do grupo (podendo ser aberto ou fechado); previsão de início dos atendimentos; previsão de término; carga horária; horários e dias da semana em que o grupo será atendido.</w:t>
      </w:r>
    </w:p>
    <w:p w14:paraId="401FF70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bloquear a inclusão de novos integrantes em grupos do tipo fechado e que já tenham iniciado seus atendimentos.</w:t>
      </w:r>
    </w:p>
    <w:p w14:paraId="255442D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se profissionais que não fazem parte da equipe técnica do programa podem registrar dados para os integrantes deste programa.</w:t>
      </w:r>
    </w:p>
    <w:p w14:paraId="2C94617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pessoas/famílias no programa social, sendo que a inclusão deverá ser confirmada apenas se as pessoas/famílias atenderem as regras definidas para entrada de novos integrantes.</w:t>
      </w:r>
    </w:p>
    <w:p w14:paraId="536C9AC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novos integrantes informando: data de entrada no programa; motivo da inserção e equipamento social onde ele será atendido.</w:t>
      </w:r>
    </w:p>
    <w:p w14:paraId="087B92A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consulta que informe que não estão mais de acordo com as regras de inclusão, facilitando a identificação de integrantes que devem ser desligados do programa.</w:t>
      </w:r>
    </w:p>
    <w:p w14:paraId="07B4CA0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 xml:space="preserve">Possibilitar a inclusão do integrante do programa social aos grupos deste programa. </w:t>
      </w:r>
    </w:p>
    <w:p w14:paraId="3DB780C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integrante seja incluso apenas em grupos da mesma unidade assistencial onde o integrante foi incluso ao programa.</w:t>
      </w:r>
    </w:p>
    <w:p w14:paraId="43D527E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Antes de incluir o integrante a um grupo, o sistema deverá validar as regras de inclusão definidas para o grupo.</w:t>
      </w:r>
    </w:p>
    <w:p w14:paraId="6368337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informar os responsáveis legais para integrantes menores de idade.</w:t>
      </w:r>
    </w:p>
    <w:p w14:paraId="2F8C1E3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informar o valor recebido e manter histórico dos valores repassados já repassados ao integrante, quando o programa for do tipo transferência de renda.</w:t>
      </w:r>
    </w:p>
    <w:p w14:paraId="2D6F519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relacionar a mesma pessoa/família a mais de um grupo do programa simultaneamente</w:t>
      </w:r>
    </w:p>
    <w:p w14:paraId="2298BC4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do integrante em cada grupo.</w:t>
      </w:r>
    </w:p>
    <w:p w14:paraId="587BEE1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da pessoa/família em cada programa.</w:t>
      </w:r>
    </w:p>
    <w:p w14:paraId="256AFE8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Todas os equipamentos sociais que ofertam o programa devem ter acesso à lista de integrante do programa independente do equipamento que cadastrou o integrante, no entanto cada equipamento poderá gerenciar apenas os integrantes relacionados ao próprio equipamento social.</w:t>
      </w:r>
    </w:p>
    <w:p w14:paraId="14B3E7D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grupo, informando data e motivo do desligamento.</w:t>
      </w:r>
    </w:p>
    <w:p w14:paraId="54D14E8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programa social, informando data e motivo do desligamento.</w:t>
      </w:r>
    </w:p>
    <w:p w14:paraId="7CBDCEA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registrar desligamento do integrante de um programa, deverá ser validado se o mesmo está ativo em algum grupo deste programa, caso esteja deverá alertar o profissional e realizado o desligamento automático de todos os grupos onde ele ainda estava ativo.</w:t>
      </w:r>
    </w:p>
    <w:p w14:paraId="18ADDF6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cancelar o desligamento de um integrante do programa, neste caso devendo retornar a situação do mesmo para ativo no programa.</w:t>
      </w:r>
    </w:p>
    <w:p w14:paraId="6160E45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advertências, suspensões e bloqueios para o integrante no programa.</w:t>
      </w:r>
    </w:p>
    <w:p w14:paraId="5D258B1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avaliações dos integrantes do programa, realizando o desligamento automático do programa quando a avaliação concluir que não há mais necessidade por parte do integrante, ou este não deseja continuar no programa.</w:t>
      </w:r>
    </w:p>
    <w:p w14:paraId="0456D4B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serviços socioassistenciais conforme definido na Tipificação Nacional de Serviços Socioassistenciais.</w:t>
      </w:r>
    </w:p>
    <w:p w14:paraId="122C448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serviço, com base nos seguintes parâmetros: tipo de integrante (familiar ou individual); limitar o acesso por sexo; número de vagas disponíveis; e faixa etária; ser participante de algum programa ou serviço; possuir vulnerabilidade; ser beneficiário do BPC;</w:t>
      </w:r>
    </w:p>
    <w:p w14:paraId="474CEDA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equipamentos irão ofertar o serviço</w:t>
      </w:r>
    </w:p>
    <w:p w14:paraId="6D45922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a equipe de profissionais responsável por executar as ações de cada serviço socioassistencial.</w:t>
      </w:r>
    </w:p>
    <w:p w14:paraId="2105D43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validação impedindo que equipamento ofertem serviços de uma complexidade diferente daquelas definidas na tipificação nacional de serviços socioassistenciais para o tipo de equipamento.</w:t>
      </w:r>
    </w:p>
    <w:p w14:paraId="77AC06C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configurar quais atividades, potencialidades e vulnerabilidade serão trabalhadas em cada serviço socioassistencial.</w:t>
      </w:r>
    </w:p>
    <w:p w14:paraId="1D8D836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grupos de integrantes para cada serviço</w:t>
      </w:r>
    </w:p>
    <w:p w14:paraId="58F6980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Cada grupo deve ser exclusivo de um equipamento social, não sendo possível outro equipamento utilizar o mesmo grupo.</w:t>
      </w:r>
    </w:p>
    <w:p w14:paraId="0733125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grupo do serviço, com base nos seguintes parâmetros: tipo de integrante (familiar ou individual); limitar o acesso por sexo; número de vagas disponíveis; e faixa etária; ser participante de algum programa ou serviço; possuir vulnerabilidade; ser beneficiário do BPC;</w:t>
      </w:r>
    </w:p>
    <w:p w14:paraId="4D529C1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As regras de inclusão definidas para o grupo não podem sobrepor as regras do serviço a qual o grupo pertence.</w:t>
      </w:r>
    </w:p>
    <w:p w14:paraId="753B296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as características do grupo, preenchendo minimamente as seguintes informações: tipo do grupo (podendo ser aberto ou fechado); previsão de início dos atendimentos; previsão de término; carga horária; horários e dias da semana em que o grupo será atendido.</w:t>
      </w:r>
    </w:p>
    <w:p w14:paraId="79B0F2D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bloquear a inclusão de novos integrantes em grupos do tipo fechado e que já tenham iniciado seus atendimentos.</w:t>
      </w:r>
    </w:p>
    <w:p w14:paraId="1462186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Possibilitar a inclusão de pessoas/famílias no serviço socioassistencial, sendo que a inclusão deverá ser confirmada apenas se as pessoas/famílias atenderem as regras definidas para entrada de novos integrantes.</w:t>
      </w:r>
    </w:p>
    <w:p w14:paraId="124DD9B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novos integrantes informando: data de entrada no serviço; motivo da Inserção e equipamento social onde ele será atendido.</w:t>
      </w:r>
    </w:p>
    <w:p w14:paraId="4FA710B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se profissionais que não fazem parte da equipe técnica do serviço podem registrar dados para os integrantes deste serviço.</w:t>
      </w:r>
    </w:p>
    <w:p w14:paraId="5738E2E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consulta que informe que não estão mais de acordo com as regras de inclusão, facilitando a identificação de integrantes que devem ser desligados do serviço.</w:t>
      </w:r>
    </w:p>
    <w:p w14:paraId="3C66322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 inclusão do integrante do serviço socioassistencial aos grupos deste serviço. </w:t>
      </w:r>
    </w:p>
    <w:p w14:paraId="379FDC4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integrante seja incluso apenas em grupos do mesmo equipamento social onde o integrante foi incluso ao serviço.</w:t>
      </w:r>
    </w:p>
    <w:p w14:paraId="0AD1D01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Antes de incluir o integrante a um grupo, o sistema deverá validar as regras de inclusão definidas para o grupo.</w:t>
      </w:r>
    </w:p>
    <w:p w14:paraId="2E29668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informar os responsáveis legais para integrantes menores de idade.</w:t>
      </w:r>
    </w:p>
    <w:p w14:paraId="054E8D1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configurar os valores pagos para as famílias acolhedoras.</w:t>
      </w:r>
    </w:p>
    <w:p w14:paraId="3187EC4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o histórico de valores repassados a família acolhedora.</w:t>
      </w:r>
    </w:p>
    <w:p w14:paraId="4680EEE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incluir um integrante em um serviço de medida socioeducativa, informar o tipo da medida, número do processo, número do auto, total de horas ou meses a cumprir e os atos infracionais.</w:t>
      </w:r>
    </w:p>
    <w:p w14:paraId="5B5934A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incluir os registros de horas cumpridas da MSE</w:t>
      </w:r>
    </w:p>
    <w:p w14:paraId="0846FC9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relacionar a mesma pessoa/família a mais de um grupo do serviço simultaneamente</w:t>
      </w:r>
    </w:p>
    <w:p w14:paraId="2654C64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do integrante em cada grupo.</w:t>
      </w:r>
    </w:p>
    <w:p w14:paraId="1D469B8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da pessoa/família em cada serviço.</w:t>
      </w:r>
    </w:p>
    <w:p w14:paraId="38CA7EA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Todas os equipamentos sociais que ofertam o serviço devem ter acesso à lista de integrante do serviço independente do equipamento que cadastrou o integrante, no entanto cada equipamento poderá gerenciar apenas os integrantes relacionados ao próprio equipamento social.</w:t>
      </w:r>
    </w:p>
    <w:p w14:paraId="4B69FEB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grupo, informando data e motivo do desligamento.</w:t>
      </w:r>
    </w:p>
    <w:p w14:paraId="3C5CE2A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serviço socioassistencial, informando data e motivo do desligamento.</w:t>
      </w:r>
    </w:p>
    <w:p w14:paraId="52711C4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registrar desligamento do integrante de um serviço, deverá ser validado se o mesmo está ativo em algum grupo deste serviço, caso esteja deverá alertar o profissional e realizado o desligamento automático de todos os grupos onde ele ainda estava ativo.</w:t>
      </w:r>
    </w:p>
    <w:p w14:paraId="5855CAC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cancelar o desligamento de um integrante do serviço, neste caso devendo retornar a situação do mesmo para ativo no serviço.</w:t>
      </w:r>
    </w:p>
    <w:p w14:paraId="6E51BE2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as ocorrências de evasão, internação, advertência, suspensão e bloqueio impostas ao integrante de cada serviço socioassistencial.</w:t>
      </w:r>
    </w:p>
    <w:p w14:paraId="50F8303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avaliações dos integrantes do serviço, realizando o desligamento automático do serviço quando a avaliação concluir que não há mais necessidade por parte do integrante, ou este não deseja continuar no serviço.</w:t>
      </w:r>
    </w:p>
    <w:p w14:paraId="5C5F60C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e manutenção de projetos sociais contendo: Nome do projeto; Tipo; Esfera administrativa;</w:t>
      </w:r>
    </w:p>
    <w:p w14:paraId="5211DE6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as regras para inclusão de integrantes no projeto, com base nos seguintes parâmetros: Tipo de Integrante (familiar ou individual); limitar o acesso por sexo; número de vagas disponíveis; e faixa etária; ser participante de algum programa ou serviço; possuir vulnerabilidade; ser beneficiário do BPC;</w:t>
      </w:r>
    </w:p>
    <w:p w14:paraId="128F1E1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quais equipamentos irão ofertar o projeto</w:t>
      </w:r>
    </w:p>
    <w:p w14:paraId="17833DE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a equipe de profissionais responsável por executar as ações de cada projeto.</w:t>
      </w:r>
    </w:p>
    <w:p w14:paraId="20EB0BC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configurar quais atividades, potencialidades e vulnerabilidade serão trabalhadas em cada projeto.</w:t>
      </w:r>
    </w:p>
    <w:p w14:paraId="742ECB7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de grupos de integrantes para cada projeto</w:t>
      </w:r>
    </w:p>
    <w:p w14:paraId="4240AB1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Cada grupo deve ser exclusivo de um equipamento social, não sendo possível outro equipamento utilizar o mesmo grupo.</w:t>
      </w:r>
    </w:p>
    <w:p w14:paraId="45EF510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ao município definir as regras para inclusão de integrantes no grupo do projeto, com base nos seguintes parâmetros: tipo de Integrante (familiar ou individual); limitar o acesso por sexo; </w:t>
      </w:r>
      <w:r w:rsidRPr="00680B5B">
        <w:rPr>
          <w:rFonts w:ascii="Times New Roman" w:hAnsi="Times New Roman" w:cs="Times New Roman"/>
        </w:rPr>
        <w:lastRenderedPageBreak/>
        <w:t>número de vagas disponíveis; e faixa etária; ser participante de algum programa ou serviço; possuir vulnerabilidade; ser beneficiário do BPC;</w:t>
      </w:r>
    </w:p>
    <w:p w14:paraId="0903D5E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As regras de inclusão definidas para o grupo não podem contrariar as regras do projeto a qual o grupo pertence.</w:t>
      </w:r>
    </w:p>
    <w:p w14:paraId="7330E0E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definir as características do grupo, preenchendo minimamente as seguintes informações: tipo do grupo (podendo ser aberto ou fechado); previsão de início dos atendimentos; previsão de término; carga horária; horários e dias da semana em que o grupo será atendido.</w:t>
      </w:r>
    </w:p>
    <w:p w14:paraId="353087F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O sistema deverá bloquear a inclusão de novos integrantes em grupos do tipo fechado e que já tenham iniciado seus atendimentos.</w:t>
      </w:r>
    </w:p>
    <w:p w14:paraId="21DCA90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pessoas/famílias no projeto social, sendo que a inclusão deverá ser confirmada apenas se as pessoas/famílias atenderem as regras definidas para entrada de novos integrantes.</w:t>
      </w:r>
    </w:p>
    <w:p w14:paraId="294D686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de novos integrantes informando: data de entrada no projeto; motivo da Inserção e equipamento social onde ele será atendido.</w:t>
      </w:r>
    </w:p>
    <w:p w14:paraId="19AA2E3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se profissionais que não fazem parte da equipe responsável pelo projeto podem registrar dados para os integrantes deste projeto.</w:t>
      </w:r>
    </w:p>
    <w:p w14:paraId="30BC2A8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consulta que informe que não estão mais de acordo com as regras de inclusão, facilitando a identificação de integrantes que devem ser desligados do projeto.</w:t>
      </w:r>
    </w:p>
    <w:p w14:paraId="3DB782F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Possibilitar a inclusão do integrante do projeto social aos grupos deste projeto. </w:t>
      </w:r>
    </w:p>
    <w:p w14:paraId="4428DB8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que o integrante seja incluso apenas em grupos do mesmo equipamento social onde o integrante foi incluso ao projeto.</w:t>
      </w:r>
    </w:p>
    <w:p w14:paraId="6E79DB8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Antes de incluir o integrante a um grupo, o sistema deverá validar as regras de inclusão definidas para o grupo.</w:t>
      </w:r>
    </w:p>
    <w:p w14:paraId="53E7809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informar os responsáveis legais para integrantes menores de idade.</w:t>
      </w:r>
    </w:p>
    <w:p w14:paraId="733D03A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ser possível relacionar a mesma pessoa/família a mais de um grupo do projeto simultaneamente</w:t>
      </w:r>
    </w:p>
    <w:p w14:paraId="06C340D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do integrante em cada grupo.</w:t>
      </w:r>
    </w:p>
    <w:p w14:paraId="0B9A6FA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histórico de todas as passagens da pessoa/família em cada projeto.</w:t>
      </w:r>
    </w:p>
    <w:p w14:paraId="3EBA892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Todas os equipamentos sociais que ofertam o projeto devem ter acesso à lista de integrante do projeto independente do equipamento que cadastrou o integrante, no entanto cada equipamento poderá gerenciar apenas os integrantes relacionados ao próprio equipamento social.</w:t>
      </w:r>
    </w:p>
    <w:p w14:paraId="152C601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grupo, informando data e motivo do desligamento.</w:t>
      </w:r>
    </w:p>
    <w:p w14:paraId="626EC0F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o desligamento do integrante do projeto social, informando data e motivo do desligamento.</w:t>
      </w:r>
    </w:p>
    <w:p w14:paraId="4DEDE4E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Ao registrar desligamento do integrante de um projeto, deverá ser validado se o mesmo está ativo em algum grupo deste projeto, caso esteja deverá alertar o profissional e realizar o desligamento automático de todos os grupos onde ele ainda estava ativo.</w:t>
      </w:r>
    </w:p>
    <w:p w14:paraId="3A73409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cancelar o desligamento de um integrante do projeto, neste caso devendo retornar a situação do mesmo para ativo no projeto.</w:t>
      </w:r>
    </w:p>
    <w:p w14:paraId="7281D66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advertências, suspensões e bloqueios para o integrante no projeto.</w:t>
      </w:r>
    </w:p>
    <w:p w14:paraId="7A0BA07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criar e registrar as evoluções do Plano de Atendimento Familiar – PAF para as famílias participantes dos programas, serviços e projetos socioassistenciais, permitindo informar um diagnostico inicial, plano de atendimento e encaminhamento e os compromissos assumidos pela família.</w:t>
      </w:r>
    </w:p>
    <w:p w14:paraId="2B18982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Plano de Acompanhamento Familiar - PAF.</w:t>
      </w:r>
    </w:p>
    <w:p w14:paraId="6992DC2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criar e registrar as evoluções do Plano de Individual de Atendimento – PIA para as pessoas participantes dos programas, serviços e projetos socioassistenciais, permitindo informar um diagnostico inicial, plano de atendimento e encaminhamento e os compromissos assumidos pela pessoa.</w:t>
      </w:r>
    </w:p>
    <w:p w14:paraId="42157E6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agendar e registrar os atendimentos através da própria agenda para os grupos de programas, serviços e projetos socioassistenciais.</w:t>
      </w:r>
    </w:p>
    <w:p w14:paraId="4D9FA11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capacitação, avaliação e inativação de famílias para o programa família acolhedora;</w:t>
      </w:r>
    </w:p>
    <w:p w14:paraId="7FF2ECF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registrar as avaliações realizadas a família acolhedora permitindo informar o parecer técnico e habilitar/desabilitar a família no serviço, mantendo histórico das avaliações e pareces realizados.</w:t>
      </w:r>
    </w:p>
    <w:p w14:paraId="257A30E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O sistema deverá gerar de forma automática a folha de pagamento para as famílias do programa Família Acolhedora.</w:t>
      </w:r>
    </w:p>
    <w:p w14:paraId="5BB3C28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atendimentos aos grupos realizados para os grupos de programa, serviços e/ou projetos socioassistenciais, possibilitando informar a Data de atendimento, duração; motivos; grupos participantes; profissionais envolvidos; lista de presença; atividades desenvolvidas; descrição do atendimento; e anexos</w:t>
      </w:r>
    </w:p>
    <w:p w14:paraId="1A3B558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um atendimento como sigiloso, limitando assim o acesso as informações deste atendimento apenas para os profissionais envolvidos.</w:t>
      </w:r>
    </w:p>
    <w:p w14:paraId="714C8EE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município restringir para que o registro de atendimentos seja permitido apenas dentro do horário de expediente dos profissionais envolvidos.</w:t>
      </w:r>
    </w:p>
    <w:p w14:paraId="2114227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em um mesmo atendimento envolver múltiplos grupos, inclusive de programas, ou serviços ou projetos distintos.</w:t>
      </w:r>
    </w:p>
    <w:p w14:paraId="1C7B1F8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informar o tempo de participação de cada integrante do grupo no atendimento, podendo este tempo ser inferior ao tempo total do atendimento.</w:t>
      </w:r>
    </w:p>
    <w:p w14:paraId="3A76226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atendimentos realizados em equipamentos nos quais o mesmo não possua vínculo empregatício.</w:t>
      </w:r>
    </w:p>
    <w:p w14:paraId="61130D3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tela que liste as pessoas/família em demanda reprimida, aguardando uma vaga em um programa ou serviço socioassistencial contendo minimamente as informações de unidade assistencial; programa ou serviço ou projeto; grupo; pessoa ou família que está aguardando a vaga; data de inclusão na lista; unidade de origem; e Prioridades</w:t>
      </w:r>
    </w:p>
    <w:p w14:paraId="32EE75C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da pessoa/família da lista de demanda reprimida diretamente no programa, serviço ou projeto quando existir vaga disponível.</w:t>
      </w:r>
    </w:p>
    <w:p w14:paraId="0129571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remover o integrante da lista de demanda reprimida.</w:t>
      </w:r>
    </w:p>
    <w:p w14:paraId="29FEFA9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entrada na lista de demanda reprimida.</w:t>
      </w:r>
    </w:p>
    <w:p w14:paraId="35E0B95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Importar a folha de pagamento de programas de transferência de renda do governo federal, realizando a inclusão dos novos integrantes; desligamento dos integrantes removidos do programa e atualização dos valores.</w:t>
      </w:r>
    </w:p>
    <w:p w14:paraId="09332A5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bloquear a inclusão, alteração e desligamento de integrantes de programas de transferência de renda, optando assim por manter esses dados no sistema através da importação de arquivos da folha de pagamento dos respectivos programas.</w:t>
      </w:r>
    </w:p>
    <w:p w14:paraId="0AEB303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Permitir a inclusão, edição, exclusão e inativação do cadastro de pessoas possibilitando informar: CPF; NIS; Nome; filiação; data de nascimento; sexo; raça/cor; orientação sexual e identidade de gênero; endereço; contatos; escolaridade; equipamento social de referência; </w:t>
      </w:r>
    </w:p>
    <w:p w14:paraId="7BA51F5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as vulnerabilidades da pessoa informando: vulnerabilidade; data de identificação e observações;</w:t>
      </w:r>
    </w:p>
    <w:p w14:paraId="08B1493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 superação de vulnerabilidade;</w:t>
      </w:r>
    </w:p>
    <w:p w14:paraId="14539F2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histórico no cadastro da pessoa de todas as vulnerabilidades que possui e também aquelas já superadas por ela.</w:t>
      </w:r>
    </w:p>
    <w:p w14:paraId="670E380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respeitar a configuração feita para a vulnerabilidade permitindo que apenas os tipos de equipamentos configurados possam registrá-la.</w:t>
      </w:r>
    </w:p>
    <w:p w14:paraId="2788EEC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as potencialidades da pessoa informado: data de identificação e observações</w:t>
      </w:r>
    </w:p>
    <w:p w14:paraId="4B3C96D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remover as potencialidades da pessoa;</w:t>
      </w:r>
    </w:p>
    <w:p w14:paraId="6E73947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Manter o histórico de todas as potencialidades da pessoa.</w:t>
      </w:r>
    </w:p>
    <w:p w14:paraId="631280D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no cadastro de pessoas campo descrição do nome social para atender o Decreto Presidencial Nº 8.727/2016, que dispõe sobre o uso do nome social e o reconhecimento da identidade de gênero de pessoas travestis e transexuais.</w:t>
      </w:r>
    </w:p>
    <w:p w14:paraId="57E50D7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informações trabalhistas da pessoa permitindo informar: Situação de trabalho; Ocupação; Local de trabalho; e data de admissão.</w:t>
      </w:r>
    </w:p>
    <w:p w14:paraId="0942A73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o registro de informações socioeconômicas da pessoa, permitindo registrar rendas (tipo; valor; data; e vínculo empregatício que gerou a renda) e despesas (tipo; valor; e data).</w:t>
      </w:r>
    </w:p>
    <w:p w14:paraId="5D167F3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Deverá manter o histórico de rendas e despesas da pessoa</w:t>
      </w:r>
    </w:p>
    <w:p w14:paraId="431A3ED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 xml:space="preserve">Possuir em uma única tela todo o prontuário social da pessoa contendo: todos os atendimentos individuais da pessoa; encaminhamentos, atendimentos coletivos; atendimentos em grupo; requisições de benefícios; contatos telefônicos; </w:t>
      </w:r>
    </w:p>
    <w:p w14:paraId="60E96EE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imprimir do prontuário social.</w:t>
      </w:r>
    </w:p>
    <w:p w14:paraId="764FB77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tipos de potencialidades;</w:t>
      </w:r>
    </w:p>
    <w:p w14:paraId="6B3DD7C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a inclusão, edição, exclusão e inativação do cadastro de vulnerabilidades.</w:t>
      </w:r>
    </w:p>
    <w:p w14:paraId="3E8C944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parâmetro para definir quais os tipos de equipamentos sociais poderão identificar cada vulnerabilidade.</w:t>
      </w:r>
    </w:p>
    <w:p w14:paraId="3221930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motivos de atendimento.</w:t>
      </w:r>
    </w:p>
    <w:p w14:paraId="4D11691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parametrização para definir quais motivos de atendimento podem ser utilizados durante o atendimento, permitindo minimamente os seguintes parâmetros: limitar a utilização por especialidade do profissional envolvido; limitar para atendimentos envolvem determinados tipos de programas/serviços socioassistenciais</w:t>
      </w:r>
    </w:p>
    <w:p w14:paraId="2FF8E45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cadastro do salário mínimo vigente;</w:t>
      </w:r>
    </w:p>
    <w:p w14:paraId="7A5C4FF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inclusão, edição, exclusão e inativação do cadastro de família contendo as seguintes informações: código do CadÚnico da família; responsável familiar; tipo de família; classe social; povo/comunidade tradicional; integrantes da família; e informações do domicilio.</w:t>
      </w:r>
    </w:p>
    <w:p w14:paraId="4274B4A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um único domicílio possa ser relacionado a múltiplas famílias.</w:t>
      </w:r>
    </w:p>
    <w:p w14:paraId="1244847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registro de informações de saúde da família conforme definido no prontuário SUAS.</w:t>
      </w:r>
    </w:p>
    <w:p w14:paraId="699A18A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informações de convivência familiar e comunitária conforme definido no prontuário SUAS.</w:t>
      </w:r>
    </w:p>
    <w:p w14:paraId="57B18A1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a renda e despesa da família, sendo que para isso o sistema deverá considerar a renda e despesa individual de cada membro da família.</w:t>
      </w:r>
    </w:p>
    <w:p w14:paraId="510AE3F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em uma única tela todo o prontuário familiar contendo minimamente: dados do domicílio da família; programas, serviços e projetos que a família ou seus membros participam; atendimentos registrados para a família ou seus membros; encaminhamentos registrados para família ou seus membros; requisições de benefícios registradas para a família ou seus membros.</w:t>
      </w:r>
    </w:p>
    <w:p w14:paraId="29D7D47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prontuário família.</w:t>
      </w:r>
    </w:p>
    <w:p w14:paraId="57FDD3D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lista de chegada para atendimentos contendo: descrição; equipamentos que irão utilizar a lista; profissionais que irão utilizar a lista.</w:t>
      </w:r>
    </w:p>
    <w:p w14:paraId="3FB56C7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atendimentos individuais e coletivos realizados no equipamento contendo: equipamento social; data/hora do atendimento; participantes (uma ou mais pessoas/famílias); duração do atendimento; profissionais envolvidos; motivos de atendimento; descritivo; atividades desenvolvidas; anexos;</w:t>
      </w:r>
    </w:p>
    <w:p w14:paraId="2E0F37B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durante o atendimento seja incluso requisições de benefícios eventuais.</w:t>
      </w:r>
    </w:p>
    <w:p w14:paraId="18D97EE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que durante o atendimento seja registrado encaminhamentos para as pessoas/famílias envolvidas no atendimento.</w:t>
      </w:r>
    </w:p>
    <w:p w14:paraId="6AE68E2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definir um atendimento como sigiloso, limitando assim o acesso as informações deste atendimento apenas para os profissionais envolvidos.</w:t>
      </w:r>
    </w:p>
    <w:p w14:paraId="29E8626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atendimentos realizados em equipamentos nos quais o mesmo não possua vínculo empregatício.</w:t>
      </w:r>
    </w:p>
    <w:p w14:paraId="531318F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gerenciar a lista de chegada para atendimentos, permitindo incluir novas pessoas/famílias na lista; registrar ausência da pessoa/família; registrar o atendimento.</w:t>
      </w:r>
    </w:p>
    <w:p w14:paraId="1EB109D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parametrização para definir a frequência em minutos que a tela de consulta da lista de chegada será atualizada de forma automática.</w:t>
      </w:r>
    </w:p>
    <w:p w14:paraId="08D2E4E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município definir através de parametrização se o profissional poderá atender a lista chegada apenas na ordem de inserção ou em qualquer ordem que desejar.</w:t>
      </w:r>
    </w:p>
    <w:p w14:paraId="1DA4586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 lista de chegada deverá estar disponível apenas para profissionais com vínculo empregatício no equipamento para o qual a lista foi cadastrada.</w:t>
      </w:r>
    </w:p>
    <w:p w14:paraId="44E0ED4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Para lista de chegada onde foi relacionado algum profissional, apenas estes podem registrar atendimento através da lista.</w:t>
      </w:r>
    </w:p>
    <w:p w14:paraId="03FC29B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o gerenciamento da agenda de atendimentos do equipamento contendo: Agenda; horário de atendimento; participantes; pessoa/família agendada; permitindo registrar faltantes; realizar transferências de horários; e registrar atendimentos.</w:t>
      </w:r>
    </w:p>
    <w:p w14:paraId="7BD938A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informar múltiplas pessoas/famílias no mesmo horário, dando origem assim a um atendimento coletivo.</w:t>
      </w:r>
    </w:p>
    <w:p w14:paraId="575F637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agendamento.</w:t>
      </w:r>
    </w:p>
    <w:p w14:paraId="0176BAC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de contatos telefônicos realizados pela equipe da assistência social.</w:t>
      </w:r>
    </w:p>
    <w:p w14:paraId="42E8E84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gerar automaticamente um atendimento individual a partir de um contato telefônico.</w:t>
      </w:r>
    </w:p>
    <w:p w14:paraId="7C246A5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Possibilitar o registro de atividades de caráter não continuado informando data, equipamento social, local, motivos de atendimento, programa, serviço ou projeto, anotações do atendimento, participantes e profissionais.</w:t>
      </w:r>
    </w:p>
    <w:p w14:paraId="1C0FD8B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atividades realizadas em equipamentos nos quais o mesmo não possua vínculo empregatício.</w:t>
      </w:r>
    </w:p>
    <w:p w14:paraId="26FA4B0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motivos de denúncia.</w:t>
      </w:r>
    </w:p>
    <w:p w14:paraId="6B1D6E9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Registrar o recebimento de denúncias informando: data; forma de atendimento; motivo; denunciante, denunciados; vítima; demais envolvidos; relato; e anexos</w:t>
      </w:r>
    </w:p>
    <w:p w14:paraId="632853E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profissional definir o grau de risco de violação de direitos da denúncia, podendo ser improcedente, alto risco, baixo risco e médio risco</w:t>
      </w:r>
    </w:p>
    <w:p w14:paraId="1D28601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Através da denúncia deverá ser possível: incluir a vítima em programas, serviço e/ou projetos; realizar encaminhamentos para outros órgãos da rede intersetorial; registrar atendimentos individuais/coletivos; e registrar pareceres</w:t>
      </w:r>
    </w:p>
    <w:p w14:paraId="30FA7C7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motivos de encaminhamentos.</w:t>
      </w:r>
    </w:p>
    <w:p w14:paraId="14869B1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órgãos da rede intersetorial podendo informar CPF/CNPJ, nome, endereço, contatos, se utiliza contrarreferência e o tipo de órgão.</w:t>
      </w:r>
    </w:p>
    <w:p w14:paraId="0AF9308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do tipo de órgão da rede intersetorial.</w:t>
      </w:r>
    </w:p>
    <w:p w14:paraId="14C77D1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tipos de público prioritário para encaminhamentos.</w:t>
      </w:r>
    </w:p>
    <w:p w14:paraId="4416B13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realizar o encaminhamento de pessoas/famílias para outras unidades assistenciais e/ou órgãos da rede intersetorial informando a Pessoa/família que será encaminhada; motivo do encaminhamento; data; profissional que realizou o encaminhamento; destino do encaminhamento e profissional de referência; se está enquadrado como público prioritário.</w:t>
      </w:r>
    </w:p>
    <w:p w14:paraId="3599B7B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Não permitir que profissionais visualizem registros de encaminhamentos realizados em equipamentos nos quais o mesmo não possua vínculo empregatício.</w:t>
      </w:r>
    </w:p>
    <w:p w14:paraId="6528CEE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ao município definir através de parâmetros o tempo máximo em que um encaminhamento poderá ser alterado ou excluído após a inclusão no sistema.</w:t>
      </w:r>
    </w:p>
    <w:p w14:paraId="69973AD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encaminhamento.</w:t>
      </w:r>
    </w:p>
    <w:p w14:paraId="69B8C3F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ao profissional registrar as informações de contrarreferência para os encaminhamentos recebidos, devendo informar o profissional que realizou o atendimento no destino, a data e uma descrição do atendimento.</w:t>
      </w:r>
    </w:p>
    <w:p w14:paraId="7042924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a impressão do comprovante de contrarreferência.</w:t>
      </w:r>
    </w:p>
    <w:p w14:paraId="44F191F1"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inclusão, edição, exclusão e inativação do cadastro de abrigos para situações de calamidade pública</w:t>
      </w:r>
    </w:p>
    <w:p w14:paraId="0278AB9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lista de tipos de calamidade pública conforme formulário nacional.</w:t>
      </w:r>
    </w:p>
    <w:p w14:paraId="6A5B559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registrar e gerenciar situações de calamidade pública no município podendo informar: tipo de calamidade; início; e anexos;</w:t>
      </w:r>
    </w:p>
    <w:p w14:paraId="4CEF28E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gerenciar</w:t>
      </w:r>
      <w:r w:rsidRPr="00680B5B">
        <w:rPr>
          <w:rFonts w:ascii="Times New Roman" w:hAnsi="Times New Roman" w:cs="Times New Roman"/>
          <w:highlight w:val="white"/>
        </w:rPr>
        <w:t xml:space="preserve"> os abrigos utilizados durante a situação de calamidade, definindo a situação do mesmo e a quantidade de vagas disponíveis.</w:t>
      </w:r>
    </w:p>
    <w:p w14:paraId="0E00BC06"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relacionar ao evento de calamidade pública, as famílias atingidas, registrando: se a família recebe algum benefício; se os integrantes possuem restrição alimentar; se algum integrante faz uso de medicamentos; se algum integrante necessita de cuidados constantes; se existe gestante na família; se possui integrante com mobilidade reduzida.</w:t>
      </w:r>
    </w:p>
    <w:p w14:paraId="4D39FC0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informar desaparecimentos/óbitos em decorrência do evento de calamidade pública.</w:t>
      </w:r>
    </w:p>
    <w:p w14:paraId="4487A90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o registro de perdas financeiras das famílias atingidas pela calamidade pública.</w:t>
      </w:r>
    </w:p>
    <w:p w14:paraId="236C931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informar se moradia foi atingida e a situação da mesma após o evento.</w:t>
      </w:r>
    </w:p>
    <w:p w14:paraId="1753A483"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informar a situação da família, podendo estar em abrigo, em hotel/pousada, desalojada, em casa de parente, ou no mesmo local de antes do evento.</w:t>
      </w:r>
    </w:p>
    <w:p w14:paraId="7EDAF02E"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registrar as necessidades imediatas da família (agua, medicamentos, roupas, alimentos, etc..)</w:t>
      </w:r>
    </w:p>
    <w:p w14:paraId="303D169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Permitir registrar a dispensação de benefícios para atingidos pelo evento de calamidade pública.</w:t>
      </w:r>
    </w:p>
    <w:p w14:paraId="329763E9"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highlight w:val="white"/>
        </w:rPr>
        <w:t>Possuir validação para que o atendimento social e dispensação de benefícios para famílias e pessoas em abrigos não possa ser realizado nas unidades assistenciais, devendo ser realizado exclusivamente no abrigo.</w:t>
      </w:r>
    </w:p>
    <w:p w14:paraId="74E0B410"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gerar o Registro Mensal de Atendimentos do CRAS, possibilitando detalhar os registros contabilizados em cada item do RMA.</w:t>
      </w:r>
    </w:p>
    <w:p w14:paraId="6B68C28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lastRenderedPageBreak/>
        <w:t>Permitir a município configurar quais profissionais de cada CRAS terão seus atendimentos contabilizados no RMA</w:t>
      </w:r>
    </w:p>
    <w:p w14:paraId="2CFB5A2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exportar o RMA do CRAS conforme layout definido pela rede SUAS.</w:t>
      </w:r>
    </w:p>
    <w:p w14:paraId="41BDA0E5"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gerar o Registro Mensal de Atendimentos do CREAS, possibilitando detalhar os registros contabilizados em cada item do RMA.</w:t>
      </w:r>
    </w:p>
    <w:p w14:paraId="22D2432A"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município configurar quais profissionais de cada CREAS terão seus atendimentos contabilizados no RMA</w:t>
      </w:r>
    </w:p>
    <w:p w14:paraId="77677127"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exportar o RMA do CREAS conforme layout definido pela rede SUAS</w:t>
      </w:r>
    </w:p>
    <w:p w14:paraId="566CEFA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Possibilitar gerar o Registro Mensal de Atendimentos do Centro POP, possibilitando detalhar os registros contabilizados em cada item do RMA.</w:t>
      </w:r>
    </w:p>
    <w:p w14:paraId="2C320D7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Permitir a município configurar quais profissionais de cada Centro POP terão seus atendimentos contabilizados no RMA</w:t>
      </w:r>
    </w:p>
    <w:p w14:paraId="173B727D"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referente ao perfil sociodemográfico do público atendido nos equipamentos sociais.</w:t>
      </w:r>
    </w:p>
    <w:p w14:paraId="5EA3DA3C"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dos atendimentos prestados por profissional no período informado.</w:t>
      </w:r>
    </w:p>
    <w:p w14:paraId="4EF80BC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de incidência de vulnerabilidade do município agrupando por bairros, a fim de identificar os bairros com maior demanda para a assistencial social.</w:t>
      </w:r>
    </w:p>
    <w:p w14:paraId="1CE9E024"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Apresentar um painel gerencial contendo informações do total de intervenções sociais, Vulnerabilidade por bairro; benefícios por bairro; total de integrantes por programas/serviços; total de pessoas/famílias em acompanhamento;</w:t>
      </w:r>
    </w:p>
    <w:p w14:paraId="534873AF"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consulta de georreferenciamento do perfil sociodemográfico do público atendido</w:t>
      </w:r>
    </w:p>
    <w:p w14:paraId="1D8AD9A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de vulnerabilidade por sexo e faixa etária</w:t>
      </w:r>
    </w:p>
    <w:p w14:paraId="72CD277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referente a dispensação de benefícios por bairro e por tipo de benefício.</w:t>
      </w:r>
    </w:p>
    <w:p w14:paraId="43702932"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com comparativo de atendimentos de forma anual, permitindo visualizar em gráfico os atendimentos de cada ano.</w:t>
      </w:r>
    </w:p>
    <w:p w14:paraId="40E92DB8"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gerencial referente aos encaminhamentos realizados</w:t>
      </w:r>
    </w:p>
    <w:p w14:paraId="4C8BBB6B" w14:textId="77777777" w:rsidR="00B307DB" w:rsidRPr="00680B5B" w:rsidRDefault="00B307DB" w:rsidP="00A63962">
      <w:pPr>
        <w:pStyle w:val="PargrafodaLista"/>
        <w:numPr>
          <w:ilvl w:val="0"/>
          <w:numId w:val="349"/>
        </w:numPr>
        <w:tabs>
          <w:tab w:val="left" w:pos="426"/>
        </w:tabs>
        <w:suppressAutoHyphens/>
        <w:spacing w:after="0" w:line="240" w:lineRule="auto"/>
        <w:ind w:left="0" w:right="-568" w:firstLine="0"/>
        <w:jc w:val="both"/>
        <w:rPr>
          <w:rFonts w:ascii="Times New Roman" w:hAnsi="Times New Roman" w:cs="Times New Roman"/>
        </w:rPr>
      </w:pPr>
      <w:r w:rsidRPr="00680B5B">
        <w:rPr>
          <w:rFonts w:ascii="Times New Roman" w:hAnsi="Times New Roman" w:cs="Times New Roman"/>
        </w:rPr>
        <w:t>Possuir relatório referente aos integrantes de programas e serviços, possibilitando visualizar integrantes por grupo, integrantes por programa/serviço; integrantes com plano de acompanhamento.</w:t>
      </w:r>
    </w:p>
    <w:p w14:paraId="27A1CDF7" w14:textId="77777777" w:rsidR="00B307DB" w:rsidRPr="00B35D31" w:rsidRDefault="00B307DB" w:rsidP="00B307DB">
      <w:pPr>
        <w:ind w:left="691" w:right="141"/>
        <w:jc w:val="both"/>
        <w:rPr>
          <w:b/>
        </w:rPr>
      </w:pPr>
    </w:p>
    <w:p w14:paraId="05674B42" w14:textId="77777777" w:rsidR="00B307DB" w:rsidRDefault="00B307DB" w:rsidP="00B307DB">
      <w:pPr>
        <w:spacing w:after="0" w:line="240" w:lineRule="auto"/>
        <w:ind w:right="-568"/>
        <w:jc w:val="center"/>
        <w:rPr>
          <w:rFonts w:ascii="Times New Roman" w:hAnsi="Times New Roman" w:cs="Times New Roman"/>
          <w:b/>
        </w:rPr>
      </w:pPr>
    </w:p>
    <w:p w14:paraId="66BEE43D" w14:textId="77777777" w:rsidR="00B307DB" w:rsidRDefault="00B307DB" w:rsidP="00B307DB">
      <w:pPr>
        <w:spacing w:after="0" w:line="240" w:lineRule="auto"/>
        <w:ind w:right="-568"/>
        <w:jc w:val="center"/>
        <w:rPr>
          <w:rFonts w:ascii="Times New Roman" w:hAnsi="Times New Roman" w:cs="Times New Roman"/>
          <w:b/>
        </w:rPr>
      </w:pPr>
    </w:p>
    <w:p w14:paraId="4446DA04" w14:textId="77777777" w:rsidR="00B307DB" w:rsidRDefault="00B307DB" w:rsidP="00B307DB">
      <w:pPr>
        <w:spacing w:after="0" w:line="240" w:lineRule="auto"/>
        <w:ind w:right="-568"/>
        <w:jc w:val="center"/>
        <w:rPr>
          <w:rFonts w:ascii="Times New Roman" w:hAnsi="Times New Roman" w:cs="Times New Roman"/>
          <w:b/>
        </w:rPr>
      </w:pPr>
    </w:p>
    <w:p w14:paraId="6D26ADD5" w14:textId="77777777" w:rsidR="00B307DB" w:rsidRDefault="00B307DB" w:rsidP="00B307DB">
      <w:pPr>
        <w:spacing w:after="0" w:line="240" w:lineRule="auto"/>
        <w:ind w:right="-568"/>
        <w:jc w:val="center"/>
        <w:rPr>
          <w:rFonts w:ascii="Times New Roman" w:hAnsi="Times New Roman" w:cs="Times New Roman"/>
          <w:b/>
        </w:rPr>
      </w:pPr>
    </w:p>
    <w:p w14:paraId="7FE7B12C" w14:textId="77777777" w:rsidR="00B307DB" w:rsidRDefault="00B307DB" w:rsidP="00B307DB">
      <w:pPr>
        <w:spacing w:after="0" w:line="240" w:lineRule="auto"/>
        <w:ind w:right="-568"/>
        <w:jc w:val="center"/>
        <w:rPr>
          <w:rFonts w:ascii="Times New Roman" w:hAnsi="Times New Roman" w:cs="Times New Roman"/>
          <w:b/>
        </w:rPr>
      </w:pPr>
    </w:p>
    <w:p w14:paraId="7684DB4B" w14:textId="77777777" w:rsidR="00B307DB" w:rsidRDefault="00B307DB" w:rsidP="00B307DB">
      <w:pPr>
        <w:spacing w:after="0" w:line="240" w:lineRule="auto"/>
        <w:ind w:right="-568"/>
        <w:jc w:val="center"/>
        <w:rPr>
          <w:rFonts w:ascii="Times New Roman" w:hAnsi="Times New Roman" w:cs="Times New Roman"/>
          <w:b/>
        </w:rPr>
      </w:pPr>
    </w:p>
    <w:p w14:paraId="61DDC541" w14:textId="77777777" w:rsidR="00B307DB" w:rsidRDefault="00B307DB" w:rsidP="00B307DB">
      <w:pPr>
        <w:spacing w:after="0" w:line="240" w:lineRule="auto"/>
        <w:ind w:right="-568"/>
        <w:jc w:val="center"/>
        <w:rPr>
          <w:rFonts w:ascii="Times New Roman" w:hAnsi="Times New Roman" w:cs="Times New Roman"/>
          <w:b/>
        </w:rPr>
      </w:pPr>
    </w:p>
    <w:p w14:paraId="13E535F1" w14:textId="77777777" w:rsidR="00B307DB" w:rsidRDefault="00B307DB" w:rsidP="00B307DB">
      <w:pPr>
        <w:spacing w:after="0" w:line="240" w:lineRule="auto"/>
        <w:ind w:right="-568"/>
        <w:jc w:val="center"/>
        <w:rPr>
          <w:rFonts w:ascii="Times New Roman" w:hAnsi="Times New Roman" w:cs="Times New Roman"/>
          <w:b/>
        </w:rPr>
      </w:pPr>
    </w:p>
    <w:p w14:paraId="5B532488" w14:textId="77777777" w:rsidR="00B307DB" w:rsidRDefault="00B307DB" w:rsidP="00B307DB">
      <w:pPr>
        <w:spacing w:after="0" w:line="240" w:lineRule="auto"/>
        <w:ind w:right="-568"/>
        <w:jc w:val="center"/>
        <w:rPr>
          <w:rFonts w:ascii="Times New Roman" w:hAnsi="Times New Roman" w:cs="Times New Roman"/>
          <w:b/>
        </w:rPr>
      </w:pPr>
    </w:p>
    <w:p w14:paraId="1FAD6846" w14:textId="77777777" w:rsidR="00B307DB" w:rsidRDefault="00B307DB" w:rsidP="00B307DB">
      <w:pPr>
        <w:spacing w:after="0" w:line="240" w:lineRule="auto"/>
        <w:ind w:right="-568"/>
        <w:jc w:val="center"/>
        <w:rPr>
          <w:rFonts w:ascii="Times New Roman" w:hAnsi="Times New Roman" w:cs="Times New Roman"/>
          <w:b/>
        </w:rPr>
      </w:pPr>
    </w:p>
    <w:p w14:paraId="5A860A5D" w14:textId="77777777" w:rsidR="00B307DB" w:rsidRDefault="00B307DB" w:rsidP="00B307DB">
      <w:pPr>
        <w:spacing w:after="0" w:line="240" w:lineRule="auto"/>
        <w:ind w:right="-568"/>
        <w:jc w:val="center"/>
        <w:rPr>
          <w:rFonts w:ascii="Times New Roman" w:hAnsi="Times New Roman" w:cs="Times New Roman"/>
          <w:b/>
        </w:rPr>
      </w:pPr>
    </w:p>
    <w:p w14:paraId="63486FD1" w14:textId="77777777" w:rsidR="00B307DB" w:rsidRDefault="00B307DB" w:rsidP="00B307DB">
      <w:pPr>
        <w:spacing w:after="0" w:line="240" w:lineRule="auto"/>
        <w:ind w:right="-568"/>
        <w:jc w:val="center"/>
        <w:rPr>
          <w:rFonts w:ascii="Times New Roman" w:hAnsi="Times New Roman" w:cs="Times New Roman"/>
          <w:b/>
        </w:rPr>
      </w:pPr>
    </w:p>
    <w:p w14:paraId="6CF6A38D" w14:textId="77777777" w:rsidR="00B307DB" w:rsidRDefault="00B307DB" w:rsidP="00B307DB">
      <w:pPr>
        <w:spacing w:after="0" w:line="240" w:lineRule="auto"/>
        <w:ind w:right="-568"/>
        <w:jc w:val="center"/>
        <w:rPr>
          <w:rFonts w:ascii="Times New Roman" w:hAnsi="Times New Roman" w:cs="Times New Roman"/>
          <w:b/>
        </w:rPr>
      </w:pPr>
    </w:p>
    <w:p w14:paraId="4CED5760" w14:textId="77777777" w:rsidR="00B307DB" w:rsidRDefault="00B307DB" w:rsidP="00B307DB">
      <w:pPr>
        <w:spacing w:after="0" w:line="240" w:lineRule="auto"/>
        <w:ind w:right="-568"/>
        <w:jc w:val="center"/>
        <w:rPr>
          <w:rFonts w:ascii="Times New Roman" w:hAnsi="Times New Roman" w:cs="Times New Roman"/>
          <w:b/>
        </w:rPr>
      </w:pPr>
    </w:p>
    <w:p w14:paraId="483DE128" w14:textId="77777777" w:rsidR="00B307DB" w:rsidRDefault="00B307DB" w:rsidP="00B307DB">
      <w:pPr>
        <w:spacing w:after="0" w:line="240" w:lineRule="auto"/>
        <w:ind w:right="-568"/>
        <w:jc w:val="center"/>
        <w:rPr>
          <w:rFonts w:ascii="Times New Roman" w:hAnsi="Times New Roman" w:cs="Times New Roman"/>
          <w:b/>
        </w:rPr>
      </w:pPr>
    </w:p>
    <w:p w14:paraId="08F388DC" w14:textId="77777777" w:rsidR="00B307DB" w:rsidRDefault="00B307DB" w:rsidP="00B307DB">
      <w:pPr>
        <w:spacing w:after="0" w:line="240" w:lineRule="auto"/>
        <w:ind w:right="-568"/>
        <w:jc w:val="center"/>
        <w:rPr>
          <w:rFonts w:ascii="Times New Roman" w:hAnsi="Times New Roman" w:cs="Times New Roman"/>
          <w:b/>
        </w:rPr>
      </w:pPr>
    </w:p>
    <w:p w14:paraId="01D624C9" w14:textId="77777777" w:rsidR="00B307DB" w:rsidRDefault="00B307DB" w:rsidP="00B307DB">
      <w:pPr>
        <w:spacing w:after="0" w:line="240" w:lineRule="auto"/>
        <w:ind w:right="-568"/>
        <w:jc w:val="center"/>
        <w:rPr>
          <w:rFonts w:ascii="Times New Roman" w:hAnsi="Times New Roman" w:cs="Times New Roman"/>
          <w:b/>
        </w:rPr>
      </w:pPr>
    </w:p>
    <w:p w14:paraId="0F4DE3BA" w14:textId="77777777" w:rsidR="00B307DB" w:rsidRDefault="00B307DB" w:rsidP="00B307DB">
      <w:pPr>
        <w:spacing w:after="0" w:line="240" w:lineRule="auto"/>
        <w:ind w:right="-568"/>
        <w:jc w:val="center"/>
        <w:rPr>
          <w:rFonts w:ascii="Times New Roman" w:hAnsi="Times New Roman" w:cs="Times New Roman"/>
          <w:b/>
        </w:rPr>
      </w:pPr>
    </w:p>
    <w:p w14:paraId="3A260C99" w14:textId="77777777" w:rsidR="00B307DB" w:rsidRDefault="00B307DB" w:rsidP="00B307DB">
      <w:pPr>
        <w:spacing w:after="0" w:line="240" w:lineRule="auto"/>
        <w:ind w:right="-568"/>
        <w:jc w:val="center"/>
        <w:rPr>
          <w:rFonts w:ascii="Times New Roman" w:hAnsi="Times New Roman" w:cs="Times New Roman"/>
          <w:b/>
        </w:rPr>
      </w:pPr>
    </w:p>
    <w:p w14:paraId="60BE12A3" w14:textId="77777777" w:rsidR="00B307DB" w:rsidRDefault="00B307DB" w:rsidP="00B307DB">
      <w:pPr>
        <w:spacing w:after="0" w:line="240" w:lineRule="auto"/>
        <w:ind w:right="-568"/>
        <w:jc w:val="center"/>
        <w:rPr>
          <w:rFonts w:ascii="Times New Roman" w:hAnsi="Times New Roman" w:cs="Times New Roman"/>
          <w:b/>
        </w:rPr>
      </w:pPr>
    </w:p>
    <w:p w14:paraId="76DDD4DF" w14:textId="77777777" w:rsidR="00B307DB" w:rsidRDefault="00B307DB" w:rsidP="00B307DB">
      <w:pPr>
        <w:spacing w:after="0" w:line="240" w:lineRule="auto"/>
        <w:ind w:right="-568"/>
        <w:jc w:val="center"/>
        <w:rPr>
          <w:rFonts w:ascii="Times New Roman" w:hAnsi="Times New Roman" w:cs="Times New Roman"/>
          <w:b/>
        </w:rPr>
      </w:pPr>
    </w:p>
    <w:p w14:paraId="373C712A" w14:textId="77777777" w:rsidR="00B307DB" w:rsidRDefault="00B307DB" w:rsidP="00B307DB">
      <w:pPr>
        <w:spacing w:after="0" w:line="240" w:lineRule="auto"/>
        <w:ind w:right="-568"/>
        <w:jc w:val="center"/>
        <w:rPr>
          <w:rFonts w:ascii="Times New Roman" w:hAnsi="Times New Roman" w:cs="Times New Roman"/>
          <w:b/>
        </w:rPr>
      </w:pPr>
    </w:p>
    <w:p w14:paraId="24CE1F5E" w14:textId="77777777" w:rsidR="00B307DB" w:rsidRDefault="00B307DB" w:rsidP="00B307DB">
      <w:pPr>
        <w:spacing w:after="0" w:line="240" w:lineRule="auto"/>
        <w:ind w:right="-568"/>
        <w:jc w:val="center"/>
        <w:rPr>
          <w:rFonts w:ascii="Times New Roman" w:hAnsi="Times New Roman" w:cs="Times New Roman"/>
          <w:b/>
        </w:rPr>
      </w:pPr>
    </w:p>
    <w:p w14:paraId="12961B17" w14:textId="77777777" w:rsidR="00B307DB" w:rsidRDefault="00B307DB" w:rsidP="00B307DB">
      <w:pPr>
        <w:spacing w:after="0" w:line="240" w:lineRule="auto"/>
        <w:ind w:right="-568"/>
        <w:jc w:val="center"/>
        <w:rPr>
          <w:rFonts w:ascii="Times New Roman" w:hAnsi="Times New Roman" w:cs="Times New Roman"/>
          <w:b/>
        </w:rPr>
        <w:sectPr w:rsidR="00B307DB" w:rsidSect="005C59BA">
          <w:headerReference w:type="default" r:id="rId275"/>
          <w:footerReference w:type="default" r:id="rId276"/>
          <w:pgSz w:w="11906" w:h="16838"/>
          <w:pgMar w:top="1190" w:right="1701" w:bottom="1276" w:left="1701" w:header="142" w:footer="0" w:gutter="0"/>
          <w:cols w:space="708"/>
          <w:docGrid w:linePitch="360"/>
        </w:sectPr>
      </w:pPr>
    </w:p>
    <w:p w14:paraId="2399EED7" w14:textId="77777777" w:rsidR="00B307DB" w:rsidRPr="00977C8B" w:rsidRDefault="00B307DB" w:rsidP="00B307DB">
      <w:pPr>
        <w:spacing w:after="0" w:line="240" w:lineRule="auto"/>
        <w:jc w:val="center"/>
        <w:rPr>
          <w:rFonts w:ascii="Times New Roman" w:eastAsia="Times New Roman" w:hAnsi="Times New Roman" w:cs="Times New Roman"/>
          <w:b/>
          <w:lang w:eastAsia="pt-BR"/>
        </w:rPr>
      </w:pPr>
      <w:r w:rsidRPr="00977C8B">
        <w:rPr>
          <w:rFonts w:ascii="Times New Roman" w:eastAsia="Times New Roman" w:hAnsi="Times New Roman" w:cs="Times New Roman"/>
          <w:b/>
          <w:lang w:eastAsia="pt-BR"/>
        </w:rPr>
        <w:lastRenderedPageBreak/>
        <w:t>FORMULÁRIO DE PESQUISA DE PREÇOS</w:t>
      </w:r>
    </w:p>
    <w:p w14:paraId="636C6B65" w14:textId="77777777" w:rsidR="00B307DB" w:rsidRPr="00977C8B" w:rsidRDefault="00B307DB" w:rsidP="00B307DB">
      <w:pPr>
        <w:tabs>
          <w:tab w:val="left" w:pos="284"/>
        </w:tabs>
        <w:spacing w:after="0" w:line="240" w:lineRule="auto"/>
        <w:jc w:val="both"/>
        <w:rPr>
          <w:rFonts w:ascii="Times New Roman" w:eastAsia="Times New Roman" w:hAnsi="Times New Roman" w:cs="Times New Roman"/>
          <w:b/>
          <w:lang w:eastAsia="pt-BR"/>
        </w:rPr>
      </w:pPr>
    </w:p>
    <w:p w14:paraId="5160F1DC" w14:textId="77777777" w:rsidR="00B307DB" w:rsidRPr="00977C8B" w:rsidRDefault="00B307DB" w:rsidP="00B307DB">
      <w:pPr>
        <w:widowControl w:val="0"/>
        <w:tabs>
          <w:tab w:val="left" w:pos="284"/>
        </w:tabs>
        <w:autoSpaceDE w:val="0"/>
        <w:autoSpaceDN w:val="0"/>
        <w:spacing w:after="0" w:line="240" w:lineRule="auto"/>
        <w:jc w:val="both"/>
        <w:rPr>
          <w:rFonts w:ascii="Times New Roman" w:eastAsia="Times New Roman" w:hAnsi="Times New Roman" w:cs="Times New Roman"/>
          <w:i/>
          <w:lang w:eastAsia="pt-BR"/>
        </w:rPr>
      </w:pPr>
      <w:r w:rsidRPr="00977C8B">
        <w:rPr>
          <w:rFonts w:ascii="Times New Roman" w:eastAsia="Times New Roman" w:hAnsi="Times New Roman" w:cs="Times New Roman"/>
          <w:b/>
          <w:i/>
          <w:lang w:eastAsia="pt-BR"/>
        </w:rPr>
        <w:t>1 DESCRIÇÃO DO OBJETO:</w:t>
      </w:r>
    </w:p>
    <w:p w14:paraId="0F2B5B8B" w14:textId="77777777" w:rsidR="00B307DB" w:rsidRPr="00977C8B" w:rsidRDefault="00B307DB" w:rsidP="00B307DB">
      <w:pPr>
        <w:widowControl w:val="0"/>
        <w:tabs>
          <w:tab w:val="left" w:pos="709"/>
        </w:tabs>
        <w:autoSpaceDE w:val="0"/>
        <w:autoSpaceDN w:val="0"/>
        <w:spacing w:after="0" w:line="240" w:lineRule="auto"/>
        <w:jc w:val="both"/>
        <w:rPr>
          <w:rFonts w:ascii="Times New Roman" w:eastAsia="Times New Roman" w:hAnsi="Times New Roman" w:cs="Times New Roman"/>
          <w:bCs/>
          <w:lang w:eastAsia="pt-BR"/>
        </w:rPr>
      </w:pPr>
      <w:r w:rsidRPr="00977C8B">
        <w:rPr>
          <w:rFonts w:ascii="Times New Roman" w:eastAsia="Times New Roman" w:hAnsi="Times New Roman" w:cs="Times New Roman"/>
          <w:bCs/>
          <w:lang w:eastAsia="pt-BR"/>
        </w:rPr>
        <w:t>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atendimento das necessidades da administração municipal.</w:t>
      </w:r>
    </w:p>
    <w:p w14:paraId="0D639613" w14:textId="77777777" w:rsidR="00B307DB" w:rsidRPr="00977C8B" w:rsidRDefault="00B307DB" w:rsidP="00B307DB">
      <w:pPr>
        <w:widowControl w:val="0"/>
        <w:tabs>
          <w:tab w:val="left" w:pos="709"/>
        </w:tabs>
        <w:autoSpaceDE w:val="0"/>
        <w:autoSpaceDN w:val="0"/>
        <w:spacing w:after="0" w:line="240" w:lineRule="auto"/>
        <w:jc w:val="both"/>
        <w:rPr>
          <w:rFonts w:ascii="Times New Roman" w:eastAsia="Times New Roman" w:hAnsi="Times New Roman" w:cs="Times New Roman"/>
          <w:lang w:eastAsia="pt-BR"/>
        </w:rPr>
      </w:pPr>
    </w:p>
    <w:p w14:paraId="408121AE" w14:textId="77777777" w:rsidR="00B307DB" w:rsidRPr="00977C8B" w:rsidRDefault="00B307DB" w:rsidP="00B307DB">
      <w:pPr>
        <w:widowControl w:val="0"/>
        <w:tabs>
          <w:tab w:val="left" w:pos="709"/>
        </w:tabs>
        <w:autoSpaceDE w:val="0"/>
        <w:autoSpaceDN w:val="0"/>
        <w:spacing w:after="0" w:line="240" w:lineRule="auto"/>
        <w:jc w:val="both"/>
        <w:rPr>
          <w:rFonts w:ascii="Times New Roman" w:eastAsia="Times New Roman" w:hAnsi="Times New Roman" w:cs="Times New Roman"/>
          <w:i/>
          <w:lang w:eastAsia="pt-BR"/>
        </w:rPr>
      </w:pPr>
      <w:r w:rsidRPr="00977C8B">
        <w:rPr>
          <w:rFonts w:ascii="Times New Roman" w:eastAsia="Times New Roman" w:hAnsi="Times New Roman" w:cs="Times New Roman"/>
          <w:b/>
          <w:i/>
          <w:lang w:eastAsia="pt-BR"/>
        </w:rPr>
        <w:t>2 PERÍODO</w:t>
      </w:r>
      <w:r w:rsidRPr="00977C8B">
        <w:rPr>
          <w:rFonts w:ascii="Times New Roman" w:eastAsia="Times New Roman" w:hAnsi="Times New Roman" w:cs="Times New Roman"/>
          <w:b/>
          <w:i/>
          <w:spacing w:val="-2"/>
          <w:lang w:eastAsia="pt-BR"/>
        </w:rPr>
        <w:t xml:space="preserve"> </w:t>
      </w:r>
      <w:r w:rsidRPr="00977C8B">
        <w:rPr>
          <w:rFonts w:ascii="Times New Roman" w:eastAsia="Times New Roman" w:hAnsi="Times New Roman" w:cs="Times New Roman"/>
          <w:b/>
          <w:i/>
          <w:lang w:eastAsia="pt-BR"/>
        </w:rPr>
        <w:t>DE</w:t>
      </w:r>
      <w:r w:rsidRPr="00977C8B">
        <w:rPr>
          <w:rFonts w:ascii="Times New Roman" w:eastAsia="Times New Roman" w:hAnsi="Times New Roman" w:cs="Times New Roman"/>
          <w:b/>
          <w:i/>
          <w:spacing w:val="-5"/>
          <w:lang w:eastAsia="pt-BR"/>
        </w:rPr>
        <w:t xml:space="preserve"> </w:t>
      </w:r>
      <w:r w:rsidRPr="00977C8B">
        <w:rPr>
          <w:rFonts w:ascii="Times New Roman" w:eastAsia="Times New Roman" w:hAnsi="Times New Roman" w:cs="Times New Roman"/>
          <w:b/>
          <w:i/>
          <w:lang w:eastAsia="pt-BR"/>
        </w:rPr>
        <w:t>REALIZAÇÃO DA PESQUISA DE PREÇOS:</w:t>
      </w:r>
    </w:p>
    <w:p w14:paraId="34F5F4B1" w14:textId="77777777" w:rsidR="00B307DB" w:rsidRPr="00977C8B" w:rsidRDefault="00B307DB" w:rsidP="00B307DB">
      <w:pPr>
        <w:widowControl w:val="0"/>
        <w:tabs>
          <w:tab w:val="left" w:pos="709"/>
        </w:tabs>
        <w:autoSpaceDE w:val="0"/>
        <w:autoSpaceDN w:val="0"/>
        <w:spacing w:after="0" w:line="240" w:lineRule="auto"/>
        <w:jc w:val="both"/>
        <w:rPr>
          <w:rFonts w:ascii="Times New Roman" w:eastAsia="Times New Roman" w:hAnsi="Times New Roman" w:cs="Times New Roman"/>
          <w:lang w:eastAsia="pt-BR"/>
        </w:rPr>
      </w:pPr>
      <w:r w:rsidRPr="00977C8B">
        <w:rPr>
          <w:rFonts w:ascii="Times New Roman" w:eastAsia="Times New Roman" w:hAnsi="Times New Roman" w:cs="Times New Roman"/>
          <w:lang w:eastAsia="pt-BR"/>
        </w:rPr>
        <w:t>Foi realizado a pesquisa de preços foi realizada entre os dias 15 de outubro e 06 de novembro de 2024.</w:t>
      </w:r>
    </w:p>
    <w:p w14:paraId="5AB8F407" w14:textId="77777777" w:rsidR="00B307DB" w:rsidRPr="00977C8B" w:rsidRDefault="00B307DB" w:rsidP="00B307DB">
      <w:pPr>
        <w:widowControl w:val="0"/>
        <w:tabs>
          <w:tab w:val="left" w:pos="709"/>
        </w:tabs>
        <w:autoSpaceDE w:val="0"/>
        <w:autoSpaceDN w:val="0"/>
        <w:spacing w:after="0" w:line="240" w:lineRule="auto"/>
        <w:jc w:val="both"/>
        <w:rPr>
          <w:rFonts w:ascii="Times New Roman" w:eastAsia="Times New Roman" w:hAnsi="Times New Roman" w:cs="Times New Roman"/>
          <w:lang w:eastAsia="pt-BR"/>
        </w:rPr>
      </w:pPr>
    </w:p>
    <w:p w14:paraId="0476A68F" w14:textId="77777777" w:rsidR="00B307DB" w:rsidRPr="00977C8B" w:rsidRDefault="00B307DB" w:rsidP="00B307DB">
      <w:pPr>
        <w:widowControl w:val="0"/>
        <w:tabs>
          <w:tab w:val="left" w:pos="709"/>
        </w:tabs>
        <w:autoSpaceDE w:val="0"/>
        <w:autoSpaceDN w:val="0"/>
        <w:spacing w:after="0" w:line="240" w:lineRule="auto"/>
        <w:jc w:val="both"/>
        <w:rPr>
          <w:rFonts w:ascii="Times New Roman" w:eastAsia="Times New Roman" w:hAnsi="Times New Roman" w:cs="Times New Roman"/>
          <w:b/>
          <w:i/>
          <w:spacing w:val="-7"/>
          <w:lang w:eastAsia="pt-BR"/>
        </w:rPr>
      </w:pPr>
      <w:r w:rsidRPr="00977C8B">
        <w:rPr>
          <w:rFonts w:ascii="Times New Roman" w:eastAsia="Times New Roman" w:hAnsi="Times New Roman" w:cs="Times New Roman"/>
          <w:b/>
          <w:i/>
          <w:lang w:eastAsia="pt-BR"/>
        </w:rPr>
        <w:t>3 METODOLOGIA</w:t>
      </w:r>
      <w:r w:rsidRPr="00977C8B">
        <w:rPr>
          <w:rFonts w:ascii="Times New Roman" w:eastAsia="Times New Roman" w:hAnsi="Times New Roman" w:cs="Times New Roman"/>
          <w:b/>
          <w:i/>
          <w:spacing w:val="-6"/>
          <w:lang w:eastAsia="pt-BR"/>
        </w:rPr>
        <w:t xml:space="preserve"> </w:t>
      </w:r>
      <w:r w:rsidRPr="00977C8B">
        <w:rPr>
          <w:rFonts w:ascii="Times New Roman" w:eastAsia="Times New Roman" w:hAnsi="Times New Roman" w:cs="Times New Roman"/>
          <w:b/>
          <w:i/>
          <w:lang w:eastAsia="pt-BR"/>
        </w:rPr>
        <w:t>APLICADA:</w:t>
      </w:r>
    </w:p>
    <w:p w14:paraId="56E072A5" w14:textId="77777777" w:rsidR="00B307DB" w:rsidRPr="00977C8B" w:rsidRDefault="00B307DB" w:rsidP="00B307DB">
      <w:pPr>
        <w:widowControl w:val="0"/>
        <w:tabs>
          <w:tab w:val="left" w:pos="709"/>
        </w:tabs>
        <w:autoSpaceDE w:val="0"/>
        <w:autoSpaceDN w:val="0"/>
        <w:spacing w:after="0" w:line="240" w:lineRule="auto"/>
        <w:jc w:val="both"/>
        <w:rPr>
          <w:rFonts w:ascii="Times New Roman" w:eastAsia="Times New Roman" w:hAnsi="Times New Roman" w:cs="Times New Roman"/>
          <w:lang w:eastAsia="pt-BR"/>
        </w:rPr>
      </w:pPr>
      <w:r w:rsidRPr="00977C8B">
        <w:rPr>
          <w:rFonts w:ascii="Times New Roman" w:eastAsia="Times New Roman" w:hAnsi="Times New Roman" w:cs="Times New Roman"/>
          <w:lang w:eastAsia="pt-BR"/>
        </w:rPr>
        <w:t>O</w:t>
      </w:r>
      <w:r w:rsidRPr="00977C8B">
        <w:rPr>
          <w:rFonts w:ascii="Times New Roman" w:eastAsia="Times New Roman" w:hAnsi="Times New Roman" w:cs="Times New Roman"/>
          <w:spacing w:val="-8"/>
          <w:lang w:eastAsia="pt-BR"/>
        </w:rPr>
        <w:t xml:space="preserve"> </w:t>
      </w:r>
      <w:r w:rsidRPr="00977C8B">
        <w:rPr>
          <w:rFonts w:ascii="Times New Roman" w:eastAsia="Times New Roman" w:hAnsi="Times New Roman" w:cs="Times New Roman"/>
          <w:lang w:eastAsia="pt-BR"/>
        </w:rPr>
        <w:t>valor</w:t>
      </w:r>
      <w:r w:rsidRPr="00977C8B">
        <w:rPr>
          <w:rFonts w:ascii="Times New Roman" w:eastAsia="Times New Roman" w:hAnsi="Times New Roman" w:cs="Times New Roman"/>
          <w:spacing w:val="-10"/>
          <w:lang w:eastAsia="pt-BR"/>
        </w:rPr>
        <w:t xml:space="preserve"> </w:t>
      </w:r>
      <w:r w:rsidRPr="00977C8B">
        <w:rPr>
          <w:rFonts w:ascii="Times New Roman" w:eastAsia="Times New Roman" w:hAnsi="Times New Roman" w:cs="Times New Roman"/>
          <w:lang w:eastAsia="pt-BR"/>
        </w:rPr>
        <w:t>de</w:t>
      </w:r>
      <w:r w:rsidRPr="00977C8B">
        <w:rPr>
          <w:rFonts w:ascii="Times New Roman" w:eastAsia="Times New Roman" w:hAnsi="Times New Roman" w:cs="Times New Roman"/>
          <w:spacing w:val="-8"/>
          <w:lang w:eastAsia="pt-BR"/>
        </w:rPr>
        <w:t xml:space="preserve"> </w:t>
      </w:r>
      <w:r w:rsidRPr="00977C8B">
        <w:rPr>
          <w:rFonts w:ascii="Times New Roman" w:eastAsia="Times New Roman" w:hAnsi="Times New Roman" w:cs="Times New Roman"/>
          <w:lang w:eastAsia="pt-BR"/>
        </w:rPr>
        <w:t>referência</w:t>
      </w:r>
      <w:r w:rsidRPr="00977C8B">
        <w:rPr>
          <w:rFonts w:ascii="Times New Roman" w:eastAsia="Times New Roman" w:hAnsi="Times New Roman" w:cs="Times New Roman"/>
          <w:spacing w:val="-7"/>
          <w:lang w:eastAsia="pt-BR"/>
        </w:rPr>
        <w:t xml:space="preserve"> </w:t>
      </w:r>
      <w:r w:rsidRPr="00977C8B">
        <w:rPr>
          <w:rFonts w:ascii="Times New Roman" w:eastAsia="Times New Roman" w:hAnsi="Times New Roman" w:cs="Times New Roman"/>
          <w:lang w:eastAsia="pt-BR"/>
        </w:rPr>
        <w:t>foi</w:t>
      </w:r>
      <w:r w:rsidRPr="00977C8B">
        <w:rPr>
          <w:rFonts w:ascii="Times New Roman" w:eastAsia="Times New Roman" w:hAnsi="Times New Roman" w:cs="Times New Roman"/>
          <w:spacing w:val="-8"/>
          <w:lang w:eastAsia="pt-BR"/>
        </w:rPr>
        <w:t xml:space="preserve"> </w:t>
      </w:r>
      <w:r w:rsidRPr="00977C8B">
        <w:rPr>
          <w:rFonts w:ascii="Times New Roman" w:eastAsia="Times New Roman" w:hAnsi="Times New Roman" w:cs="Times New Roman"/>
          <w:lang w:eastAsia="pt-BR"/>
        </w:rPr>
        <w:t>aferido</w:t>
      </w:r>
      <w:r w:rsidRPr="00977C8B">
        <w:rPr>
          <w:rFonts w:ascii="Times New Roman" w:eastAsia="Times New Roman" w:hAnsi="Times New Roman" w:cs="Times New Roman"/>
          <w:spacing w:val="-9"/>
          <w:lang w:eastAsia="pt-BR"/>
        </w:rPr>
        <w:t xml:space="preserve"> </w:t>
      </w:r>
      <w:r w:rsidRPr="00977C8B">
        <w:rPr>
          <w:rFonts w:ascii="Times New Roman" w:eastAsia="Times New Roman" w:hAnsi="Times New Roman" w:cs="Times New Roman"/>
          <w:lang w:eastAsia="pt-BR"/>
        </w:rPr>
        <w:t>por</w:t>
      </w:r>
      <w:r w:rsidRPr="00977C8B">
        <w:rPr>
          <w:rFonts w:ascii="Times New Roman" w:eastAsia="Times New Roman" w:hAnsi="Times New Roman" w:cs="Times New Roman"/>
          <w:spacing w:val="-7"/>
          <w:lang w:eastAsia="pt-BR"/>
        </w:rPr>
        <w:t xml:space="preserve"> </w:t>
      </w:r>
      <w:r w:rsidRPr="00977C8B">
        <w:rPr>
          <w:rFonts w:ascii="Times New Roman" w:eastAsia="Times New Roman" w:hAnsi="Times New Roman" w:cs="Times New Roman"/>
          <w:lang w:eastAsia="pt-BR"/>
        </w:rPr>
        <w:t>meio</w:t>
      </w:r>
      <w:r w:rsidRPr="00977C8B">
        <w:rPr>
          <w:rFonts w:ascii="Times New Roman" w:eastAsia="Times New Roman" w:hAnsi="Times New Roman" w:cs="Times New Roman"/>
          <w:spacing w:val="-9"/>
          <w:lang w:eastAsia="pt-BR"/>
        </w:rPr>
        <w:t xml:space="preserve"> </w:t>
      </w:r>
      <w:r w:rsidRPr="00977C8B">
        <w:rPr>
          <w:rFonts w:ascii="Times New Roman" w:eastAsia="Times New Roman" w:hAnsi="Times New Roman" w:cs="Times New Roman"/>
          <w:lang w:eastAsia="pt-BR"/>
        </w:rPr>
        <w:t>de media.</w:t>
      </w:r>
    </w:p>
    <w:p w14:paraId="7B9B14B5" w14:textId="77777777" w:rsidR="00B307DB" w:rsidRPr="00977C8B" w:rsidRDefault="00B307DB" w:rsidP="00B307DB">
      <w:pPr>
        <w:widowControl w:val="0"/>
        <w:autoSpaceDE w:val="0"/>
        <w:autoSpaceDN w:val="0"/>
        <w:spacing w:after="0" w:line="240" w:lineRule="auto"/>
        <w:jc w:val="both"/>
        <w:outlineLvl w:val="0"/>
        <w:rPr>
          <w:rFonts w:ascii="Times New Roman" w:eastAsia="Times New Roman" w:hAnsi="Times New Roman" w:cs="Times New Roman"/>
          <w:b/>
          <w:i/>
          <w:lang w:eastAsia="pt-BR"/>
        </w:rPr>
      </w:pPr>
    </w:p>
    <w:p w14:paraId="07764BC2" w14:textId="77777777" w:rsidR="00B307DB" w:rsidRPr="00977C8B" w:rsidRDefault="00B307DB" w:rsidP="00B307DB">
      <w:pPr>
        <w:widowControl w:val="0"/>
        <w:autoSpaceDE w:val="0"/>
        <w:autoSpaceDN w:val="0"/>
        <w:spacing w:after="0" w:line="240" w:lineRule="auto"/>
        <w:jc w:val="both"/>
        <w:outlineLvl w:val="0"/>
        <w:rPr>
          <w:rFonts w:ascii="Times New Roman" w:eastAsia="Times New Roman" w:hAnsi="Times New Roman" w:cs="Times New Roman"/>
          <w:b/>
          <w:i/>
          <w:lang w:eastAsia="pt-BR"/>
        </w:rPr>
      </w:pPr>
      <w:r w:rsidRPr="00977C8B">
        <w:rPr>
          <w:rFonts w:ascii="Times New Roman" w:eastAsia="Times New Roman" w:hAnsi="Times New Roman" w:cs="Times New Roman"/>
          <w:b/>
          <w:i/>
          <w:lang w:eastAsia="pt-BR"/>
        </w:rPr>
        <w:t>4 FONTES</w:t>
      </w:r>
      <w:r w:rsidRPr="00977C8B">
        <w:rPr>
          <w:rFonts w:ascii="Times New Roman" w:eastAsia="Times New Roman" w:hAnsi="Times New Roman" w:cs="Times New Roman"/>
          <w:b/>
          <w:i/>
          <w:spacing w:val="-3"/>
          <w:lang w:eastAsia="pt-BR"/>
        </w:rPr>
        <w:t xml:space="preserve"> </w:t>
      </w:r>
      <w:r w:rsidRPr="00977C8B">
        <w:rPr>
          <w:rFonts w:ascii="Times New Roman" w:eastAsia="Times New Roman" w:hAnsi="Times New Roman" w:cs="Times New Roman"/>
          <w:b/>
          <w:i/>
          <w:lang w:eastAsia="pt-BR"/>
        </w:rPr>
        <w:t>DE</w:t>
      </w:r>
      <w:r w:rsidRPr="00977C8B">
        <w:rPr>
          <w:rFonts w:ascii="Times New Roman" w:eastAsia="Times New Roman" w:hAnsi="Times New Roman" w:cs="Times New Roman"/>
          <w:b/>
          <w:i/>
          <w:spacing w:val="-4"/>
          <w:lang w:eastAsia="pt-BR"/>
        </w:rPr>
        <w:t xml:space="preserve"> </w:t>
      </w:r>
      <w:r w:rsidRPr="00977C8B">
        <w:rPr>
          <w:rFonts w:ascii="Times New Roman" w:eastAsia="Times New Roman" w:hAnsi="Times New Roman" w:cs="Times New Roman"/>
          <w:b/>
          <w:i/>
          <w:lang w:eastAsia="pt-BR"/>
        </w:rPr>
        <w:t>PESQUISA:</w:t>
      </w:r>
    </w:p>
    <w:p w14:paraId="60450972" w14:textId="77777777" w:rsidR="00B307DB" w:rsidRPr="00977C8B" w:rsidRDefault="00B307DB" w:rsidP="00B307DB">
      <w:pPr>
        <w:spacing w:after="0" w:line="240" w:lineRule="auto"/>
        <w:ind w:right="264"/>
        <w:jc w:val="both"/>
        <w:rPr>
          <w:rFonts w:ascii="Times New Roman" w:eastAsia="Times New Roman" w:hAnsi="Times New Roman" w:cs="Times New Roman"/>
          <w:color w:val="000009"/>
          <w:lang w:eastAsia="pt-BR"/>
        </w:rPr>
      </w:pPr>
      <w:r w:rsidRPr="00977C8B">
        <w:rPr>
          <w:rFonts w:ascii="Times New Roman" w:eastAsia="Times New Roman" w:hAnsi="Times New Roman" w:cs="Times New Roman"/>
          <w:color w:val="000009"/>
          <w:lang w:eastAsia="pt-BR"/>
        </w:rPr>
        <w:t>A pesquisa de preços será dividida por módulos do sistema. Foi realizada a pesquisa de preços utilizando os seguintes parâmetros, observado o art. 3º do Decreto municipal nº 4787, de 30 de outubro de 2023.</w:t>
      </w:r>
    </w:p>
    <w:p w14:paraId="53884E8D" w14:textId="77777777" w:rsidR="00B307DB" w:rsidRPr="00977C8B" w:rsidRDefault="00B307DB" w:rsidP="00B307DB">
      <w:pPr>
        <w:spacing w:after="0" w:line="240" w:lineRule="auto"/>
        <w:jc w:val="both"/>
        <w:rPr>
          <w:rFonts w:ascii="Times New Roman" w:eastAsia="Times New Roman" w:hAnsi="Times New Roman" w:cs="Times New Roman"/>
          <w:highlight w:val="yellow"/>
          <w:lang w:eastAsia="pt-BR"/>
        </w:rPr>
      </w:pPr>
    </w:p>
    <w:p w14:paraId="2F3A65E5" w14:textId="77777777" w:rsidR="00B307DB" w:rsidRPr="00977C8B" w:rsidRDefault="00B307DB" w:rsidP="00B307DB">
      <w:pPr>
        <w:spacing w:after="0" w:line="240" w:lineRule="auto"/>
        <w:rPr>
          <w:rFonts w:ascii="Times New Roman" w:eastAsia="Times New Roman" w:hAnsi="Times New Roman" w:cs="Times New Roman"/>
          <w:b/>
          <w:bCs/>
          <w:i/>
          <w:lang w:eastAsia="pt-BR"/>
        </w:rPr>
      </w:pPr>
      <w:r w:rsidRPr="00977C8B">
        <w:rPr>
          <w:rFonts w:ascii="Times New Roman" w:eastAsia="Times New Roman" w:hAnsi="Times New Roman" w:cs="Times New Roman"/>
          <w:b/>
          <w:bCs/>
          <w:i/>
          <w:lang w:eastAsia="pt-BR"/>
        </w:rPr>
        <w:t>5 ANÁLISE DA PESQUISA:</w:t>
      </w:r>
    </w:p>
    <w:p w14:paraId="6E63C087" w14:textId="77777777" w:rsidR="00B307DB" w:rsidRPr="00977C8B" w:rsidRDefault="00B307DB" w:rsidP="00B307DB">
      <w:pPr>
        <w:tabs>
          <w:tab w:val="left" w:pos="2268"/>
        </w:tabs>
        <w:spacing w:after="0" w:line="240" w:lineRule="auto"/>
        <w:jc w:val="both"/>
        <w:rPr>
          <w:rFonts w:ascii="Times New Roman" w:eastAsia="Times New Roman" w:hAnsi="Times New Roman" w:cs="Times New Roman"/>
          <w:color w:val="000009"/>
          <w:lang w:eastAsia="pt-BR"/>
        </w:rPr>
      </w:pPr>
      <w:r w:rsidRPr="00977C8B">
        <w:rPr>
          <w:rFonts w:ascii="Times New Roman" w:eastAsia="Times New Roman" w:hAnsi="Times New Roman" w:cs="Times New Roman"/>
          <w:color w:val="000009"/>
          <w:lang w:eastAsia="pt-BR"/>
        </w:rPr>
        <w:t>As empresas consultadas são as de conhecimento da administração, o município solicitou orçamento para duas empresas, para que orçassem seus sistemas na sua totalidade, com todos os seus módulos. Ainda, buscou-se contratações em municípios que já tenham contratado o mesmo objeto, porém, em alguns casos para a formulação dos valores de referência, foram admitidos o uso de menos que 3 preços, pelo fato da dificuldade de encontrar contratações com os mesmos módulos, visto que praticamente nenhum município contrata os sistemas na sua integralidade.</w:t>
      </w:r>
    </w:p>
    <w:p w14:paraId="03DE000B" w14:textId="77777777" w:rsidR="00B307DB" w:rsidRPr="00977C8B" w:rsidRDefault="00B307DB" w:rsidP="00B307DB">
      <w:pPr>
        <w:tabs>
          <w:tab w:val="left" w:pos="2268"/>
        </w:tabs>
        <w:spacing w:after="0" w:line="240" w:lineRule="auto"/>
        <w:jc w:val="both"/>
        <w:rPr>
          <w:rFonts w:ascii="Times New Roman" w:eastAsia="Times New Roman" w:hAnsi="Times New Roman" w:cs="Times New Roman"/>
          <w:color w:val="000009"/>
          <w:spacing w:val="1"/>
          <w:lang w:eastAsia="pt-BR"/>
        </w:rPr>
      </w:pPr>
      <w:r w:rsidRPr="00977C8B">
        <w:rPr>
          <w:rFonts w:ascii="Times New Roman" w:eastAsia="Times New Roman" w:hAnsi="Times New Roman" w:cs="Times New Roman"/>
          <w:color w:val="000009"/>
          <w:lang w:eastAsia="pt-BR"/>
        </w:rPr>
        <w:t>Após</w:t>
      </w:r>
      <w:r w:rsidRPr="00977C8B">
        <w:rPr>
          <w:rFonts w:ascii="Times New Roman" w:eastAsia="Times New Roman" w:hAnsi="Times New Roman" w:cs="Times New Roman"/>
          <w:color w:val="000009"/>
          <w:spacing w:val="1"/>
          <w:lang w:eastAsia="pt-BR"/>
        </w:rPr>
        <w:t xml:space="preserve"> </w:t>
      </w:r>
      <w:r w:rsidRPr="00977C8B">
        <w:rPr>
          <w:rFonts w:ascii="Times New Roman" w:eastAsia="Times New Roman" w:hAnsi="Times New Roman" w:cs="Times New Roman"/>
          <w:color w:val="000009"/>
          <w:lang w:eastAsia="pt-BR"/>
        </w:rPr>
        <w:t>análise</w:t>
      </w:r>
      <w:r w:rsidRPr="00977C8B">
        <w:rPr>
          <w:rFonts w:ascii="Times New Roman" w:eastAsia="Times New Roman" w:hAnsi="Times New Roman" w:cs="Times New Roman"/>
          <w:color w:val="000009"/>
          <w:spacing w:val="1"/>
          <w:lang w:eastAsia="pt-BR"/>
        </w:rPr>
        <w:t xml:space="preserve"> </w:t>
      </w:r>
      <w:r w:rsidRPr="00977C8B">
        <w:rPr>
          <w:rFonts w:ascii="Times New Roman" w:eastAsia="Times New Roman" w:hAnsi="Times New Roman" w:cs="Times New Roman"/>
          <w:color w:val="000009"/>
          <w:lang w:eastAsia="pt-BR"/>
        </w:rPr>
        <w:t>detalhada</w:t>
      </w:r>
      <w:r w:rsidRPr="00977C8B">
        <w:rPr>
          <w:rFonts w:ascii="Times New Roman" w:eastAsia="Times New Roman" w:hAnsi="Times New Roman" w:cs="Times New Roman"/>
          <w:color w:val="000009"/>
          <w:spacing w:val="1"/>
          <w:lang w:eastAsia="pt-BR"/>
        </w:rPr>
        <w:t>, chegou-se aos seguintes preços:</w:t>
      </w:r>
    </w:p>
    <w:p w14:paraId="76B4695B" w14:textId="77777777" w:rsidR="00B307DB" w:rsidRDefault="00B307DB" w:rsidP="00B307DB">
      <w:pPr>
        <w:spacing w:after="0" w:line="240" w:lineRule="auto"/>
        <w:ind w:right="-568"/>
        <w:jc w:val="center"/>
        <w:rPr>
          <w:rFonts w:ascii="Times New Roman" w:hAnsi="Times New Roman" w:cs="Times New Roman"/>
          <w:b/>
        </w:rPr>
      </w:pPr>
    </w:p>
    <w:tbl>
      <w:tblPr>
        <w:tblW w:w="13793" w:type="dxa"/>
        <w:tblInd w:w="137" w:type="dxa"/>
        <w:tblCellMar>
          <w:left w:w="70" w:type="dxa"/>
          <w:right w:w="70" w:type="dxa"/>
        </w:tblCellMar>
        <w:tblLook w:val="04A0" w:firstRow="1" w:lastRow="0" w:firstColumn="1" w:lastColumn="0" w:noHBand="0" w:noVBand="1"/>
      </w:tblPr>
      <w:tblGrid>
        <w:gridCol w:w="690"/>
        <w:gridCol w:w="1809"/>
        <w:gridCol w:w="529"/>
        <w:gridCol w:w="818"/>
        <w:gridCol w:w="1563"/>
        <w:gridCol w:w="1563"/>
        <w:gridCol w:w="1111"/>
        <w:gridCol w:w="1233"/>
        <w:gridCol w:w="1185"/>
        <w:gridCol w:w="1058"/>
        <w:gridCol w:w="940"/>
        <w:gridCol w:w="1294"/>
      </w:tblGrid>
      <w:tr w:rsidR="00B307DB" w:rsidRPr="00977C8B" w14:paraId="2AFC81A7" w14:textId="77777777" w:rsidTr="00B307DB">
        <w:trPr>
          <w:trHeight w:val="1848"/>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AAD37"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Item</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2013D2DA"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Descrição</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338CADB2"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Qtde</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36F04E7F"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Unidade de Medida</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C0026E5"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ORÇAMENTO DIRETO COM FORNECEDOR: IPM SISTEMAS CNPJ: 01.258.027/0001-41</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CE0E0FA"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ORÇAMENTO DIRETO COM FORNECEDOR: BETHA SISTEMAS CNPJ: 00.456.865/0001-67</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0A23C318"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Município de Guabiruba -Pregão Eletronico 61/2024</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19003554"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Município de Faxinal dos Guedes SC, Contrato nº122/2024</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380AA78A"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Município de Lacerdópolis SC Contrato nº11/2024</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BCA32AD"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Município de Águas Frias Contrato nº142/2023 GovBr</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6706CCA5"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Media dos valores</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0AE5BFD2"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Valores totais</w:t>
            </w:r>
          </w:p>
        </w:tc>
      </w:tr>
      <w:tr w:rsidR="00B307DB" w:rsidRPr="00977C8B" w14:paraId="170651F2" w14:textId="77777777" w:rsidTr="00B307DB">
        <w:trPr>
          <w:trHeight w:val="585"/>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406BD82" w14:textId="77777777" w:rsidR="00B307DB" w:rsidRPr="00977C8B" w:rsidRDefault="00B307DB" w:rsidP="00B307DB">
            <w:pPr>
              <w:spacing w:after="0" w:line="240" w:lineRule="auto"/>
              <w:jc w:val="center"/>
              <w:rPr>
                <w:rFonts w:ascii="Times New Roman" w:hAnsi="Times New Roman" w:cs="Times New Roman"/>
                <w:b/>
                <w:bCs/>
                <w:color w:val="000000"/>
                <w:sz w:val="20"/>
              </w:rPr>
            </w:pPr>
            <w:r w:rsidRPr="00977C8B">
              <w:rPr>
                <w:rFonts w:ascii="Times New Roman" w:hAnsi="Times New Roman" w:cs="Times New Roman"/>
                <w:b/>
                <w:bCs/>
                <w:color w:val="000000"/>
                <w:sz w:val="20"/>
              </w:rPr>
              <w:lastRenderedPageBreak/>
              <w:t>1.1</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01A0F5E7" w14:textId="77777777" w:rsidR="00B307DB" w:rsidRPr="00977C8B" w:rsidRDefault="00B307DB" w:rsidP="00B307DB">
            <w:pPr>
              <w:spacing w:after="0" w:line="240" w:lineRule="auto"/>
              <w:rPr>
                <w:rFonts w:ascii="Times New Roman" w:hAnsi="Times New Roman" w:cs="Times New Roman"/>
                <w:b/>
                <w:bCs/>
                <w:color w:val="000000"/>
                <w:sz w:val="20"/>
              </w:rPr>
            </w:pPr>
            <w:r w:rsidRPr="00977C8B">
              <w:rPr>
                <w:rFonts w:ascii="Times New Roman" w:hAnsi="Times New Roman" w:cs="Times New Roman"/>
                <w:b/>
                <w:bCs/>
                <w:color w:val="000000"/>
                <w:sz w:val="20"/>
              </w:rPr>
              <w:t>OBJETO: MÓDULOS PREFEITURA MUNICIPAL DE RIQUEZA</w:t>
            </w:r>
          </w:p>
        </w:tc>
      </w:tr>
      <w:tr w:rsidR="00B307DB" w:rsidRPr="00977C8B" w14:paraId="2CADEB53"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8827F23"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w:t>
            </w:r>
          </w:p>
        </w:tc>
        <w:tc>
          <w:tcPr>
            <w:tcW w:w="1809" w:type="dxa"/>
            <w:tcBorders>
              <w:top w:val="nil"/>
              <w:left w:val="nil"/>
              <w:bottom w:val="single" w:sz="4" w:space="0" w:color="auto"/>
              <w:right w:val="single" w:sz="4" w:space="0" w:color="auto"/>
            </w:tcBorders>
            <w:shd w:val="clear" w:color="auto" w:fill="auto"/>
            <w:vAlign w:val="center"/>
            <w:hideMark/>
          </w:tcPr>
          <w:p w14:paraId="71545F5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Planejamento e Orçamento</w:t>
            </w:r>
          </w:p>
        </w:tc>
        <w:tc>
          <w:tcPr>
            <w:tcW w:w="529" w:type="dxa"/>
            <w:tcBorders>
              <w:top w:val="nil"/>
              <w:left w:val="nil"/>
              <w:bottom w:val="single" w:sz="4" w:space="0" w:color="auto"/>
              <w:right w:val="single" w:sz="4" w:space="0" w:color="auto"/>
            </w:tcBorders>
            <w:shd w:val="clear" w:color="auto" w:fill="auto"/>
            <w:vAlign w:val="center"/>
            <w:hideMark/>
          </w:tcPr>
          <w:p w14:paraId="4CDA1A8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639183E"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3763E2E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514,11 </w:t>
            </w:r>
          </w:p>
        </w:tc>
        <w:tc>
          <w:tcPr>
            <w:tcW w:w="1563" w:type="dxa"/>
            <w:tcBorders>
              <w:top w:val="nil"/>
              <w:left w:val="nil"/>
              <w:bottom w:val="single" w:sz="4" w:space="0" w:color="auto"/>
              <w:right w:val="single" w:sz="4" w:space="0" w:color="auto"/>
            </w:tcBorders>
            <w:shd w:val="clear" w:color="auto" w:fill="auto"/>
            <w:noWrap/>
            <w:vAlign w:val="bottom"/>
            <w:hideMark/>
          </w:tcPr>
          <w:p w14:paraId="0E03C23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435,00 </w:t>
            </w:r>
          </w:p>
        </w:tc>
        <w:tc>
          <w:tcPr>
            <w:tcW w:w="1111" w:type="dxa"/>
            <w:tcBorders>
              <w:top w:val="nil"/>
              <w:left w:val="nil"/>
              <w:bottom w:val="single" w:sz="4" w:space="0" w:color="auto"/>
              <w:right w:val="single" w:sz="4" w:space="0" w:color="auto"/>
            </w:tcBorders>
            <w:shd w:val="clear" w:color="auto" w:fill="auto"/>
            <w:noWrap/>
            <w:vAlign w:val="bottom"/>
            <w:hideMark/>
          </w:tcPr>
          <w:p w14:paraId="413E376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510,00 </w:t>
            </w:r>
          </w:p>
        </w:tc>
        <w:tc>
          <w:tcPr>
            <w:tcW w:w="1233" w:type="dxa"/>
            <w:tcBorders>
              <w:top w:val="nil"/>
              <w:left w:val="nil"/>
              <w:bottom w:val="single" w:sz="4" w:space="0" w:color="auto"/>
              <w:right w:val="single" w:sz="4" w:space="0" w:color="auto"/>
            </w:tcBorders>
            <w:shd w:val="clear" w:color="auto" w:fill="auto"/>
            <w:noWrap/>
            <w:vAlign w:val="bottom"/>
            <w:hideMark/>
          </w:tcPr>
          <w:p w14:paraId="0ADF731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759,00 </w:t>
            </w:r>
          </w:p>
        </w:tc>
        <w:tc>
          <w:tcPr>
            <w:tcW w:w="1185" w:type="dxa"/>
            <w:tcBorders>
              <w:top w:val="nil"/>
              <w:left w:val="nil"/>
              <w:bottom w:val="single" w:sz="4" w:space="0" w:color="auto"/>
              <w:right w:val="single" w:sz="4" w:space="0" w:color="auto"/>
            </w:tcBorders>
            <w:shd w:val="clear" w:color="auto" w:fill="auto"/>
            <w:noWrap/>
            <w:vAlign w:val="bottom"/>
            <w:hideMark/>
          </w:tcPr>
          <w:p w14:paraId="394DD2B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412,80 </w:t>
            </w:r>
          </w:p>
        </w:tc>
        <w:tc>
          <w:tcPr>
            <w:tcW w:w="1058" w:type="dxa"/>
            <w:tcBorders>
              <w:top w:val="nil"/>
              <w:left w:val="nil"/>
              <w:bottom w:val="single" w:sz="4" w:space="0" w:color="auto"/>
              <w:right w:val="single" w:sz="4" w:space="0" w:color="auto"/>
            </w:tcBorders>
            <w:shd w:val="clear" w:color="auto" w:fill="auto"/>
            <w:noWrap/>
            <w:vAlign w:val="bottom"/>
            <w:hideMark/>
          </w:tcPr>
          <w:p w14:paraId="7999FFF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3FD6AC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526,18 </w:t>
            </w:r>
          </w:p>
        </w:tc>
        <w:tc>
          <w:tcPr>
            <w:tcW w:w="1294" w:type="dxa"/>
            <w:tcBorders>
              <w:top w:val="nil"/>
              <w:left w:val="nil"/>
              <w:bottom w:val="single" w:sz="4" w:space="0" w:color="auto"/>
              <w:right w:val="single" w:sz="4" w:space="0" w:color="auto"/>
            </w:tcBorders>
            <w:shd w:val="clear" w:color="auto" w:fill="auto"/>
            <w:noWrap/>
            <w:vAlign w:val="bottom"/>
            <w:hideMark/>
          </w:tcPr>
          <w:p w14:paraId="4BF5B85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6.314,18 </w:t>
            </w:r>
          </w:p>
        </w:tc>
      </w:tr>
      <w:tr w:rsidR="00B307DB" w:rsidRPr="00977C8B" w14:paraId="0DF3CDAB"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729A373"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w:t>
            </w:r>
          </w:p>
        </w:tc>
        <w:tc>
          <w:tcPr>
            <w:tcW w:w="1809" w:type="dxa"/>
            <w:tcBorders>
              <w:top w:val="nil"/>
              <w:left w:val="nil"/>
              <w:bottom w:val="single" w:sz="4" w:space="0" w:color="auto"/>
              <w:right w:val="single" w:sz="4" w:space="0" w:color="auto"/>
            </w:tcBorders>
            <w:shd w:val="clear" w:color="auto" w:fill="auto"/>
            <w:vAlign w:val="center"/>
            <w:hideMark/>
          </w:tcPr>
          <w:p w14:paraId="0370338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Gestão Contábil e Financeira</w:t>
            </w:r>
          </w:p>
        </w:tc>
        <w:tc>
          <w:tcPr>
            <w:tcW w:w="529" w:type="dxa"/>
            <w:tcBorders>
              <w:top w:val="nil"/>
              <w:left w:val="nil"/>
              <w:bottom w:val="single" w:sz="4" w:space="0" w:color="auto"/>
              <w:right w:val="single" w:sz="4" w:space="0" w:color="auto"/>
            </w:tcBorders>
            <w:shd w:val="clear" w:color="auto" w:fill="auto"/>
            <w:vAlign w:val="center"/>
            <w:hideMark/>
          </w:tcPr>
          <w:p w14:paraId="02752666"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34EC98E"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609736C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1.655,95 </w:t>
            </w:r>
          </w:p>
        </w:tc>
        <w:tc>
          <w:tcPr>
            <w:tcW w:w="1563" w:type="dxa"/>
            <w:tcBorders>
              <w:top w:val="nil"/>
              <w:left w:val="nil"/>
              <w:bottom w:val="single" w:sz="4" w:space="0" w:color="auto"/>
              <w:right w:val="single" w:sz="4" w:space="0" w:color="auto"/>
            </w:tcBorders>
            <w:shd w:val="clear" w:color="auto" w:fill="auto"/>
            <w:noWrap/>
            <w:vAlign w:val="bottom"/>
            <w:hideMark/>
          </w:tcPr>
          <w:p w14:paraId="241CB01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2.290,00 </w:t>
            </w:r>
          </w:p>
        </w:tc>
        <w:tc>
          <w:tcPr>
            <w:tcW w:w="1111" w:type="dxa"/>
            <w:tcBorders>
              <w:top w:val="nil"/>
              <w:left w:val="nil"/>
              <w:bottom w:val="single" w:sz="4" w:space="0" w:color="auto"/>
              <w:right w:val="single" w:sz="4" w:space="0" w:color="auto"/>
            </w:tcBorders>
            <w:shd w:val="clear" w:color="auto" w:fill="auto"/>
            <w:noWrap/>
            <w:vAlign w:val="bottom"/>
            <w:hideMark/>
          </w:tcPr>
          <w:p w14:paraId="7B9BD5E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2.488,00 </w:t>
            </w:r>
          </w:p>
        </w:tc>
        <w:tc>
          <w:tcPr>
            <w:tcW w:w="1233" w:type="dxa"/>
            <w:tcBorders>
              <w:top w:val="nil"/>
              <w:left w:val="nil"/>
              <w:bottom w:val="single" w:sz="4" w:space="0" w:color="auto"/>
              <w:right w:val="single" w:sz="4" w:space="0" w:color="auto"/>
            </w:tcBorders>
            <w:shd w:val="clear" w:color="auto" w:fill="auto"/>
            <w:noWrap/>
            <w:vAlign w:val="bottom"/>
            <w:hideMark/>
          </w:tcPr>
          <w:p w14:paraId="246A6C5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2.346,00 </w:t>
            </w:r>
          </w:p>
        </w:tc>
        <w:tc>
          <w:tcPr>
            <w:tcW w:w="1185" w:type="dxa"/>
            <w:tcBorders>
              <w:top w:val="nil"/>
              <w:left w:val="nil"/>
              <w:bottom w:val="single" w:sz="4" w:space="0" w:color="auto"/>
              <w:right w:val="single" w:sz="4" w:space="0" w:color="auto"/>
            </w:tcBorders>
            <w:shd w:val="clear" w:color="auto" w:fill="auto"/>
            <w:noWrap/>
            <w:vAlign w:val="bottom"/>
            <w:hideMark/>
          </w:tcPr>
          <w:p w14:paraId="21CC1D7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1.444,80 </w:t>
            </w:r>
          </w:p>
        </w:tc>
        <w:tc>
          <w:tcPr>
            <w:tcW w:w="1058" w:type="dxa"/>
            <w:tcBorders>
              <w:top w:val="nil"/>
              <w:left w:val="nil"/>
              <w:bottom w:val="single" w:sz="4" w:space="0" w:color="auto"/>
              <w:right w:val="single" w:sz="4" w:space="0" w:color="auto"/>
            </w:tcBorders>
            <w:shd w:val="clear" w:color="auto" w:fill="auto"/>
            <w:noWrap/>
            <w:vAlign w:val="bottom"/>
            <w:hideMark/>
          </w:tcPr>
          <w:p w14:paraId="2E92B3A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1.559,96 </w:t>
            </w:r>
          </w:p>
        </w:tc>
        <w:tc>
          <w:tcPr>
            <w:tcW w:w="940" w:type="dxa"/>
            <w:tcBorders>
              <w:top w:val="nil"/>
              <w:left w:val="nil"/>
              <w:bottom w:val="single" w:sz="4" w:space="0" w:color="auto"/>
              <w:right w:val="single" w:sz="4" w:space="0" w:color="auto"/>
            </w:tcBorders>
            <w:shd w:val="clear" w:color="auto" w:fill="auto"/>
            <w:noWrap/>
            <w:vAlign w:val="bottom"/>
            <w:hideMark/>
          </w:tcPr>
          <w:p w14:paraId="4D03A0B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1.964,12 </w:t>
            </w:r>
          </w:p>
        </w:tc>
        <w:tc>
          <w:tcPr>
            <w:tcW w:w="1294" w:type="dxa"/>
            <w:tcBorders>
              <w:top w:val="nil"/>
              <w:left w:val="nil"/>
              <w:bottom w:val="single" w:sz="4" w:space="0" w:color="auto"/>
              <w:right w:val="single" w:sz="4" w:space="0" w:color="auto"/>
            </w:tcBorders>
            <w:shd w:val="clear" w:color="auto" w:fill="auto"/>
            <w:noWrap/>
            <w:vAlign w:val="bottom"/>
            <w:hideMark/>
          </w:tcPr>
          <w:p w14:paraId="1F39F83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23.569,42 </w:t>
            </w:r>
          </w:p>
        </w:tc>
      </w:tr>
      <w:tr w:rsidR="00B307DB" w:rsidRPr="00977C8B" w14:paraId="34768471"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D25C660"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1.1.3</w:t>
            </w:r>
          </w:p>
        </w:tc>
        <w:tc>
          <w:tcPr>
            <w:tcW w:w="1809" w:type="dxa"/>
            <w:tcBorders>
              <w:top w:val="nil"/>
              <w:left w:val="nil"/>
              <w:bottom w:val="single" w:sz="4" w:space="0" w:color="auto"/>
              <w:right w:val="single" w:sz="4" w:space="0" w:color="auto"/>
            </w:tcBorders>
            <w:shd w:val="clear" w:color="auto" w:fill="auto"/>
            <w:vAlign w:val="center"/>
            <w:hideMark/>
          </w:tcPr>
          <w:p w14:paraId="0D3845F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Controle interno</w:t>
            </w:r>
          </w:p>
        </w:tc>
        <w:tc>
          <w:tcPr>
            <w:tcW w:w="529" w:type="dxa"/>
            <w:tcBorders>
              <w:top w:val="nil"/>
              <w:left w:val="nil"/>
              <w:bottom w:val="single" w:sz="4" w:space="0" w:color="auto"/>
              <w:right w:val="single" w:sz="4" w:space="0" w:color="auto"/>
            </w:tcBorders>
            <w:shd w:val="clear" w:color="auto" w:fill="auto"/>
            <w:vAlign w:val="center"/>
            <w:hideMark/>
          </w:tcPr>
          <w:p w14:paraId="42E1D114"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C1EC1C2"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2FC12F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392,61 </w:t>
            </w:r>
          </w:p>
        </w:tc>
        <w:tc>
          <w:tcPr>
            <w:tcW w:w="1563" w:type="dxa"/>
            <w:tcBorders>
              <w:top w:val="nil"/>
              <w:left w:val="nil"/>
              <w:bottom w:val="single" w:sz="4" w:space="0" w:color="auto"/>
              <w:right w:val="single" w:sz="4" w:space="0" w:color="auto"/>
            </w:tcBorders>
            <w:shd w:val="clear" w:color="auto" w:fill="auto"/>
            <w:noWrap/>
            <w:vAlign w:val="bottom"/>
            <w:hideMark/>
          </w:tcPr>
          <w:p w14:paraId="4B71096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720,00 </w:t>
            </w:r>
          </w:p>
        </w:tc>
        <w:tc>
          <w:tcPr>
            <w:tcW w:w="1111" w:type="dxa"/>
            <w:tcBorders>
              <w:top w:val="nil"/>
              <w:left w:val="nil"/>
              <w:bottom w:val="single" w:sz="4" w:space="0" w:color="auto"/>
              <w:right w:val="single" w:sz="4" w:space="0" w:color="auto"/>
            </w:tcBorders>
            <w:shd w:val="clear" w:color="auto" w:fill="auto"/>
            <w:noWrap/>
            <w:vAlign w:val="bottom"/>
            <w:hideMark/>
          </w:tcPr>
          <w:p w14:paraId="4A83067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843,00 </w:t>
            </w:r>
          </w:p>
        </w:tc>
        <w:tc>
          <w:tcPr>
            <w:tcW w:w="1233" w:type="dxa"/>
            <w:tcBorders>
              <w:top w:val="nil"/>
              <w:left w:val="nil"/>
              <w:bottom w:val="single" w:sz="4" w:space="0" w:color="auto"/>
              <w:right w:val="single" w:sz="4" w:space="0" w:color="auto"/>
            </w:tcBorders>
            <w:shd w:val="clear" w:color="auto" w:fill="auto"/>
            <w:noWrap/>
            <w:vAlign w:val="bottom"/>
            <w:hideMark/>
          </w:tcPr>
          <w:p w14:paraId="1F9AFC3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784,00 </w:t>
            </w:r>
          </w:p>
        </w:tc>
        <w:tc>
          <w:tcPr>
            <w:tcW w:w="1185" w:type="dxa"/>
            <w:tcBorders>
              <w:top w:val="nil"/>
              <w:left w:val="nil"/>
              <w:bottom w:val="single" w:sz="4" w:space="0" w:color="auto"/>
              <w:right w:val="single" w:sz="4" w:space="0" w:color="auto"/>
            </w:tcBorders>
            <w:shd w:val="clear" w:color="auto" w:fill="auto"/>
            <w:noWrap/>
            <w:vAlign w:val="bottom"/>
            <w:hideMark/>
          </w:tcPr>
          <w:p w14:paraId="17CA715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240,00 </w:t>
            </w:r>
          </w:p>
        </w:tc>
        <w:tc>
          <w:tcPr>
            <w:tcW w:w="1058" w:type="dxa"/>
            <w:tcBorders>
              <w:top w:val="nil"/>
              <w:left w:val="nil"/>
              <w:bottom w:val="single" w:sz="4" w:space="0" w:color="auto"/>
              <w:right w:val="single" w:sz="4" w:space="0" w:color="auto"/>
            </w:tcBorders>
            <w:shd w:val="clear" w:color="auto" w:fill="auto"/>
            <w:noWrap/>
            <w:vAlign w:val="bottom"/>
            <w:hideMark/>
          </w:tcPr>
          <w:p w14:paraId="4C6A182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333,59 </w:t>
            </w:r>
          </w:p>
        </w:tc>
        <w:tc>
          <w:tcPr>
            <w:tcW w:w="940" w:type="dxa"/>
            <w:tcBorders>
              <w:top w:val="nil"/>
              <w:left w:val="nil"/>
              <w:bottom w:val="single" w:sz="4" w:space="0" w:color="auto"/>
              <w:right w:val="single" w:sz="4" w:space="0" w:color="auto"/>
            </w:tcBorders>
            <w:shd w:val="clear" w:color="auto" w:fill="auto"/>
            <w:noWrap/>
            <w:vAlign w:val="bottom"/>
            <w:hideMark/>
          </w:tcPr>
          <w:p w14:paraId="1D2C6C7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552,20 </w:t>
            </w:r>
          </w:p>
        </w:tc>
        <w:tc>
          <w:tcPr>
            <w:tcW w:w="1294" w:type="dxa"/>
            <w:tcBorders>
              <w:top w:val="nil"/>
              <w:left w:val="nil"/>
              <w:bottom w:val="single" w:sz="4" w:space="0" w:color="auto"/>
              <w:right w:val="single" w:sz="4" w:space="0" w:color="auto"/>
            </w:tcBorders>
            <w:shd w:val="clear" w:color="auto" w:fill="auto"/>
            <w:noWrap/>
            <w:vAlign w:val="bottom"/>
            <w:hideMark/>
          </w:tcPr>
          <w:p w14:paraId="4C49560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6.626,40 </w:t>
            </w:r>
          </w:p>
        </w:tc>
      </w:tr>
      <w:tr w:rsidR="00B307DB" w:rsidRPr="00977C8B" w14:paraId="4232B570"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1C3AF7A"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1.1.4</w:t>
            </w:r>
          </w:p>
        </w:tc>
        <w:tc>
          <w:tcPr>
            <w:tcW w:w="1809" w:type="dxa"/>
            <w:tcBorders>
              <w:top w:val="nil"/>
              <w:left w:val="nil"/>
              <w:bottom w:val="single" w:sz="4" w:space="0" w:color="auto"/>
              <w:right w:val="single" w:sz="4" w:space="0" w:color="auto"/>
            </w:tcBorders>
            <w:shd w:val="clear" w:color="auto" w:fill="auto"/>
            <w:vAlign w:val="center"/>
            <w:hideMark/>
          </w:tcPr>
          <w:p w14:paraId="0B2FBFA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Compras e licitações</w:t>
            </w:r>
          </w:p>
        </w:tc>
        <w:tc>
          <w:tcPr>
            <w:tcW w:w="529" w:type="dxa"/>
            <w:tcBorders>
              <w:top w:val="nil"/>
              <w:left w:val="nil"/>
              <w:bottom w:val="single" w:sz="4" w:space="0" w:color="auto"/>
              <w:right w:val="single" w:sz="4" w:space="0" w:color="auto"/>
            </w:tcBorders>
            <w:shd w:val="clear" w:color="auto" w:fill="auto"/>
            <w:vAlign w:val="center"/>
            <w:hideMark/>
          </w:tcPr>
          <w:p w14:paraId="41D82576"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1C21F7C3"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E2AA9C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507,36 </w:t>
            </w:r>
          </w:p>
        </w:tc>
        <w:tc>
          <w:tcPr>
            <w:tcW w:w="1563" w:type="dxa"/>
            <w:tcBorders>
              <w:top w:val="nil"/>
              <w:left w:val="nil"/>
              <w:bottom w:val="single" w:sz="4" w:space="0" w:color="auto"/>
              <w:right w:val="single" w:sz="4" w:space="0" w:color="auto"/>
            </w:tcBorders>
            <w:shd w:val="clear" w:color="auto" w:fill="auto"/>
            <w:noWrap/>
            <w:vAlign w:val="bottom"/>
            <w:hideMark/>
          </w:tcPr>
          <w:p w14:paraId="25C07BD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1.460,00 </w:t>
            </w:r>
          </w:p>
        </w:tc>
        <w:tc>
          <w:tcPr>
            <w:tcW w:w="1111" w:type="dxa"/>
            <w:tcBorders>
              <w:top w:val="nil"/>
              <w:left w:val="nil"/>
              <w:bottom w:val="single" w:sz="4" w:space="0" w:color="auto"/>
              <w:right w:val="single" w:sz="4" w:space="0" w:color="auto"/>
            </w:tcBorders>
            <w:shd w:val="clear" w:color="auto" w:fill="auto"/>
            <w:noWrap/>
            <w:vAlign w:val="bottom"/>
            <w:hideMark/>
          </w:tcPr>
          <w:p w14:paraId="645B5ED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1.171,00 </w:t>
            </w:r>
          </w:p>
        </w:tc>
        <w:tc>
          <w:tcPr>
            <w:tcW w:w="1233" w:type="dxa"/>
            <w:tcBorders>
              <w:top w:val="nil"/>
              <w:left w:val="nil"/>
              <w:bottom w:val="single" w:sz="4" w:space="0" w:color="auto"/>
              <w:right w:val="single" w:sz="4" w:space="0" w:color="auto"/>
            </w:tcBorders>
            <w:shd w:val="clear" w:color="auto" w:fill="auto"/>
            <w:noWrap/>
            <w:vAlign w:val="bottom"/>
            <w:hideMark/>
          </w:tcPr>
          <w:p w14:paraId="20531EE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1.445,00 </w:t>
            </w:r>
          </w:p>
        </w:tc>
        <w:tc>
          <w:tcPr>
            <w:tcW w:w="1185" w:type="dxa"/>
            <w:tcBorders>
              <w:top w:val="nil"/>
              <w:left w:val="nil"/>
              <w:bottom w:val="single" w:sz="4" w:space="0" w:color="auto"/>
              <w:right w:val="single" w:sz="4" w:space="0" w:color="auto"/>
            </w:tcBorders>
            <w:shd w:val="clear" w:color="auto" w:fill="auto"/>
            <w:noWrap/>
            <w:vAlign w:val="bottom"/>
            <w:hideMark/>
          </w:tcPr>
          <w:p w14:paraId="2FD4420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510,72 </w:t>
            </w:r>
          </w:p>
        </w:tc>
        <w:tc>
          <w:tcPr>
            <w:tcW w:w="1058" w:type="dxa"/>
            <w:tcBorders>
              <w:top w:val="nil"/>
              <w:left w:val="nil"/>
              <w:bottom w:val="single" w:sz="4" w:space="0" w:color="auto"/>
              <w:right w:val="single" w:sz="4" w:space="0" w:color="auto"/>
            </w:tcBorders>
            <w:shd w:val="clear" w:color="auto" w:fill="auto"/>
            <w:noWrap/>
            <w:vAlign w:val="bottom"/>
            <w:hideMark/>
          </w:tcPr>
          <w:p w14:paraId="7CF4F6E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1.013,39 </w:t>
            </w:r>
          </w:p>
        </w:tc>
        <w:tc>
          <w:tcPr>
            <w:tcW w:w="940" w:type="dxa"/>
            <w:tcBorders>
              <w:top w:val="nil"/>
              <w:left w:val="nil"/>
              <w:bottom w:val="single" w:sz="4" w:space="0" w:color="auto"/>
              <w:right w:val="single" w:sz="4" w:space="0" w:color="auto"/>
            </w:tcBorders>
            <w:shd w:val="clear" w:color="auto" w:fill="auto"/>
            <w:noWrap/>
            <w:vAlign w:val="bottom"/>
            <w:hideMark/>
          </w:tcPr>
          <w:p w14:paraId="5CB0F44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1.017,91 </w:t>
            </w:r>
          </w:p>
        </w:tc>
        <w:tc>
          <w:tcPr>
            <w:tcW w:w="1294" w:type="dxa"/>
            <w:tcBorders>
              <w:top w:val="nil"/>
              <w:left w:val="nil"/>
              <w:bottom w:val="single" w:sz="4" w:space="0" w:color="auto"/>
              <w:right w:val="single" w:sz="4" w:space="0" w:color="auto"/>
            </w:tcBorders>
            <w:shd w:val="clear" w:color="auto" w:fill="auto"/>
            <w:noWrap/>
            <w:vAlign w:val="bottom"/>
            <w:hideMark/>
          </w:tcPr>
          <w:p w14:paraId="0B9730A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12.214,94 </w:t>
            </w:r>
          </w:p>
        </w:tc>
      </w:tr>
      <w:tr w:rsidR="00B307DB" w:rsidRPr="00977C8B" w14:paraId="15AE1979"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E674EB3"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1.1.5</w:t>
            </w:r>
          </w:p>
        </w:tc>
        <w:tc>
          <w:tcPr>
            <w:tcW w:w="1809" w:type="dxa"/>
            <w:tcBorders>
              <w:top w:val="nil"/>
              <w:left w:val="nil"/>
              <w:bottom w:val="single" w:sz="4" w:space="0" w:color="auto"/>
              <w:right w:val="single" w:sz="4" w:space="0" w:color="auto"/>
            </w:tcBorders>
            <w:shd w:val="clear" w:color="auto" w:fill="auto"/>
            <w:vAlign w:val="center"/>
            <w:hideMark/>
          </w:tcPr>
          <w:p w14:paraId="4C42E7A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Almoxarifado</w:t>
            </w:r>
          </w:p>
        </w:tc>
        <w:tc>
          <w:tcPr>
            <w:tcW w:w="529" w:type="dxa"/>
            <w:tcBorders>
              <w:top w:val="nil"/>
              <w:left w:val="nil"/>
              <w:bottom w:val="single" w:sz="4" w:space="0" w:color="auto"/>
              <w:right w:val="single" w:sz="4" w:space="0" w:color="auto"/>
            </w:tcBorders>
            <w:shd w:val="clear" w:color="auto" w:fill="auto"/>
            <w:vAlign w:val="center"/>
            <w:hideMark/>
          </w:tcPr>
          <w:p w14:paraId="3DBE5F44"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4B598CDE"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457E005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346,49 </w:t>
            </w:r>
          </w:p>
        </w:tc>
        <w:tc>
          <w:tcPr>
            <w:tcW w:w="1563" w:type="dxa"/>
            <w:tcBorders>
              <w:top w:val="nil"/>
              <w:left w:val="nil"/>
              <w:bottom w:val="single" w:sz="4" w:space="0" w:color="auto"/>
              <w:right w:val="single" w:sz="4" w:space="0" w:color="auto"/>
            </w:tcBorders>
            <w:shd w:val="clear" w:color="auto" w:fill="auto"/>
            <w:noWrap/>
            <w:vAlign w:val="bottom"/>
            <w:hideMark/>
          </w:tcPr>
          <w:p w14:paraId="0DDF94F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320,00 </w:t>
            </w:r>
          </w:p>
        </w:tc>
        <w:tc>
          <w:tcPr>
            <w:tcW w:w="1111" w:type="dxa"/>
            <w:tcBorders>
              <w:top w:val="nil"/>
              <w:left w:val="nil"/>
              <w:bottom w:val="single" w:sz="4" w:space="0" w:color="auto"/>
              <w:right w:val="single" w:sz="4" w:space="0" w:color="auto"/>
            </w:tcBorders>
            <w:shd w:val="clear" w:color="auto" w:fill="auto"/>
            <w:noWrap/>
            <w:vAlign w:val="bottom"/>
            <w:hideMark/>
          </w:tcPr>
          <w:p w14:paraId="5563C57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86,00 </w:t>
            </w:r>
          </w:p>
        </w:tc>
        <w:tc>
          <w:tcPr>
            <w:tcW w:w="1233" w:type="dxa"/>
            <w:tcBorders>
              <w:top w:val="nil"/>
              <w:left w:val="nil"/>
              <w:bottom w:val="single" w:sz="4" w:space="0" w:color="auto"/>
              <w:right w:val="single" w:sz="4" w:space="0" w:color="auto"/>
            </w:tcBorders>
            <w:shd w:val="clear" w:color="auto" w:fill="auto"/>
            <w:noWrap/>
            <w:vAlign w:val="bottom"/>
            <w:hideMark/>
          </w:tcPr>
          <w:p w14:paraId="6F9C37D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365,00 </w:t>
            </w:r>
          </w:p>
        </w:tc>
        <w:tc>
          <w:tcPr>
            <w:tcW w:w="1185" w:type="dxa"/>
            <w:tcBorders>
              <w:top w:val="nil"/>
              <w:left w:val="nil"/>
              <w:bottom w:val="single" w:sz="4" w:space="0" w:color="auto"/>
              <w:right w:val="single" w:sz="4" w:space="0" w:color="auto"/>
            </w:tcBorders>
            <w:shd w:val="clear" w:color="auto" w:fill="auto"/>
            <w:noWrap/>
            <w:vAlign w:val="bottom"/>
            <w:hideMark/>
          </w:tcPr>
          <w:p w14:paraId="5717B88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81,60 </w:t>
            </w:r>
          </w:p>
        </w:tc>
        <w:tc>
          <w:tcPr>
            <w:tcW w:w="1058" w:type="dxa"/>
            <w:tcBorders>
              <w:top w:val="nil"/>
              <w:left w:val="nil"/>
              <w:bottom w:val="single" w:sz="4" w:space="0" w:color="auto"/>
              <w:right w:val="single" w:sz="4" w:space="0" w:color="auto"/>
            </w:tcBorders>
            <w:shd w:val="clear" w:color="auto" w:fill="auto"/>
            <w:noWrap/>
            <w:vAlign w:val="bottom"/>
            <w:hideMark/>
          </w:tcPr>
          <w:p w14:paraId="440F098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FEC7A6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239,82 </w:t>
            </w:r>
          </w:p>
        </w:tc>
        <w:tc>
          <w:tcPr>
            <w:tcW w:w="1294" w:type="dxa"/>
            <w:tcBorders>
              <w:top w:val="nil"/>
              <w:left w:val="nil"/>
              <w:bottom w:val="single" w:sz="4" w:space="0" w:color="auto"/>
              <w:right w:val="single" w:sz="4" w:space="0" w:color="auto"/>
            </w:tcBorders>
            <w:shd w:val="clear" w:color="auto" w:fill="auto"/>
            <w:noWrap/>
            <w:vAlign w:val="bottom"/>
            <w:hideMark/>
          </w:tcPr>
          <w:p w14:paraId="7E1F668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2.877,82 </w:t>
            </w:r>
          </w:p>
        </w:tc>
      </w:tr>
      <w:tr w:rsidR="00B307DB" w:rsidRPr="00977C8B" w14:paraId="1F0CD918"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3140050"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1.1.6</w:t>
            </w:r>
          </w:p>
        </w:tc>
        <w:tc>
          <w:tcPr>
            <w:tcW w:w="1809" w:type="dxa"/>
            <w:tcBorders>
              <w:top w:val="nil"/>
              <w:left w:val="nil"/>
              <w:bottom w:val="single" w:sz="4" w:space="0" w:color="auto"/>
              <w:right w:val="single" w:sz="4" w:space="0" w:color="auto"/>
            </w:tcBorders>
            <w:shd w:val="clear" w:color="auto" w:fill="auto"/>
            <w:vAlign w:val="center"/>
            <w:hideMark/>
          </w:tcPr>
          <w:p w14:paraId="415CD03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Patrimônio</w:t>
            </w:r>
          </w:p>
        </w:tc>
        <w:tc>
          <w:tcPr>
            <w:tcW w:w="529" w:type="dxa"/>
            <w:tcBorders>
              <w:top w:val="nil"/>
              <w:left w:val="nil"/>
              <w:bottom w:val="single" w:sz="4" w:space="0" w:color="auto"/>
              <w:right w:val="single" w:sz="4" w:space="0" w:color="auto"/>
            </w:tcBorders>
            <w:shd w:val="clear" w:color="auto" w:fill="auto"/>
            <w:vAlign w:val="center"/>
            <w:hideMark/>
          </w:tcPr>
          <w:p w14:paraId="20AD591A"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354002FA"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3BF041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366,74 </w:t>
            </w:r>
          </w:p>
        </w:tc>
        <w:tc>
          <w:tcPr>
            <w:tcW w:w="1563" w:type="dxa"/>
            <w:tcBorders>
              <w:top w:val="nil"/>
              <w:left w:val="nil"/>
              <w:bottom w:val="single" w:sz="4" w:space="0" w:color="auto"/>
              <w:right w:val="single" w:sz="4" w:space="0" w:color="auto"/>
            </w:tcBorders>
            <w:shd w:val="clear" w:color="auto" w:fill="auto"/>
            <w:noWrap/>
            <w:vAlign w:val="bottom"/>
            <w:hideMark/>
          </w:tcPr>
          <w:p w14:paraId="020BD27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320,00 </w:t>
            </w:r>
          </w:p>
        </w:tc>
        <w:tc>
          <w:tcPr>
            <w:tcW w:w="1111" w:type="dxa"/>
            <w:tcBorders>
              <w:top w:val="nil"/>
              <w:left w:val="nil"/>
              <w:bottom w:val="single" w:sz="4" w:space="0" w:color="auto"/>
              <w:right w:val="single" w:sz="4" w:space="0" w:color="auto"/>
            </w:tcBorders>
            <w:shd w:val="clear" w:color="auto" w:fill="auto"/>
            <w:noWrap/>
            <w:vAlign w:val="bottom"/>
            <w:hideMark/>
          </w:tcPr>
          <w:p w14:paraId="1A954A5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580,00 </w:t>
            </w:r>
          </w:p>
        </w:tc>
        <w:tc>
          <w:tcPr>
            <w:tcW w:w="1233" w:type="dxa"/>
            <w:tcBorders>
              <w:top w:val="nil"/>
              <w:left w:val="nil"/>
              <w:bottom w:val="single" w:sz="4" w:space="0" w:color="auto"/>
              <w:right w:val="single" w:sz="4" w:space="0" w:color="auto"/>
            </w:tcBorders>
            <w:shd w:val="clear" w:color="auto" w:fill="auto"/>
            <w:noWrap/>
            <w:vAlign w:val="bottom"/>
            <w:hideMark/>
          </w:tcPr>
          <w:p w14:paraId="6C51A6C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460,00 </w:t>
            </w:r>
          </w:p>
        </w:tc>
        <w:tc>
          <w:tcPr>
            <w:tcW w:w="1185" w:type="dxa"/>
            <w:tcBorders>
              <w:top w:val="nil"/>
              <w:left w:val="nil"/>
              <w:bottom w:val="single" w:sz="4" w:space="0" w:color="auto"/>
              <w:right w:val="single" w:sz="4" w:space="0" w:color="auto"/>
            </w:tcBorders>
            <w:shd w:val="clear" w:color="auto" w:fill="auto"/>
            <w:noWrap/>
            <w:vAlign w:val="bottom"/>
            <w:hideMark/>
          </w:tcPr>
          <w:p w14:paraId="1378E3F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482,88 </w:t>
            </w:r>
          </w:p>
        </w:tc>
        <w:tc>
          <w:tcPr>
            <w:tcW w:w="1058" w:type="dxa"/>
            <w:tcBorders>
              <w:top w:val="nil"/>
              <w:left w:val="nil"/>
              <w:bottom w:val="single" w:sz="4" w:space="0" w:color="auto"/>
              <w:right w:val="single" w:sz="4" w:space="0" w:color="auto"/>
            </w:tcBorders>
            <w:shd w:val="clear" w:color="auto" w:fill="auto"/>
            <w:noWrap/>
            <w:vAlign w:val="bottom"/>
            <w:hideMark/>
          </w:tcPr>
          <w:p w14:paraId="1FCF086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417,09 </w:t>
            </w:r>
          </w:p>
        </w:tc>
        <w:tc>
          <w:tcPr>
            <w:tcW w:w="940" w:type="dxa"/>
            <w:tcBorders>
              <w:top w:val="nil"/>
              <w:left w:val="nil"/>
              <w:bottom w:val="single" w:sz="4" w:space="0" w:color="auto"/>
              <w:right w:val="single" w:sz="4" w:space="0" w:color="auto"/>
            </w:tcBorders>
            <w:shd w:val="clear" w:color="auto" w:fill="auto"/>
            <w:noWrap/>
            <w:vAlign w:val="bottom"/>
            <w:hideMark/>
          </w:tcPr>
          <w:p w14:paraId="6482005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437,79 </w:t>
            </w:r>
          </w:p>
        </w:tc>
        <w:tc>
          <w:tcPr>
            <w:tcW w:w="1294" w:type="dxa"/>
            <w:tcBorders>
              <w:top w:val="nil"/>
              <w:left w:val="nil"/>
              <w:bottom w:val="single" w:sz="4" w:space="0" w:color="auto"/>
              <w:right w:val="single" w:sz="4" w:space="0" w:color="auto"/>
            </w:tcBorders>
            <w:shd w:val="clear" w:color="auto" w:fill="auto"/>
            <w:noWrap/>
            <w:vAlign w:val="bottom"/>
            <w:hideMark/>
          </w:tcPr>
          <w:p w14:paraId="6A53771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5.253,42 </w:t>
            </w:r>
          </w:p>
        </w:tc>
      </w:tr>
      <w:tr w:rsidR="00B307DB" w:rsidRPr="00977C8B" w14:paraId="305F5E6C"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AF12D7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1.1.7</w:t>
            </w:r>
          </w:p>
        </w:tc>
        <w:tc>
          <w:tcPr>
            <w:tcW w:w="1809" w:type="dxa"/>
            <w:tcBorders>
              <w:top w:val="nil"/>
              <w:left w:val="nil"/>
              <w:bottom w:val="single" w:sz="4" w:space="0" w:color="auto"/>
              <w:right w:val="single" w:sz="4" w:space="0" w:color="auto"/>
            </w:tcBorders>
            <w:shd w:val="clear" w:color="auto" w:fill="auto"/>
            <w:vAlign w:val="center"/>
            <w:hideMark/>
          </w:tcPr>
          <w:p w14:paraId="216AB7A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Frota</w:t>
            </w:r>
          </w:p>
        </w:tc>
        <w:tc>
          <w:tcPr>
            <w:tcW w:w="529" w:type="dxa"/>
            <w:tcBorders>
              <w:top w:val="nil"/>
              <w:left w:val="nil"/>
              <w:bottom w:val="single" w:sz="4" w:space="0" w:color="auto"/>
              <w:right w:val="single" w:sz="4" w:space="0" w:color="auto"/>
            </w:tcBorders>
            <w:shd w:val="clear" w:color="auto" w:fill="auto"/>
            <w:vAlign w:val="center"/>
            <w:hideMark/>
          </w:tcPr>
          <w:p w14:paraId="16135D34"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7FEB52D4"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01D57F0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340,46 </w:t>
            </w:r>
          </w:p>
        </w:tc>
        <w:tc>
          <w:tcPr>
            <w:tcW w:w="1563" w:type="dxa"/>
            <w:tcBorders>
              <w:top w:val="nil"/>
              <w:left w:val="nil"/>
              <w:bottom w:val="single" w:sz="4" w:space="0" w:color="auto"/>
              <w:right w:val="single" w:sz="4" w:space="0" w:color="auto"/>
            </w:tcBorders>
            <w:shd w:val="clear" w:color="auto" w:fill="auto"/>
            <w:noWrap/>
            <w:vAlign w:val="bottom"/>
            <w:hideMark/>
          </w:tcPr>
          <w:p w14:paraId="7677450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589FDF5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680,00 </w:t>
            </w:r>
          </w:p>
        </w:tc>
        <w:tc>
          <w:tcPr>
            <w:tcW w:w="1233" w:type="dxa"/>
            <w:tcBorders>
              <w:top w:val="nil"/>
              <w:left w:val="nil"/>
              <w:bottom w:val="single" w:sz="4" w:space="0" w:color="auto"/>
              <w:right w:val="single" w:sz="4" w:space="0" w:color="auto"/>
            </w:tcBorders>
            <w:shd w:val="clear" w:color="auto" w:fill="auto"/>
            <w:noWrap/>
            <w:vAlign w:val="bottom"/>
            <w:hideMark/>
          </w:tcPr>
          <w:p w14:paraId="08479CD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E59B41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232,32 </w:t>
            </w:r>
          </w:p>
        </w:tc>
        <w:tc>
          <w:tcPr>
            <w:tcW w:w="1058" w:type="dxa"/>
            <w:tcBorders>
              <w:top w:val="nil"/>
              <w:left w:val="nil"/>
              <w:bottom w:val="single" w:sz="4" w:space="0" w:color="auto"/>
              <w:right w:val="single" w:sz="4" w:space="0" w:color="auto"/>
            </w:tcBorders>
            <w:shd w:val="clear" w:color="auto" w:fill="auto"/>
            <w:noWrap/>
            <w:vAlign w:val="bottom"/>
            <w:hideMark/>
          </w:tcPr>
          <w:p w14:paraId="125E75C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434,14 </w:t>
            </w:r>
          </w:p>
        </w:tc>
        <w:tc>
          <w:tcPr>
            <w:tcW w:w="940" w:type="dxa"/>
            <w:tcBorders>
              <w:top w:val="nil"/>
              <w:left w:val="nil"/>
              <w:bottom w:val="single" w:sz="4" w:space="0" w:color="auto"/>
              <w:right w:val="single" w:sz="4" w:space="0" w:color="auto"/>
            </w:tcBorders>
            <w:shd w:val="clear" w:color="auto" w:fill="auto"/>
            <w:noWrap/>
            <w:vAlign w:val="bottom"/>
            <w:hideMark/>
          </w:tcPr>
          <w:p w14:paraId="4CD824B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421,73 </w:t>
            </w:r>
          </w:p>
        </w:tc>
        <w:tc>
          <w:tcPr>
            <w:tcW w:w="1294" w:type="dxa"/>
            <w:tcBorders>
              <w:top w:val="nil"/>
              <w:left w:val="nil"/>
              <w:bottom w:val="single" w:sz="4" w:space="0" w:color="auto"/>
              <w:right w:val="single" w:sz="4" w:space="0" w:color="auto"/>
            </w:tcBorders>
            <w:shd w:val="clear" w:color="auto" w:fill="auto"/>
            <w:noWrap/>
            <w:vAlign w:val="bottom"/>
            <w:hideMark/>
          </w:tcPr>
          <w:p w14:paraId="1B052B6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5.060,76 </w:t>
            </w:r>
          </w:p>
        </w:tc>
      </w:tr>
      <w:tr w:rsidR="00B307DB" w:rsidRPr="00977C8B" w14:paraId="5D0C5448"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5B611B3"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1.1.8</w:t>
            </w:r>
          </w:p>
        </w:tc>
        <w:tc>
          <w:tcPr>
            <w:tcW w:w="1809" w:type="dxa"/>
            <w:tcBorders>
              <w:top w:val="nil"/>
              <w:left w:val="nil"/>
              <w:bottom w:val="single" w:sz="4" w:space="0" w:color="auto"/>
              <w:right w:val="single" w:sz="4" w:space="0" w:color="auto"/>
            </w:tcBorders>
            <w:shd w:val="clear" w:color="auto" w:fill="auto"/>
            <w:vAlign w:val="center"/>
            <w:hideMark/>
          </w:tcPr>
          <w:p w14:paraId="44D1F04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Folha de Pagamento</w:t>
            </w:r>
          </w:p>
        </w:tc>
        <w:tc>
          <w:tcPr>
            <w:tcW w:w="529" w:type="dxa"/>
            <w:tcBorders>
              <w:top w:val="nil"/>
              <w:left w:val="nil"/>
              <w:bottom w:val="single" w:sz="4" w:space="0" w:color="auto"/>
              <w:right w:val="single" w:sz="4" w:space="0" w:color="auto"/>
            </w:tcBorders>
            <w:shd w:val="clear" w:color="auto" w:fill="auto"/>
            <w:vAlign w:val="center"/>
            <w:hideMark/>
          </w:tcPr>
          <w:p w14:paraId="44FB64A7"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7B512F7C"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497998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1.437,71 </w:t>
            </w:r>
          </w:p>
        </w:tc>
        <w:tc>
          <w:tcPr>
            <w:tcW w:w="1563" w:type="dxa"/>
            <w:tcBorders>
              <w:top w:val="nil"/>
              <w:left w:val="nil"/>
              <w:bottom w:val="single" w:sz="4" w:space="0" w:color="auto"/>
              <w:right w:val="single" w:sz="4" w:space="0" w:color="auto"/>
            </w:tcBorders>
            <w:shd w:val="clear" w:color="auto" w:fill="auto"/>
            <w:noWrap/>
            <w:vAlign w:val="bottom"/>
            <w:hideMark/>
          </w:tcPr>
          <w:p w14:paraId="76EB0A5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2.100,00 </w:t>
            </w:r>
          </w:p>
        </w:tc>
        <w:tc>
          <w:tcPr>
            <w:tcW w:w="1111" w:type="dxa"/>
            <w:tcBorders>
              <w:top w:val="nil"/>
              <w:left w:val="nil"/>
              <w:bottom w:val="single" w:sz="4" w:space="0" w:color="auto"/>
              <w:right w:val="single" w:sz="4" w:space="0" w:color="auto"/>
            </w:tcBorders>
            <w:shd w:val="clear" w:color="auto" w:fill="auto"/>
            <w:noWrap/>
            <w:vAlign w:val="bottom"/>
            <w:hideMark/>
          </w:tcPr>
          <w:p w14:paraId="31F8B48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1.757,00 </w:t>
            </w:r>
          </w:p>
        </w:tc>
        <w:tc>
          <w:tcPr>
            <w:tcW w:w="1233" w:type="dxa"/>
            <w:tcBorders>
              <w:top w:val="nil"/>
              <w:left w:val="nil"/>
              <w:bottom w:val="single" w:sz="4" w:space="0" w:color="auto"/>
              <w:right w:val="single" w:sz="4" w:space="0" w:color="auto"/>
            </w:tcBorders>
            <w:shd w:val="clear" w:color="auto" w:fill="auto"/>
            <w:noWrap/>
            <w:vAlign w:val="bottom"/>
            <w:hideMark/>
          </w:tcPr>
          <w:p w14:paraId="2D3166F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1.900,00 </w:t>
            </w:r>
          </w:p>
        </w:tc>
        <w:tc>
          <w:tcPr>
            <w:tcW w:w="1185" w:type="dxa"/>
            <w:tcBorders>
              <w:top w:val="nil"/>
              <w:left w:val="nil"/>
              <w:bottom w:val="single" w:sz="4" w:space="0" w:color="auto"/>
              <w:right w:val="single" w:sz="4" w:space="0" w:color="auto"/>
            </w:tcBorders>
            <w:shd w:val="clear" w:color="auto" w:fill="auto"/>
            <w:noWrap/>
            <w:vAlign w:val="bottom"/>
            <w:hideMark/>
          </w:tcPr>
          <w:p w14:paraId="5B47209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1.041,60 </w:t>
            </w:r>
          </w:p>
        </w:tc>
        <w:tc>
          <w:tcPr>
            <w:tcW w:w="1058" w:type="dxa"/>
            <w:tcBorders>
              <w:top w:val="nil"/>
              <w:left w:val="nil"/>
              <w:bottom w:val="single" w:sz="4" w:space="0" w:color="auto"/>
              <w:right w:val="single" w:sz="4" w:space="0" w:color="auto"/>
            </w:tcBorders>
            <w:shd w:val="clear" w:color="auto" w:fill="auto"/>
            <w:noWrap/>
            <w:vAlign w:val="bottom"/>
            <w:hideMark/>
          </w:tcPr>
          <w:p w14:paraId="52BA100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1.792,31 </w:t>
            </w:r>
          </w:p>
        </w:tc>
        <w:tc>
          <w:tcPr>
            <w:tcW w:w="940" w:type="dxa"/>
            <w:tcBorders>
              <w:top w:val="nil"/>
              <w:left w:val="nil"/>
              <w:bottom w:val="single" w:sz="4" w:space="0" w:color="auto"/>
              <w:right w:val="single" w:sz="4" w:space="0" w:color="auto"/>
            </w:tcBorders>
            <w:shd w:val="clear" w:color="auto" w:fill="auto"/>
            <w:noWrap/>
            <w:vAlign w:val="bottom"/>
            <w:hideMark/>
          </w:tcPr>
          <w:p w14:paraId="4706C2B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1.671,44 </w:t>
            </w:r>
          </w:p>
        </w:tc>
        <w:tc>
          <w:tcPr>
            <w:tcW w:w="1294" w:type="dxa"/>
            <w:tcBorders>
              <w:top w:val="nil"/>
              <w:left w:val="nil"/>
              <w:bottom w:val="single" w:sz="4" w:space="0" w:color="auto"/>
              <w:right w:val="single" w:sz="4" w:space="0" w:color="auto"/>
            </w:tcBorders>
            <w:shd w:val="clear" w:color="auto" w:fill="auto"/>
            <w:noWrap/>
            <w:vAlign w:val="bottom"/>
            <w:hideMark/>
          </w:tcPr>
          <w:p w14:paraId="6968302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20.057,24 </w:t>
            </w:r>
          </w:p>
        </w:tc>
      </w:tr>
      <w:tr w:rsidR="00B307DB" w:rsidRPr="00977C8B" w14:paraId="3745FEAE"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D0A419F"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1.1.9</w:t>
            </w:r>
          </w:p>
        </w:tc>
        <w:tc>
          <w:tcPr>
            <w:tcW w:w="1809" w:type="dxa"/>
            <w:tcBorders>
              <w:top w:val="nil"/>
              <w:left w:val="nil"/>
              <w:bottom w:val="single" w:sz="4" w:space="0" w:color="auto"/>
              <w:right w:val="single" w:sz="4" w:space="0" w:color="auto"/>
            </w:tcBorders>
            <w:shd w:val="clear" w:color="auto" w:fill="auto"/>
            <w:vAlign w:val="center"/>
            <w:hideMark/>
          </w:tcPr>
          <w:p w14:paraId="4D84471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Avaliação de Desempenho</w:t>
            </w:r>
          </w:p>
        </w:tc>
        <w:tc>
          <w:tcPr>
            <w:tcW w:w="529" w:type="dxa"/>
            <w:tcBorders>
              <w:top w:val="nil"/>
              <w:left w:val="nil"/>
              <w:bottom w:val="single" w:sz="4" w:space="0" w:color="auto"/>
              <w:right w:val="single" w:sz="4" w:space="0" w:color="auto"/>
            </w:tcBorders>
            <w:shd w:val="clear" w:color="auto" w:fill="auto"/>
            <w:vAlign w:val="center"/>
            <w:hideMark/>
          </w:tcPr>
          <w:p w14:paraId="66A7ADB2"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49BF60ED"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4DF6471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300,37 </w:t>
            </w:r>
          </w:p>
        </w:tc>
        <w:tc>
          <w:tcPr>
            <w:tcW w:w="1563" w:type="dxa"/>
            <w:tcBorders>
              <w:top w:val="nil"/>
              <w:left w:val="nil"/>
              <w:bottom w:val="single" w:sz="4" w:space="0" w:color="auto"/>
              <w:right w:val="single" w:sz="4" w:space="0" w:color="auto"/>
            </w:tcBorders>
            <w:shd w:val="clear" w:color="auto" w:fill="auto"/>
            <w:noWrap/>
            <w:vAlign w:val="bottom"/>
            <w:hideMark/>
          </w:tcPr>
          <w:p w14:paraId="7C11A21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B83D4F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162,00 </w:t>
            </w:r>
          </w:p>
        </w:tc>
        <w:tc>
          <w:tcPr>
            <w:tcW w:w="1233" w:type="dxa"/>
            <w:tcBorders>
              <w:top w:val="nil"/>
              <w:left w:val="nil"/>
              <w:bottom w:val="single" w:sz="4" w:space="0" w:color="auto"/>
              <w:right w:val="single" w:sz="4" w:space="0" w:color="auto"/>
            </w:tcBorders>
            <w:shd w:val="clear" w:color="auto" w:fill="auto"/>
            <w:noWrap/>
            <w:vAlign w:val="bottom"/>
            <w:hideMark/>
          </w:tcPr>
          <w:p w14:paraId="1B8E2A1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7F1F28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7F1D8A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607,67 </w:t>
            </w:r>
          </w:p>
        </w:tc>
        <w:tc>
          <w:tcPr>
            <w:tcW w:w="940" w:type="dxa"/>
            <w:tcBorders>
              <w:top w:val="nil"/>
              <w:left w:val="nil"/>
              <w:bottom w:val="single" w:sz="4" w:space="0" w:color="auto"/>
              <w:right w:val="single" w:sz="4" w:space="0" w:color="auto"/>
            </w:tcBorders>
            <w:shd w:val="clear" w:color="auto" w:fill="auto"/>
            <w:noWrap/>
            <w:vAlign w:val="bottom"/>
            <w:hideMark/>
          </w:tcPr>
          <w:p w14:paraId="7411F7B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356,68 </w:t>
            </w:r>
          </w:p>
        </w:tc>
        <w:tc>
          <w:tcPr>
            <w:tcW w:w="1294" w:type="dxa"/>
            <w:tcBorders>
              <w:top w:val="nil"/>
              <w:left w:val="nil"/>
              <w:bottom w:val="single" w:sz="4" w:space="0" w:color="auto"/>
              <w:right w:val="single" w:sz="4" w:space="0" w:color="auto"/>
            </w:tcBorders>
            <w:shd w:val="clear" w:color="auto" w:fill="auto"/>
            <w:noWrap/>
            <w:vAlign w:val="bottom"/>
            <w:hideMark/>
          </w:tcPr>
          <w:p w14:paraId="7059921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4.280,16 </w:t>
            </w:r>
          </w:p>
        </w:tc>
      </w:tr>
      <w:tr w:rsidR="00B307DB" w:rsidRPr="00977C8B" w14:paraId="144E7B43"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34824F7"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1.1.10</w:t>
            </w:r>
          </w:p>
        </w:tc>
        <w:tc>
          <w:tcPr>
            <w:tcW w:w="1809" w:type="dxa"/>
            <w:tcBorders>
              <w:top w:val="nil"/>
              <w:left w:val="nil"/>
              <w:bottom w:val="single" w:sz="4" w:space="0" w:color="auto"/>
              <w:right w:val="single" w:sz="4" w:space="0" w:color="auto"/>
            </w:tcBorders>
            <w:shd w:val="clear" w:color="auto" w:fill="auto"/>
            <w:vAlign w:val="center"/>
            <w:hideMark/>
          </w:tcPr>
          <w:p w14:paraId="51BEE3B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Segurança e Medicina do Trabalho</w:t>
            </w:r>
          </w:p>
        </w:tc>
        <w:tc>
          <w:tcPr>
            <w:tcW w:w="529" w:type="dxa"/>
            <w:tcBorders>
              <w:top w:val="nil"/>
              <w:left w:val="nil"/>
              <w:bottom w:val="single" w:sz="4" w:space="0" w:color="auto"/>
              <w:right w:val="single" w:sz="4" w:space="0" w:color="auto"/>
            </w:tcBorders>
            <w:shd w:val="clear" w:color="auto" w:fill="auto"/>
            <w:vAlign w:val="center"/>
            <w:hideMark/>
          </w:tcPr>
          <w:p w14:paraId="233277A3"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2247CB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2CD20DF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375,74 </w:t>
            </w:r>
          </w:p>
        </w:tc>
        <w:tc>
          <w:tcPr>
            <w:tcW w:w="1563" w:type="dxa"/>
            <w:tcBorders>
              <w:top w:val="nil"/>
              <w:left w:val="nil"/>
              <w:bottom w:val="single" w:sz="4" w:space="0" w:color="auto"/>
              <w:right w:val="single" w:sz="4" w:space="0" w:color="auto"/>
            </w:tcBorders>
            <w:shd w:val="clear" w:color="auto" w:fill="auto"/>
            <w:noWrap/>
            <w:vAlign w:val="bottom"/>
            <w:hideMark/>
          </w:tcPr>
          <w:p w14:paraId="116DA1A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5DE777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404,00 </w:t>
            </w:r>
          </w:p>
        </w:tc>
        <w:tc>
          <w:tcPr>
            <w:tcW w:w="1233" w:type="dxa"/>
            <w:tcBorders>
              <w:top w:val="nil"/>
              <w:left w:val="nil"/>
              <w:bottom w:val="single" w:sz="4" w:space="0" w:color="auto"/>
              <w:right w:val="single" w:sz="4" w:space="0" w:color="auto"/>
            </w:tcBorders>
            <w:shd w:val="clear" w:color="auto" w:fill="auto"/>
            <w:noWrap/>
            <w:vAlign w:val="bottom"/>
            <w:hideMark/>
          </w:tcPr>
          <w:p w14:paraId="329A62E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7D2159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132,48 </w:t>
            </w:r>
          </w:p>
        </w:tc>
        <w:tc>
          <w:tcPr>
            <w:tcW w:w="1058" w:type="dxa"/>
            <w:tcBorders>
              <w:top w:val="nil"/>
              <w:left w:val="nil"/>
              <w:bottom w:val="single" w:sz="4" w:space="0" w:color="auto"/>
              <w:right w:val="single" w:sz="4" w:space="0" w:color="auto"/>
            </w:tcBorders>
            <w:shd w:val="clear" w:color="auto" w:fill="auto"/>
            <w:noWrap/>
            <w:vAlign w:val="bottom"/>
            <w:hideMark/>
          </w:tcPr>
          <w:p w14:paraId="0193D0A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EB8350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304,07 </w:t>
            </w:r>
          </w:p>
        </w:tc>
        <w:tc>
          <w:tcPr>
            <w:tcW w:w="1294" w:type="dxa"/>
            <w:tcBorders>
              <w:top w:val="nil"/>
              <w:left w:val="nil"/>
              <w:bottom w:val="single" w:sz="4" w:space="0" w:color="auto"/>
              <w:right w:val="single" w:sz="4" w:space="0" w:color="auto"/>
            </w:tcBorders>
            <w:shd w:val="clear" w:color="auto" w:fill="auto"/>
            <w:noWrap/>
            <w:vAlign w:val="bottom"/>
            <w:hideMark/>
          </w:tcPr>
          <w:p w14:paraId="1BD6A39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3.648,88 </w:t>
            </w:r>
          </w:p>
        </w:tc>
      </w:tr>
      <w:tr w:rsidR="00B307DB" w:rsidRPr="00977C8B" w14:paraId="38D57645"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1DB794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1.1.11</w:t>
            </w:r>
          </w:p>
        </w:tc>
        <w:tc>
          <w:tcPr>
            <w:tcW w:w="1809" w:type="dxa"/>
            <w:tcBorders>
              <w:top w:val="nil"/>
              <w:left w:val="nil"/>
              <w:bottom w:val="single" w:sz="4" w:space="0" w:color="auto"/>
              <w:right w:val="single" w:sz="4" w:space="0" w:color="auto"/>
            </w:tcBorders>
            <w:shd w:val="clear" w:color="auto" w:fill="auto"/>
            <w:vAlign w:val="center"/>
            <w:hideMark/>
          </w:tcPr>
          <w:p w14:paraId="7BC8FA1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Ponto Eletrônico</w:t>
            </w:r>
          </w:p>
        </w:tc>
        <w:tc>
          <w:tcPr>
            <w:tcW w:w="529" w:type="dxa"/>
            <w:tcBorders>
              <w:top w:val="nil"/>
              <w:left w:val="nil"/>
              <w:bottom w:val="single" w:sz="4" w:space="0" w:color="auto"/>
              <w:right w:val="single" w:sz="4" w:space="0" w:color="auto"/>
            </w:tcBorders>
            <w:shd w:val="clear" w:color="auto" w:fill="auto"/>
            <w:vAlign w:val="center"/>
            <w:hideMark/>
          </w:tcPr>
          <w:p w14:paraId="682E28C4"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4DDECD7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77DBF3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669,36 </w:t>
            </w:r>
          </w:p>
        </w:tc>
        <w:tc>
          <w:tcPr>
            <w:tcW w:w="1563" w:type="dxa"/>
            <w:tcBorders>
              <w:top w:val="nil"/>
              <w:left w:val="nil"/>
              <w:bottom w:val="single" w:sz="4" w:space="0" w:color="auto"/>
              <w:right w:val="single" w:sz="4" w:space="0" w:color="auto"/>
            </w:tcBorders>
            <w:shd w:val="clear" w:color="auto" w:fill="auto"/>
            <w:noWrap/>
            <w:vAlign w:val="bottom"/>
            <w:hideMark/>
          </w:tcPr>
          <w:p w14:paraId="2E1CE75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295,00 </w:t>
            </w:r>
          </w:p>
        </w:tc>
        <w:tc>
          <w:tcPr>
            <w:tcW w:w="1111" w:type="dxa"/>
            <w:tcBorders>
              <w:top w:val="nil"/>
              <w:left w:val="nil"/>
              <w:bottom w:val="single" w:sz="4" w:space="0" w:color="auto"/>
              <w:right w:val="single" w:sz="4" w:space="0" w:color="auto"/>
            </w:tcBorders>
            <w:shd w:val="clear" w:color="auto" w:fill="auto"/>
            <w:noWrap/>
            <w:vAlign w:val="bottom"/>
            <w:hideMark/>
          </w:tcPr>
          <w:p w14:paraId="25E49A8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907,00 </w:t>
            </w:r>
          </w:p>
        </w:tc>
        <w:tc>
          <w:tcPr>
            <w:tcW w:w="1233" w:type="dxa"/>
            <w:tcBorders>
              <w:top w:val="nil"/>
              <w:left w:val="nil"/>
              <w:bottom w:val="single" w:sz="4" w:space="0" w:color="auto"/>
              <w:right w:val="single" w:sz="4" w:space="0" w:color="auto"/>
            </w:tcBorders>
            <w:shd w:val="clear" w:color="auto" w:fill="auto"/>
            <w:noWrap/>
            <w:vAlign w:val="bottom"/>
            <w:hideMark/>
          </w:tcPr>
          <w:p w14:paraId="4E09DCC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533,00 </w:t>
            </w:r>
          </w:p>
        </w:tc>
        <w:tc>
          <w:tcPr>
            <w:tcW w:w="1185" w:type="dxa"/>
            <w:tcBorders>
              <w:top w:val="nil"/>
              <w:left w:val="nil"/>
              <w:bottom w:val="single" w:sz="4" w:space="0" w:color="auto"/>
              <w:right w:val="single" w:sz="4" w:space="0" w:color="auto"/>
            </w:tcBorders>
            <w:shd w:val="clear" w:color="auto" w:fill="auto"/>
            <w:noWrap/>
            <w:vAlign w:val="bottom"/>
            <w:hideMark/>
          </w:tcPr>
          <w:p w14:paraId="6B688C8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532,80 </w:t>
            </w:r>
          </w:p>
        </w:tc>
        <w:tc>
          <w:tcPr>
            <w:tcW w:w="1058" w:type="dxa"/>
            <w:tcBorders>
              <w:top w:val="nil"/>
              <w:left w:val="nil"/>
              <w:bottom w:val="single" w:sz="4" w:space="0" w:color="auto"/>
              <w:right w:val="single" w:sz="4" w:space="0" w:color="auto"/>
            </w:tcBorders>
            <w:shd w:val="clear" w:color="auto" w:fill="auto"/>
            <w:noWrap/>
            <w:vAlign w:val="bottom"/>
            <w:hideMark/>
          </w:tcPr>
          <w:p w14:paraId="24E4BC2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761360E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587,43 </w:t>
            </w:r>
          </w:p>
        </w:tc>
        <w:tc>
          <w:tcPr>
            <w:tcW w:w="1294" w:type="dxa"/>
            <w:tcBorders>
              <w:top w:val="nil"/>
              <w:left w:val="nil"/>
              <w:bottom w:val="single" w:sz="4" w:space="0" w:color="auto"/>
              <w:right w:val="single" w:sz="4" w:space="0" w:color="auto"/>
            </w:tcBorders>
            <w:shd w:val="clear" w:color="auto" w:fill="auto"/>
            <w:noWrap/>
            <w:vAlign w:val="bottom"/>
            <w:hideMark/>
          </w:tcPr>
          <w:p w14:paraId="6079B9B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7.049,18 </w:t>
            </w:r>
          </w:p>
        </w:tc>
      </w:tr>
      <w:tr w:rsidR="00B307DB" w:rsidRPr="00977C8B" w14:paraId="572E83F0"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0270D08"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1.1.12</w:t>
            </w:r>
          </w:p>
        </w:tc>
        <w:tc>
          <w:tcPr>
            <w:tcW w:w="1809" w:type="dxa"/>
            <w:tcBorders>
              <w:top w:val="nil"/>
              <w:left w:val="nil"/>
              <w:bottom w:val="single" w:sz="4" w:space="0" w:color="auto"/>
              <w:right w:val="single" w:sz="4" w:space="0" w:color="auto"/>
            </w:tcBorders>
            <w:shd w:val="clear" w:color="auto" w:fill="auto"/>
            <w:vAlign w:val="center"/>
            <w:hideMark/>
          </w:tcPr>
          <w:p w14:paraId="252BCF3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IPTU e Taxas</w:t>
            </w:r>
          </w:p>
        </w:tc>
        <w:tc>
          <w:tcPr>
            <w:tcW w:w="529" w:type="dxa"/>
            <w:tcBorders>
              <w:top w:val="nil"/>
              <w:left w:val="nil"/>
              <w:bottom w:val="single" w:sz="4" w:space="0" w:color="auto"/>
              <w:right w:val="single" w:sz="4" w:space="0" w:color="auto"/>
            </w:tcBorders>
            <w:shd w:val="clear" w:color="auto" w:fill="auto"/>
            <w:vAlign w:val="center"/>
            <w:hideMark/>
          </w:tcPr>
          <w:p w14:paraId="1CB831D7"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15CD0EE"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40C833C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463,49 </w:t>
            </w:r>
          </w:p>
        </w:tc>
        <w:tc>
          <w:tcPr>
            <w:tcW w:w="1563" w:type="dxa"/>
            <w:tcBorders>
              <w:top w:val="nil"/>
              <w:left w:val="nil"/>
              <w:bottom w:val="single" w:sz="4" w:space="0" w:color="auto"/>
              <w:right w:val="single" w:sz="4" w:space="0" w:color="auto"/>
            </w:tcBorders>
            <w:shd w:val="clear" w:color="auto" w:fill="auto"/>
            <w:noWrap/>
            <w:vAlign w:val="bottom"/>
            <w:hideMark/>
          </w:tcPr>
          <w:p w14:paraId="5B76E95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BE2106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1.239,00 </w:t>
            </w:r>
          </w:p>
        </w:tc>
        <w:tc>
          <w:tcPr>
            <w:tcW w:w="1233" w:type="dxa"/>
            <w:tcBorders>
              <w:top w:val="nil"/>
              <w:left w:val="nil"/>
              <w:bottom w:val="single" w:sz="4" w:space="0" w:color="auto"/>
              <w:right w:val="single" w:sz="4" w:space="0" w:color="auto"/>
            </w:tcBorders>
            <w:shd w:val="clear" w:color="auto" w:fill="auto"/>
            <w:noWrap/>
            <w:vAlign w:val="bottom"/>
            <w:hideMark/>
          </w:tcPr>
          <w:p w14:paraId="2A9C5E4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BD9338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316,80 </w:t>
            </w:r>
          </w:p>
        </w:tc>
        <w:tc>
          <w:tcPr>
            <w:tcW w:w="1058" w:type="dxa"/>
            <w:tcBorders>
              <w:top w:val="nil"/>
              <w:left w:val="nil"/>
              <w:bottom w:val="single" w:sz="4" w:space="0" w:color="auto"/>
              <w:right w:val="single" w:sz="4" w:space="0" w:color="auto"/>
            </w:tcBorders>
            <w:shd w:val="clear" w:color="auto" w:fill="auto"/>
            <w:noWrap/>
            <w:vAlign w:val="bottom"/>
            <w:hideMark/>
          </w:tcPr>
          <w:p w14:paraId="669B10F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315,32 </w:t>
            </w:r>
          </w:p>
        </w:tc>
        <w:tc>
          <w:tcPr>
            <w:tcW w:w="940" w:type="dxa"/>
            <w:tcBorders>
              <w:top w:val="nil"/>
              <w:left w:val="nil"/>
              <w:bottom w:val="single" w:sz="4" w:space="0" w:color="auto"/>
              <w:right w:val="single" w:sz="4" w:space="0" w:color="auto"/>
            </w:tcBorders>
            <w:shd w:val="clear" w:color="auto" w:fill="auto"/>
            <w:noWrap/>
            <w:vAlign w:val="bottom"/>
            <w:hideMark/>
          </w:tcPr>
          <w:p w14:paraId="65E7D4A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583,65 </w:t>
            </w:r>
          </w:p>
        </w:tc>
        <w:tc>
          <w:tcPr>
            <w:tcW w:w="1294" w:type="dxa"/>
            <w:tcBorders>
              <w:top w:val="nil"/>
              <w:left w:val="nil"/>
              <w:bottom w:val="single" w:sz="4" w:space="0" w:color="auto"/>
              <w:right w:val="single" w:sz="4" w:space="0" w:color="auto"/>
            </w:tcBorders>
            <w:shd w:val="clear" w:color="auto" w:fill="auto"/>
            <w:noWrap/>
            <w:vAlign w:val="bottom"/>
            <w:hideMark/>
          </w:tcPr>
          <w:p w14:paraId="09D54E6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7.003,83 </w:t>
            </w:r>
          </w:p>
        </w:tc>
      </w:tr>
      <w:tr w:rsidR="00B307DB" w:rsidRPr="00977C8B" w14:paraId="54E75375"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E886DF2"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1.1.13</w:t>
            </w:r>
          </w:p>
        </w:tc>
        <w:tc>
          <w:tcPr>
            <w:tcW w:w="1809" w:type="dxa"/>
            <w:tcBorders>
              <w:top w:val="nil"/>
              <w:left w:val="nil"/>
              <w:bottom w:val="single" w:sz="4" w:space="0" w:color="auto"/>
              <w:right w:val="single" w:sz="4" w:space="0" w:color="auto"/>
            </w:tcBorders>
            <w:shd w:val="clear" w:color="auto" w:fill="auto"/>
            <w:vAlign w:val="center"/>
            <w:hideMark/>
          </w:tcPr>
          <w:p w14:paraId="42EEBC0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ISSQN e Taxas</w:t>
            </w:r>
          </w:p>
        </w:tc>
        <w:tc>
          <w:tcPr>
            <w:tcW w:w="529" w:type="dxa"/>
            <w:tcBorders>
              <w:top w:val="nil"/>
              <w:left w:val="nil"/>
              <w:bottom w:val="single" w:sz="4" w:space="0" w:color="auto"/>
              <w:right w:val="single" w:sz="4" w:space="0" w:color="auto"/>
            </w:tcBorders>
            <w:shd w:val="clear" w:color="auto" w:fill="auto"/>
            <w:vAlign w:val="center"/>
            <w:hideMark/>
          </w:tcPr>
          <w:p w14:paraId="5BAF12B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66E7BC1"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378E839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568,11 </w:t>
            </w:r>
          </w:p>
        </w:tc>
        <w:tc>
          <w:tcPr>
            <w:tcW w:w="1563" w:type="dxa"/>
            <w:tcBorders>
              <w:top w:val="nil"/>
              <w:left w:val="nil"/>
              <w:bottom w:val="single" w:sz="4" w:space="0" w:color="auto"/>
              <w:right w:val="single" w:sz="4" w:space="0" w:color="auto"/>
            </w:tcBorders>
            <w:shd w:val="clear" w:color="auto" w:fill="auto"/>
            <w:noWrap/>
            <w:vAlign w:val="bottom"/>
            <w:hideMark/>
          </w:tcPr>
          <w:p w14:paraId="715A0D1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6B52D2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759,00 </w:t>
            </w:r>
          </w:p>
        </w:tc>
        <w:tc>
          <w:tcPr>
            <w:tcW w:w="1233" w:type="dxa"/>
            <w:tcBorders>
              <w:top w:val="nil"/>
              <w:left w:val="nil"/>
              <w:bottom w:val="single" w:sz="4" w:space="0" w:color="auto"/>
              <w:right w:val="single" w:sz="4" w:space="0" w:color="auto"/>
            </w:tcBorders>
            <w:shd w:val="clear" w:color="auto" w:fill="auto"/>
            <w:noWrap/>
            <w:vAlign w:val="bottom"/>
            <w:hideMark/>
          </w:tcPr>
          <w:p w14:paraId="0F913BE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51B402D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427,20 </w:t>
            </w:r>
          </w:p>
        </w:tc>
        <w:tc>
          <w:tcPr>
            <w:tcW w:w="1058" w:type="dxa"/>
            <w:tcBorders>
              <w:top w:val="nil"/>
              <w:left w:val="nil"/>
              <w:bottom w:val="single" w:sz="4" w:space="0" w:color="auto"/>
              <w:right w:val="single" w:sz="4" w:space="0" w:color="auto"/>
            </w:tcBorders>
            <w:shd w:val="clear" w:color="auto" w:fill="auto"/>
            <w:noWrap/>
            <w:vAlign w:val="bottom"/>
            <w:hideMark/>
          </w:tcPr>
          <w:p w14:paraId="01DE61A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4B55123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584,77 </w:t>
            </w:r>
          </w:p>
        </w:tc>
        <w:tc>
          <w:tcPr>
            <w:tcW w:w="1294" w:type="dxa"/>
            <w:tcBorders>
              <w:top w:val="nil"/>
              <w:left w:val="nil"/>
              <w:bottom w:val="single" w:sz="4" w:space="0" w:color="auto"/>
              <w:right w:val="single" w:sz="4" w:space="0" w:color="auto"/>
            </w:tcBorders>
            <w:shd w:val="clear" w:color="auto" w:fill="auto"/>
            <w:noWrap/>
            <w:vAlign w:val="bottom"/>
            <w:hideMark/>
          </w:tcPr>
          <w:p w14:paraId="19A7C96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7.017,24 </w:t>
            </w:r>
          </w:p>
        </w:tc>
      </w:tr>
      <w:tr w:rsidR="00B307DB" w:rsidRPr="00977C8B" w14:paraId="015CA951"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97988D1"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1.1.14</w:t>
            </w:r>
          </w:p>
        </w:tc>
        <w:tc>
          <w:tcPr>
            <w:tcW w:w="1809" w:type="dxa"/>
            <w:tcBorders>
              <w:top w:val="nil"/>
              <w:left w:val="nil"/>
              <w:bottom w:val="single" w:sz="4" w:space="0" w:color="auto"/>
              <w:right w:val="single" w:sz="4" w:space="0" w:color="auto"/>
            </w:tcBorders>
            <w:shd w:val="clear" w:color="auto" w:fill="auto"/>
            <w:vAlign w:val="center"/>
            <w:hideMark/>
          </w:tcPr>
          <w:p w14:paraId="5682A78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ITBI e Taxas</w:t>
            </w:r>
          </w:p>
        </w:tc>
        <w:tc>
          <w:tcPr>
            <w:tcW w:w="529" w:type="dxa"/>
            <w:tcBorders>
              <w:top w:val="nil"/>
              <w:left w:val="nil"/>
              <w:bottom w:val="single" w:sz="4" w:space="0" w:color="auto"/>
              <w:right w:val="single" w:sz="4" w:space="0" w:color="auto"/>
            </w:tcBorders>
            <w:shd w:val="clear" w:color="auto" w:fill="auto"/>
            <w:vAlign w:val="center"/>
            <w:hideMark/>
          </w:tcPr>
          <w:p w14:paraId="6D6275B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754B78E6"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FF9900" w:fill="FFFFFF"/>
            <w:noWrap/>
            <w:vAlign w:val="bottom"/>
            <w:hideMark/>
          </w:tcPr>
          <w:p w14:paraId="6B69F40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361,11 </w:t>
            </w:r>
          </w:p>
        </w:tc>
        <w:tc>
          <w:tcPr>
            <w:tcW w:w="1563" w:type="dxa"/>
            <w:tcBorders>
              <w:top w:val="nil"/>
              <w:left w:val="nil"/>
              <w:bottom w:val="single" w:sz="4" w:space="0" w:color="auto"/>
              <w:right w:val="single" w:sz="4" w:space="0" w:color="auto"/>
            </w:tcBorders>
            <w:shd w:val="clear" w:color="auto" w:fill="auto"/>
            <w:noWrap/>
            <w:vAlign w:val="bottom"/>
            <w:hideMark/>
          </w:tcPr>
          <w:p w14:paraId="5AC3C71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3B8FA9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756,00 </w:t>
            </w:r>
          </w:p>
        </w:tc>
        <w:tc>
          <w:tcPr>
            <w:tcW w:w="1233" w:type="dxa"/>
            <w:tcBorders>
              <w:top w:val="nil"/>
              <w:left w:val="nil"/>
              <w:bottom w:val="single" w:sz="4" w:space="0" w:color="auto"/>
              <w:right w:val="single" w:sz="4" w:space="0" w:color="auto"/>
            </w:tcBorders>
            <w:shd w:val="clear" w:color="auto" w:fill="auto"/>
            <w:noWrap/>
            <w:vAlign w:val="bottom"/>
            <w:hideMark/>
          </w:tcPr>
          <w:p w14:paraId="0A72792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49DADA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316,80 </w:t>
            </w:r>
          </w:p>
        </w:tc>
        <w:tc>
          <w:tcPr>
            <w:tcW w:w="1058" w:type="dxa"/>
            <w:tcBorders>
              <w:top w:val="nil"/>
              <w:left w:val="nil"/>
              <w:bottom w:val="single" w:sz="4" w:space="0" w:color="auto"/>
              <w:right w:val="single" w:sz="4" w:space="0" w:color="auto"/>
            </w:tcBorders>
            <w:shd w:val="clear" w:color="auto" w:fill="auto"/>
            <w:noWrap/>
            <w:vAlign w:val="bottom"/>
            <w:hideMark/>
          </w:tcPr>
          <w:p w14:paraId="101B77C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330,84 </w:t>
            </w:r>
          </w:p>
        </w:tc>
        <w:tc>
          <w:tcPr>
            <w:tcW w:w="940" w:type="dxa"/>
            <w:tcBorders>
              <w:top w:val="nil"/>
              <w:left w:val="nil"/>
              <w:bottom w:val="single" w:sz="4" w:space="0" w:color="auto"/>
              <w:right w:val="single" w:sz="4" w:space="0" w:color="auto"/>
            </w:tcBorders>
            <w:shd w:val="clear" w:color="auto" w:fill="auto"/>
            <w:noWrap/>
            <w:vAlign w:val="bottom"/>
            <w:hideMark/>
          </w:tcPr>
          <w:p w14:paraId="08CF935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441,19 </w:t>
            </w:r>
          </w:p>
        </w:tc>
        <w:tc>
          <w:tcPr>
            <w:tcW w:w="1294" w:type="dxa"/>
            <w:tcBorders>
              <w:top w:val="nil"/>
              <w:left w:val="nil"/>
              <w:bottom w:val="single" w:sz="4" w:space="0" w:color="auto"/>
              <w:right w:val="single" w:sz="4" w:space="0" w:color="auto"/>
            </w:tcBorders>
            <w:shd w:val="clear" w:color="auto" w:fill="auto"/>
            <w:noWrap/>
            <w:vAlign w:val="bottom"/>
            <w:hideMark/>
          </w:tcPr>
          <w:p w14:paraId="1E536BD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5.294,25 </w:t>
            </w:r>
          </w:p>
        </w:tc>
      </w:tr>
      <w:tr w:rsidR="00B307DB" w:rsidRPr="00977C8B" w14:paraId="1928ED22"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AD84138"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1.1.15</w:t>
            </w:r>
          </w:p>
        </w:tc>
        <w:tc>
          <w:tcPr>
            <w:tcW w:w="1809" w:type="dxa"/>
            <w:tcBorders>
              <w:top w:val="nil"/>
              <w:left w:val="nil"/>
              <w:bottom w:val="single" w:sz="4" w:space="0" w:color="auto"/>
              <w:right w:val="single" w:sz="4" w:space="0" w:color="auto"/>
            </w:tcBorders>
            <w:shd w:val="clear" w:color="auto" w:fill="auto"/>
            <w:vAlign w:val="center"/>
            <w:hideMark/>
          </w:tcPr>
          <w:p w14:paraId="354AF56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Receitas Diversas</w:t>
            </w:r>
          </w:p>
        </w:tc>
        <w:tc>
          <w:tcPr>
            <w:tcW w:w="529" w:type="dxa"/>
            <w:tcBorders>
              <w:top w:val="nil"/>
              <w:left w:val="nil"/>
              <w:bottom w:val="single" w:sz="4" w:space="0" w:color="auto"/>
              <w:right w:val="single" w:sz="4" w:space="0" w:color="auto"/>
            </w:tcBorders>
            <w:shd w:val="clear" w:color="auto" w:fill="auto"/>
            <w:vAlign w:val="center"/>
            <w:hideMark/>
          </w:tcPr>
          <w:p w14:paraId="17B589F3"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2A79E9B9"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22082BC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215,99 </w:t>
            </w:r>
          </w:p>
        </w:tc>
        <w:tc>
          <w:tcPr>
            <w:tcW w:w="1563" w:type="dxa"/>
            <w:tcBorders>
              <w:top w:val="nil"/>
              <w:left w:val="nil"/>
              <w:bottom w:val="single" w:sz="4" w:space="0" w:color="auto"/>
              <w:right w:val="single" w:sz="4" w:space="0" w:color="auto"/>
            </w:tcBorders>
            <w:shd w:val="clear" w:color="auto" w:fill="auto"/>
            <w:noWrap/>
            <w:vAlign w:val="bottom"/>
            <w:hideMark/>
          </w:tcPr>
          <w:p w14:paraId="2E838B3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0781943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212,00 </w:t>
            </w:r>
          </w:p>
        </w:tc>
        <w:tc>
          <w:tcPr>
            <w:tcW w:w="1233" w:type="dxa"/>
            <w:tcBorders>
              <w:top w:val="nil"/>
              <w:left w:val="nil"/>
              <w:bottom w:val="single" w:sz="4" w:space="0" w:color="auto"/>
              <w:right w:val="single" w:sz="4" w:space="0" w:color="auto"/>
            </w:tcBorders>
            <w:shd w:val="clear" w:color="auto" w:fill="auto"/>
            <w:noWrap/>
            <w:vAlign w:val="bottom"/>
            <w:hideMark/>
          </w:tcPr>
          <w:p w14:paraId="1120529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200CEBF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84,48 </w:t>
            </w:r>
          </w:p>
        </w:tc>
        <w:tc>
          <w:tcPr>
            <w:tcW w:w="1058" w:type="dxa"/>
            <w:tcBorders>
              <w:top w:val="nil"/>
              <w:left w:val="nil"/>
              <w:bottom w:val="single" w:sz="4" w:space="0" w:color="auto"/>
              <w:right w:val="single" w:sz="4" w:space="0" w:color="auto"/>
            </w:tcBorders>
            <w:shd w:val="clear" w:color="auto" w:fill="auto"/>
            <w:noWrap/>
            <w:vAlign w:val="bottom"/>
            <w:hideMark/>
          </w:tcPr>
          <w:p w14:paraId="2AC5CB7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11B281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170,82 </w:t>
            </w:r>
          </w:p>
        </w:tc>
        <w:tc>
          <w:tcPr>
            <w:tcW w:w="1294" w:type="dxa"/>
            <w:tcBorders>
              <w:top w:val="nil"/>
              <w:left w:val="nil"/>
              <w:bottom w:val="single" w:sz="4" w:space="0" w:color="auto"/>
              <w:right w:val="single" w:sz="4" w:space="0" w:color="auto"/>
            </w:tcBorders>
            <w:shd w:val="clear" w:color="auto" w:fill="auto"/>
            <w:noWrap/>
            <w:vAlign w:val="bottom"/>
            <w:hideMark/>
          </w:tcPr>
          <w:p w14:paraId="09DDB30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2.049,88 </w:t>
            </w:r>
          </w:p>
        </w:tc>
      </w:tr>
      <w:tr w:rsidR="00B307DB" w:rsidRPr="00977C8B" w14:paraId="4743A475"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21DE012"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1.1.16</w:t>
            </w:r>
          </w:p>
        </w:tc>
        <w:tc>
          <w:tcPr>
            <w:tcW w:w="1809" w:type="dxa"/>
            <w:tcBorders>
              <w:top w:val="nil"/>
              <w:left w:val="nil"/>
              <w:bottom w:val="single" w:sz="4" w:space="0" w:color="auto"/>
              <w:right w:val="single" w:sz="4" w:space="0" w:color="auto"/>
            </w:tcBorders>
            <w:shd w:val="clear" w:color="auto" w:fill="auto"/>
            <w:vAlign w:val="center"/>
            <w:hideMark/>
          </w:tcPr>
          <w:p w14:paraId="5F29E2E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Dívida Ativa</w:t>
            </w:r>
          </w:p>
        </w:tc>
        <w:tc>
          <w:tcPr>
            <w:tcW w:w="529" w:type="dxa"/>
            <w:tcBorders>
              <w:top w:val="nil"/>
              <w:left w:val="nil"/>
              <w:bottom w:val="single" w:sz="4" w:space="0" w:color="auto"/>
              <w:right w:val="single" w:sz="4" w:space="0" w:color="auto"/>
            </w:tcBorders>
            <w:shd w:val="clear" w:color="auto" w:fill="auto"/>
            <w:vAlign w:val="center"/>
            <w:hideMark/>
          </w:tcPr>
          <w:p w14:paraId="64F2774E"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44D7DECD"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288B34C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546,73 </w:t>
            </w:r>
          </w:p>
        </w:tc>
        <w:tc>
          <w:tcPr>
            <w:tcW w:w="1563" w:type="dxa"/>
            <w:tcBorders>
              <w:top w:val="nil"/>
              <w:left w:val="nil"/>
              <w:bottom w:val="single" w:sz="4" w:space="0" w:color="auto"/>
              <w:right w:val="single" w:sz="4" w:space="0" w:color="auto"/>
            </w:tcBorders>
            <w:shd w:val="clear" w:color="auto" w:fill="auto"/>
            <w:noWrap/>
            <w:vAlign w:val="bottom"/>
            <w:hideMark/>
          </w:tcPr>
          <w:p w14:paraId="7F750CC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87962D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803,00 </w:t>
            </w:r>
          </w:p>
        </w:tc>
        <w:tc>
          <w:tcPr>
            <w:tcW w:w="1233" w:type="dxa"/>
            <w:tcBorders>
              <w:top w:val="nil"/>
              <w:left w:val="nil"/>
              <w:bottom w:val="single" w:sz="4" w:space="0" w:color="auto"/>
              <w:right w:val="single" w:sz="4" w:space="0" w:color="auto"/>
            </w:tcBorders>
            <w:shd w:val="clear" w:color="auto" w:fill="auto"/>
            <w:noWrap/>
            <w:vAlign w:val="bottom"/>
            <w:hideMark/>
          </w:tcPr>
          <w:p w14:paraId="73D11BC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823AD6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420,48 </w:t>
            </w:r>
          </w:p>
        </w:tc>
        <w:tc>
          <w:tcPr>
            <w:tcW w:w="1058" w:type="dxa"/>
            <w:tcBorders>
              <w:top w:val="nil"/>
              <w:left w:val="nil"/>
              <w:bottom w:val="single" w:sz="4" w:space="0" w:color="auto"/>
              <w:right w:val="single" w:sz="4" w:space="0" w:color="auto"/>
            </w:tcBorders>
            <w:shd w:val="clear" w:color="auto" w:fill="auto"/>
            <w:noWrap/>
            <w:vAlign w:val="bottom"/>
            <w:hideMark/>
          </w:tcPr>
          <w:p w14:paraId="4BC0626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E8BA0F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590,07 </w:t>
            </w:r>
          </w:p>
        </w:tc>
        <w:tc>
          <w:tcPr>
            <w:tcW w:w="1294" w:type="dxa"/>
            <w:tcBorders>
              <w:top w:val="nil"/>
              <w:left w:val="nil"/>
              <w:bottom w:val="single" w:sz="4" w:space="0" w:color="auto"/>
              <w:right w:val="single" w:sz="4" w:space="0" w:color="auto"/>
            </w:tcBorders>
            <w:shd w:val="clear" w:color="auto" w:fill="auto"/>
            <w:noWrap/>
            <w:vAlign w:val="bottom"/>
            <w:hideMark/>
          </w:tcPr>
          <w:p w14:paraId="3DAA3F1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7.080,84 </w:t>
            </w:r>
          </w:p>
        </w:tc>
      </w:tr>
      <w:tr w:rsidR="00B307DB" w:rsidRPr="00977C8B" w14:paraId="433160F7"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908F872"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lastRenderedPageBreak/>
              <w:t>1.1.17</w:t>
            </w:r>
          </w:p>
        </w:tc>
        <w:tc>
          <w:tcPr>
            <w:tcW w:w="1809" w:type="dxa"/>
            <w:tcBorders>
              <w:top w:val="nil"/>
              <w:left w:val="nil"/>
              <w:bottom w:val="single" w:sz="4" w:space="0" w:color="auto"/>
              <w:right w:val="single" w:sz="4" w:space="0" w:color="auto"/>
            </w:tcBorders>
            <w:shd w:val="clear" w:color="auto" w:fill="auto"/>
            <w:vAlign w:val="center"/>
            <w:hideMark/>
          </w:tcPr>
          <w:p w14:paraId="382FDC0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Starter</w:t>
            </w:r>
          </w:p>
        </w:tc>
        <w:tc>
          <w:tcPr>
            <w:tcW w:w="529" w:type="dxa"/>
            <w:tcBorders>
              <w:top w:val="nil"/>
              <w:left w:val="nil"/>
              <w:bottom w:val="single" w:sz="4" w:space="0" w:color="auto"/>
              <w:right w:val="single" w:sz="4" w:space="0" w:color="auto"/>
            </w:tcBorders>
            <w:shd w:val="clear" w:color="auto" w:fill="auto"/>
            <w:vAlign w:val="center"/>
            <w:hideMark/>
          </w:tcPr>
          <w:p w14:paraId="1F1884E9"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0AAF9100"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0C5A62E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979,85 </w:t>
            </w:r>
          </w:p>
        </w:tc>
        <w:tc>
          <w:tcPr>
            <w:tcW w:w="1563" w:type="dxa"/>
            <w:tcBorders>
              <w:top w:val="nil"/>
              <w:left w:val="nil"/>
              <w:bottom w:val="single" w:sz="4" w:space="0" w:color="auto"/>
              <w:right w:val="single" w:sz="4" w:space="0" w:color="auto"/>
            </w:tcBorders>
            <w:shd w:val="clear" w:color="auto" w:fill="auto"/>
            <w:noWrap/>
            <w:vAlign w:val="bottom"/>
            <w:hideMark/>
          </w:tcPr>
          <w:p w14:paraId="028FF5D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7D79B2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5568747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23492B1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907B34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4774958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979,85 </w:t>
            </w:r>
          </w:p>
        </w:tc>
        <w:tc>
          <w:tcPr>
            <w:tcW w:w="1294" w:type="dxa"/>
            <w:tcBorders>
              <w:top w:val="nil"/>
              <w:left w:val="nil"/>
              <w:bottom w:val="single" w:sz="4" w:space="0" w:color="auto"/>
              <w:right w:val="single" w:sz="4" w:space="0" w:color="auto"/>
            </w:tcBorders>
            <w:shd w:val="clear" w:color="auto" w:fill="auto"/>
            <w:noWrap/>
            <w:vAlign w:val="bottom"/>
            <w:hideMark/>
          </w:tcPr>
          <w:p w14:paraId="5E99893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11.758,20 </w:t>
            </w:r>
          </w:p>
        </w:tc>
      </w:tr>
      <w:tr w:rsidR="00B307DB" w:rsidRPr="00977C8B" w14:paraId="412478A5"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861ABBC"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1.1.18</w:t>
            </w:r>
          </w:p>
        </w:tc>
        <w:tc>
          <w:tcPr>
            <w:tcW w:w="1809" w:type="dxa"/>
            <w:tcBorders>
              <w:top w:val="nil"/>
              <w:left w:val="nil"/>
              <w:bottom w:val="single" w:sz="4" w:space="0" w:color="auto"/>
              <w:right w:val="single" w:sz="4" w:space="0" w:color="auto"/>
            </w:tcBorders>
            <w:shd w:val="clear" w:color="auto" w:fill="auto"/>
            <w:vAlign w:val="center"/>
            <w:hideMark/>
          </w:tcPr>
          <w:p w14:paraId="36063A7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Procuradoria</w:t>
            </w:r>
          </w:p>
        </w:tc>
        <w:tc>
          <w:tcPr>
            <w:tcW w:w="529" w:type="dxa"/>
            <w:tcBorders>
              <w:top w:val="nil"/>
              <w:left w:val="nil"/>
              <w:bottom w:val="single" w:sz="4" w:space="0" w:color="auto"/>
              <w:right w:val="single" w:sz="4" w:space="0" w:color="auto"/>
            </w:tcBorders>
            <w:shd w:val="clear" w:color="auto" w:fill="auto"/>
            <w:vAlign w:val="center"/>
            <w:hideMark/>
          </w:tcPr>
          <w:p w14:paraId="27FEBC88"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72936F31"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1D1D971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604,11 </w:t>
            </w:r>
          </w:p>
        </w:tc>
        <w:tc>
          <w:tcPr>
            <w:tcW w:w="1563" w:type="dxa"/>
            <w:tcBorders>
              <w:top w:val="nil"/>
              <w:left w:val="nil"/>
              <w:bottom w:val="single" w:sz="4" w:space="0" w:color="auto"/>
              <w:right w:val="single" w:sz="4" w:space="0" w:color="auto"/>
            </w:tcBorders>
            <w:shd w:val="clear" w:color="auto" w:fill="auto"/>
            <w:noWrap/>
            <w:vAlign w:val="bottom"/>
            <w:hideMark/>
          </w:tcPr>
          <w:p w14:paraId="1339798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400,00 </w:t>
            </w:r>
          </w:p>
        </w:tc>
        <w:tc>
          <w:tcPr>
            <w:tcW w:w="1111" w:type="dxa"/>
            <w:tcBorders>
              <w:top w:val="nil"/>
              <w:left w:val="nil"/>
              <w:bottom w:val="single" w:sz="4" w:space="0" w:color="auto"/>
              <w:right w:val="single" w:sz="4" w:space="0" w:color="auto"/>
            </w:tcBorders>
            <w:shd w:val="clear" w:color="auto" w:fill="auto"/>
            <w:noWrap/>
            <w:vAlign w:val="bottom"/>
            <w:hideMark/>
          </w:tcPr>
          <w:p w14:paraId="1EF7669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841,00 </w:t>
            </w:r>
          </w:p>
        </w:tc>
        <w:tc>
          <w:tcPr>
            <w:tcW w:w="1233" w:type="dxa"/>
            <w:tcBorders>
              <w:top w:val="nil"/>
              <w:left w:val="nil"/>
              <w:bottom w:val="single" w:sz="4" w:space="0" w:color="auto"/>
              <w:right w:val="single" w:sz="4" w:space="0" w:color="auto"/>
            </w:tcBorders>
            <w:shd w:val="clear" w:color="auto" w:fill="auto"/>
            <w:noWrap/>
            <w:vAlign w:val="bottom"/>
            <w:hideMark/>
          </w:tcPr>
          <w:p w14:paraId="14286E9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903,00 </w:t>
            </w:r>
          </w:p>
        </w:tc>
        <w:tc>
          <w:tcPr>
            <w:tcW w:w="1185" w:type="dxa"/>
            <w:tcBorders>
              <w:top w:val="nil"/>
              <w:left w:val="nil"/>
              <w:bottom w:val="single" w:sz="4" w:space="0" w:color="auto"/>
              <w:right w:val="single" w:sz="4" w:space="0" w:color="auto"/>
            </w:tcBorders>
            <w:shd w:val="clear" w:color="auto" w:fill="auto"/>
            <w:noWrap/>
            <w:vAlign w:val="bottom"/>
            <w:hideMark/>
          </w:tcPr>
          <w:p w14:paraId="6E26D99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6375532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705253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687,03 </w:t>
            </w:r>
          </w:p>
        </w:tc>
        <w:tc>
          <w:tcPr>
            <w:tcW w:w="1294" w:type="dxa"/>
            <w:tcBorders>
              <w:top w:val="nil"/>
              <w:left w:val="nil"/>
              <w:bottom w:val="single" w:sz="4" w:space="0" w:color="auto"/>
              <w:right w:val="single" w:sz="4" w:space="0" w:color="auto"/>
            </w:tcBorders>
            <w:shd w:val="clear" w:color="auto" w:fill="auto"/>
            <w:noWrap/>
            <w:vAlign w:val="bottom"/>
            <w:hideMark/>
          </w:tcPr>
          <w:p w14:paraId="0B7275F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8.244,33 </w:t>
            </w:r>
          </w:p>
        </w:tc>
      </w:tr>
      <w:tr w:rsidR="00B307DB" w:rsidRPr="00977C8B" w14:paraId="6AB7FF3B"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F352BB5"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1.1.19</w:t>
            </w:r>
          </w:p>
        </w:tc>
        <w:tc>
          <w:tcPr>
            <w:tcW w:w="1809" w:type="dxa"/>
            <w:tcBorders>
              <w:top w:val="nil"/>
              <w:left w:val="nil"/>
              <w:bottom w:val="single" w:sz="4" w:space="0" w:color="auto"/>
              <w:right w:val="single" w:sz="4" w:space="0" w:color="auto"/>
            </w:tcBorders>
            <w:shd w:val="clear" w:color="auto" w:fill="auto"/>
            <w:vAlign w:val="center"/>
            <w:hideMark/>
          </w:tcPr>
          <w:p w14:paraId="25DA897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Obras e Posturas</w:t>
            </w:r>
          </w:p>
        </w:tc>
        <w:tc>
          <w:tcPr>
            <w:tcW w:w="529" w:type="dxa"/>
            <w:tcBorders>
              <w:top w:val="nil"/>
              <w:left w:val="nil"/>
              <w:bottom w:val="single" w:sz="4" w:space="0" w:color="auto"/>
              <w:right w:val="single" w:sz="4" w:space="0" w:color="auto"/>
            </w:tcBorders>
            <w:shd w:val="clear" w:color="auto" w:fill="auto"/>
            <w:vAlign w:val="center"/>
            <w:hideMark/>
          </w:tcPr>
          <w:p w14:paraId="4BD82B04"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3EF7064E"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25B9AD9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462,36 </w:t>
            </w:r>
          </w:p>
        </w:tc>
        <w:tc>
          <w:tcPr>
            <w:tcW w:w="1563" w:type="dxa"/>
            <w:tcBorders>
              <w:top w:val="nil"/>
              <w:left w:val="nil"/>
              <w:bottom w:val="single" w:sz="4" w:space="0" w:color="auto"/>
              <w:right w:val="single" w:sz="4" w:space="0" w:color="auto"/>
            </w:tcBorders>
            <w:shd w:val="clear" w:color="auto" w:fill="auto"/>
            <w:noWrap/>
            <w:vAlign w:val="bottom"/>
            <w:hideMark/>
          </w:tcPr>
          <w:p w14:paraId="5F461A4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295,00 </w:t>
            </w:r>
          </w:p>
        </w:tc>
        <w:tc>
          <w:tcPr>
            <w:tcW w:w="1111" w:type="dxa"/>
            <w:tcBorders>
              <w:top w:val="nil"/>
              <w:left w:val="nil"/>
              <w:bottom w:val="single" w:sz="4" w:space="0" w:color="auto"/>
              <w:right w:val="single" w:sz="4" w:space="0" w:color="auto"/>
            </w:tcBorders>
            <w:shd w:val="clear" w:color="auto" w:fill="auto"/>
            <w:noWrap/>
            <w:vAlign w:val="bottom"/>
            <w:hideMark/>
          </w:tcPr>
          <w:p w14:paraId="1F6A0EA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533,00 </w:t>
            </w:r>
          </w:p>
        </w:tc>
        <w:tc>
          <w:tcPr>
            <w:tcW w:w="1233" w:type="dxa"/>
            <w:tcBorders>
              <w:top w:val="nil"/>
              <w:left w:val="nil"/>
              <w:bottom w:val="single" w:sz="4" w:space="0" w:color="auto"/>
              <w:right w:val="single" w:sz="4" w:space="0" w:color="auto"/>
            </w:tcBorders>
            <w:shd w:val="clear" w:color="auto" w:fill="auto"/>
            <w:noWrap/>
            <w:vAlign w:val="bottom"/>
            <w:hideMark/>
          </w:tcPr>
          <w:p w14:paraId="42BFCFE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381,00 </w:t>
            </w:r>
          </w:p>
        </w:tc>
        <w:tc>
          <w:tcPr>
            <w:tcW w:w="1185" w:type="dxa"/>
            <w:tcBorders>
              <w:top w:val="nil"/>
              <w:left w:val="nil"/>
              <w:bottom w:val="single" w:sz="4" w:space="0" w:color="auto"/>
              <w:right w:val="single" w:sz="4" w:space="0" w:color="auto"/>
            </w:tcBorders>
            <w:shd w:val="clear" w:color="auto" w:fill="auto"/>
            <w:noWrap/>
            <w:vAlign w:val="bottom"/>
            <w:hideMark/>
          </w:tcPr>
          <w:p w14:paraId="5397276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268,80 </w:t>
            </w:r>
          </w:p>
        </w:tc>
        <w:tc>
          <w:tcPr>
            <w:tcW w:w="1058" w:type="dxa"/>
            <w:tcBorders>
              <w:top w:val="nil"/>
              <w:left w:val="nil"/>
              <w:bottom w:val="single" w:sz="4" w:space="0" w:color="auto"/>
              <w:right w:val="single" w:sz="4" w:space="0" w:color="auto"/>
            </w:tcBorders>
            <w:shd w:val="clear" w:color="auto" w:fill="auto"/>
            <w:noWrap/>
            <w:vAlign w:val="bottom"/>
            <w:hideMark/>
          </w:tcPr>
          <w:p w14:paraId="68CFA8D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018DBED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388,03 </w:t>
            </w:r>
          </w:p>
        </w:tc>
        <w:tc>
          <w:tcPr>
            <w:tcW w:w="1294" w:type="dxa"/>
            <w:tcBorders>
              <w:top w:val="nil"/>
              <w:left w:val="nil"/>
              <w:bottom w:val="single" w:sz="4" w:space="0" w:color="auto"/>
              <w:right w:val="single" w:sz="4" w:space="0" w:color="auto"/>
            </w:tcBorders>
            <w:shd w:val="clear" w:color="auto" w:fill="auto"/>
            <w:noWrap/>
            <w:vAlign w:val="bottom"/>
            <w:hideMark/>
          </w:tcPr>
          <w:p w14:paraId="35DFEDF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4.656,38 </w:t>
            </w:r>
          </w:p>
        </w:tc>
      </w:tr>
      <w:tr w:rsidR="00B307DB" w:rsidRPr="00977C8B" w14:paraId="39563564"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FC76715"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1.1.20</w:t>
            </w:r>
          </w:p>
        </w:tc>
        <w:tc>
          <w:tcPr>
            <w:tcW w:w="1809" w:type="dxa"/>
            <w:tcBorders>
              <w:top w:val="nil"/>
              <w:left w:val="nil"/>
              <w:bottom w:val="single" w:sz="4" w:space="0" w:color="auto"/>
              <w:right w:val="single" w:sz="4" w:space="0" w:color="auto"/>
            </w:tcBorders>
            <w:shd w:val="clear" w:color="auto" w:fill="auto"/>
            <w:vAlign w:val="center"/>
            <w:hideMark/>
          </w:tcPr>
          <w:p w14:paraId="0FCA52A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Protocolo e Processo Digital</w:t>
            </w:r>
          </w:p>
        </w:tc>
        <w:tc>
          <w:tcPr>
            <w:tcW w:w="529" w:type="dxa"/>
            <w:tcBorders>
              <w:top w:val="nil"/>
              <w:left w:val="nil"/>
              <w:bottom w:val="single" w:sz="4" w:space="0" w:color="auto"/>
              <w:right w:val="single" w:sz="4" w:space="0" w:color="auto"/>
            </w:tcBorders>
            <w:shd w:val="clear" w:color="auto" w:fill="auto"/>
            <w:vAlign w:val="center"/>
            <w:hideMark/>
          </w:tcPr>
          <w:p w14:paraId="5FD13864"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786D33DC"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106B6F7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830,23 </w:t>
            </w:r>
          </w:p>
        </w:tc>
        <w:tc>
          <w:tcPr>
            <w:tcW w:w="1563" w:type="dxa"/>
            <w:tcBorders>
              <w:top w:val="nil"/>
              <w:left w:val="nil"/>
              <w:bottom w:val="single" w:sz="4" w:space="0" w:color="auto"/>
              <w:right w:val="single" w:sz="4" w:space="0" w:color="auto"/>
            </w:tcBorders>
            <w:shd w:val="clear" w:color="auto" w:fill="auto"/>
            <w:noWrap/>
            <w:vAlign w:val="bottom"/>
            <w:hideMark/>
          </w:tcPr>
          <w:p w14:paraId="049FFB7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1.445,00 </w:t>
            </w:r>
          </w:p>
        </w:tc>
        <w:tc>
          <w:tcPr>
            <w:tcW w:w="1111" w:type="dxa"/>
            <w:tcBorders>
              <w:top w:val="nil"/>
              <w:left w:val="nil"/>
              <w:bottom w:val="single" w:sz="4" w:space="0" w:color="auto"/>
              <w:right w:val="single" w:sz="4" w:space="0" w:color="auto"/>
            </w:tcBorders>
            <w:shd w:val="clear" w:color="auto" w:fill="auto"/>
            <w:noWrap/>
            <w:vAlign w:val="bottom"/>
            <w:hideMark/>
          </w:tcPr>
          <w:p w14:paraId="087F499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1.250,00 </w:t>
            </w:r>
          </w:p>
        </w:tc>
        <w:tc>
          <w:tcPr>
            <w:tcW w:w="1233" w:type="dxa"/>
            <w:tcBorders>
              <w:top w:val="nil"/>
              <w:left w:val="nil"/>
              <w:bottom w:val="single" w:sz="4" w:space="0" w:color="auto"/>
              <w:right w:val="single" w:sz="4" w:space="0" w:color="auto"/>
            </w:tcBorders>
            <w:shd w:val="clear" w:color="auto" w:fill="auto"/>
            <w:noWrap/>
            <w:vAlign w:val="bottom"/>
            <w:hideMark/>
          </w:tcPr>
          <w:p w14:paraId="163710A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782,00 </w:t>
            </w:r>
          </w:p>
        </w:tc>
        <w:tc>
          <w:tcPr>
            <w:tcW w:w="1185" w:type="dxa"/>
            <w:tcBorders>
              <w:top w:val="nil"/>
              <w:left w:val="nil"/>
              <w:bottom w:val="single" w:sz="4" w:space="0" w:color="auto"/>
              <w:right w:val="single" w:sz="4" w:space="0" w:color="auto"/>
            </w:tcBorders>
            <w:shd w:val="clear" w:color="auto" w:fill="auto"/>
            <w:noWrap/>
            <w:vAlign w:val="bottom"/>
            <w:hideMark/>
          </w:tcPr>
          <w:p w14:paraId="5985C41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455,04 </w:t>
            </w:r>
          </w:p>
        </w:tc>
        <w:tc>
          <w:tcPr>
            <w:tcW w:w="1058" w:type="dxa"/>
            <w:tcBorders>
              <w:top w:val="nil"/>
              <w:left w:val="nil"/>
              <w:bottom w:val="single" w:sz="4" w:space="0" w:color="auto"/>
              <w:right w:val="single" w:sz="4" w:space="0" w:color="auto"/>
            </w:tcBorders>
            <w:shd w:val="clear" w:color="auto" w:fill="auto"/>
            <w:noWrap/>
            <w:vAlign w:val="bottom"/>
            <w:hideMark/>
          </w:tcPr>
          <w:p w14:paraId="7BC134E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2.994,14 </w:t>
            </w:r>
          </w:p>
        </w:tc>
        <w:tc>
          <w:tcPr>
            <w:tcW w:w="940" w:type="dxa"/>
            <w:tcBorders>
              <w:top w:val="nil"/>
              <w:left w:val="nil"/>
              <w:bottom w:val="single" w:sz="4" w:space="0" w:color="auto"/>
              <w:right w:val="single" w:sz="4" w:space="0" w:color="auto"/>
            </w:tcBorders>
            <w:shd w:val="clear" w:color="auto" w:fill="auto"/>
            <w:noWrap/>
            <w:vAlign w:val="bottom"/>
            <w:hideMark/>
          </w:tcPr>
          <w:p w14:paraId="3E1817E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1.292,74 </w:t>
            </w:r>
          </w:p>
        </w:tc>
        <w:tc>
          <w:tcPr>
            <w:tcW w:w="1294" w:type="dxa"/>
            <w:tcBorders>
              <w:top w:val="nil"/>
              <w:left w:val="nil"/>
              <w:bottom w:val="single" w:sz="4" w:space="0" w:color="auto"/>
              <w:right w:val="single" w:sz="4" w:space="0" w:color="auto"/>
            </w:tcBorders>
            <w:shd w:val="clear" w:color="auto" w:fill="auto"/>
            <w:noWrap/>
            <w:vAlign w:val="bottom"/>
            <w:hideMark/>
          </w:tcPr>
          <w:p w14:paraId="3D59CE9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15.512,82 </w:t>
            </w:r>
          </w:p>
        </w:tc>
      </w:tr>
      <w:tr w:rsidR="00B307DB" w:rsidRPr="00977C8B" w14:paraId="16FB66D0"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B4B1751"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1.1.21</w:t>
            </w:r>
          </w:p>
        </w:tc>
        <w:tc>
          <w:tcPr>
            <w:tcW w:w="1809" w:type="dxa"/>
            <w:tcBorders>
              <w:top w:val="nil"/>
              <w:left w:val="nil"/>
              <w:bottom w:val="single" w:sz="4" w:space="0" w:color="auto"/>
              <w:right w:val="single" w:sz="4" w:space="0" w:color="auto"/>
            </w:tcBorders>
            <w:shd w:val="clear" w:color="auto" w:fill="auto"/>
            <w:vAlign w:val="center"/>
            <w:hideMark/>
          </w:tcPr>
          <w:p w14:paraId="4ACA5E0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App</w:t>
            </w:r>
          </w:p>
        </w:tc>
        <w:tc>
          <w:tcPr>
            <w:tcW w:w="529" w:type="dxa"/>
            <w:tcBorders>
              <w:top w:val="nil"/>
              <w:left w:val="nil"/>
              <w:bottom w:val="single" w:sz="4" w:space="0" w:color="auto"/>
              <w:right w:val="single" w:sz="4" w:space="0" w:color="auto"/>
            </w:tcBorders>
            <w:shd w:val="clear" w:color="auto" w:fill="auto"/>
            <w:vAlign w:val="center"/>
            <w:hideMark/>
          </w:tcPr>
          <w:p w14:paraId="5086506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4BC7E7D8"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4F16348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572,61 </w:t>
            </w:r>
          </w:p>
        </w:tc>
        <w:tc>
          <w:tcPr>
            <w:tcW w:w="1563" w:type="dxa"/>
            <w:tcBorders>
              <w:top w:val="nil"/>
              <w:left w:val="nil"/>
              <w:bottom w:val="single" w:sz="4" w:space="0" w:color="auto"/>
              <w:right w:val="single" w:sz="4" w:space="0" w:color="auto"/>
            </w:tcBorders>
            <w:shd w:val="clear" w:color="auto" w:fill="auto"/>
            <w:noWrap/>
            <w:vAlign w:val="bottom"/>
            <w:hideMark/>
          </w:tcPr>
          <w:p w14:paraId="21EA81A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C7BBBC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628,00 </w:t>
            </w:r>
          </w:p>
        </w:tc>
        <w:tc>
          <w:tcPr>
            <w:tcW w:w="1233" w:type="dxa"/>
            <w:tcBorders>
              <w:top w:val="nil"/>
              <w:left w:val="nil"/>
              <w:bottom w:val="single" w:sz="4" w:space="0" w:color="auto"/>
              <w:right w:val="single" w:sz="4" w:space="0" w:color="auto"/>
            </w:tcBorders>
            <w:shd w:val="clear" w:color="auto" w:fill="auto"/>
            <w:noWrap/>
            <w:vAlign w:val="bottom"/>
            <w:hideMark/>
          </w:tcPr>
          <w:p w14:paraId="71DEB2C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77D6A1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494,40 </w:t>
            </w:r>
          </w:p>
        </w:tc>
        <w:tc>
          <w:tcPr>
            <w:tcW w:w="1058" w:type="dxa"/>
            <w:tcBorders>
              <w:top w:val="nil"/>
              <w:left w:val="nil"/>
              <w:bottom w:val="single" w:sz="4" w:space="0" w:color="auto"/>
              <w:right w:val="single" w:sz="4" w:space="0" w:color="auto"/>
            </w:tcBorders>
            <w:shd w:val="clear" w:color="auto" w:fill="auto"/>
            <w:noWrap/>
            <w:vAlign w:val="bottom"/>
            <w:hideMark/>
          </w:tcPr>
          <w:p w14:paraId="715AC5B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605,51 </w:t>
            </w:r>
          </w:p>
        </w:tc>
        <w:tc>
          <w:tcPr>
            <w:tcW w:w="940" w:type="dxa"/>
            <w:tcBorders>
              <w:top w:val="nil"/>
              <w:left w:val="nil"/>
              <w:bottom w:val="single" w:sz="4" w:space="0" w:color="auto"/>
              <w:right w:val="single" w:sz="4" w:space="0" w:color="auto"/>
            </w:tcBorders>
            <w:shd w:val="clear" w:color="auto" w:fill="auto"/>
            <w:noWrap/>
            <w:vAlign w:val="bottom"/>
            <w:hideMark/>
          </w:tcPr>
          <w:p w14:paraId="425F2E5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575,13 </w:t>
            </w:r>
          </w:p>
        </w:tc>
        <w:tc>
          <w:tcPr>
            <w:tcW w:w="1294" w:type="dxa"/>
            <w:tcBorders>
              <w:top w:val="nil"/>
              <w:left w:val="nil"/>
              <w:bottom w:val="single" w:sz="4" w:space="0" w:color="auto"/>
              <w:right w:val="single" w:sz="4" w:space="0" w:color="auto"/>
            </w:tcBorders>
            <w:shd w:val="clear" w:color="auto" w:fill="auto"/>
            <w:noWrap/>
            <w:vAlign w:val="bottom"/>
            <w:hideMark/>
          </w:tcPr>
          <w:p w14:paraId="58823A1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6.901,56 </w:t>
            </w:r>
          </w:p>
        </w:tc>
      </w:tr>
      <w:tr w:rsidR="00B307DB" w:rsidRPr="00977C8B" w14:paraId="3E260F20"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5A406F7"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1.1.22</w:t>
            </w:r>
          </w:p>
        </w:tc>
        <w:tc>
          <w:tcPr>
            <w:tcW w:w="1809" w:type="dxa"/>
            <w:tcBorders>
              <w:top w:val="nil"/>
              <w:left w:val="nil"/>
              <w:bottom w:val="single" w:sz="4" w:space="0" w:color="auto"/>
              <w:right w:val="single" w:sz="4" w:space="0" w:color="auto"/>
            </w:tcBorders>
            <w:shd w:val="clear" w:color="auto" w:fill="auto"/>
            <w:vAlign w:val="center"/>
            <w:hideMark/>
          </w:tcPr>
          <w:p w14:paraId="40ABFD8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e-Comunica</w:t>
            </w:r>
          </w:p>
        </w:tc>
        <w:tc>
          <w:tcPr>
            <w:tcW w:w="529" w:type="dxa"/>
            <w:tcBorders>
              <w:top w:val="nil"/>
              <w:left w:val="nil"/>
              <w:bottom w:val="single" w:sz="4" w:space="0" w:color="auto"/>
              <w:right w:val="single" w:sz="4" w:space="0" w:color="auto"/>
            </w:tcBorders>
            <w:shd w:val="clear" w:color="auto" w:fill="auto"/>
            <w:vAlign w:val="center"/>
            <w:hideMark/>
          </w:tcPr>
          <w:p w14:paraId="212B29E6"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0FF312F5"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B2AEF8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778,48 </w:t>
            </w:r>
          </w:p>
        </w:tc>
        <w:tc>
          <w:tcPr>
            <w:tcW w:w="1563" w:type="dxa"/>
            <w:tcBorders>
              <w:top w:val="nil"/>
              <w:left w:val="nil"/>
              <w:bottom w:val="single" w:sz="4" w:space="0" w:color="auto"/>
              <w:right w:val="single" w:sz="4" w:space="0" w:color="auto"/>
            </w:tcBorders>
            <w:shd w:val="clear" w:color="auto" w:fill="auto"/>
            <w:noWrap/>
            <w:vAlign w:val="bottom"/>
            <w:hideMark/>
          </w:tcPr>
          <w:p w14:paraId="39342CE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1AB03A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38B86C9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162BDDC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BE75F0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6364E1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778,48 </w:t>
            </w:r>
          </w:p>
        </w:tc>
        <w:tc>
          <w:tcPr>
            <w:tcW w:w="1294" w:type="dxa"/>
            <w:tcBorders>
              <w:top w:val="nil"/>
              <w:left w:val="nil"/>
              <w:bottom w:val="single" w:sz="4" w:space="0" w:color="auto"/>
              <w:right w:val="single" w:sz="4" w:space="0" w:color="auto"/>
            </w:tcBorders>
            <w:shd w:val="clear" w:color="auto" w:fill="auto"/>
            <w:noWrap/>
            <w:vAlign w:val="bottom"/>
            <w:hideMark/>
          </w:tcPr>
          <w:p w14:paraId="4C5D9B9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9.341,76 </w:t>
            </w:r>
          </w:p>
        </w:tc>
      </w:tr>
      <w:tr w:rsidR="00B307DB" w:rsidRPr="00977C8B" w14:paraId="21A61419"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51F055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1.1.23</w:t>
            </w:r>
          </w:p>
        </w:tc>
        <w:tc>
          <w:tcPr>
            <w:tcW w:w="1809" w:type="dxa"/>
            <w:tcBorders>
              <w:top w:val="nil"/>
              <w:left w:val="nil"/>
              <w:bottom w:val="single" w:sz="4" w:space="0" w:color="auto"/>
              <w:right w:val="single" w:sz="4" w:space="0" w:color="auto"/>
            </w:tcBorders>
            <w:shd w:val="clear" w:color="auto" w:fill="auto"/>
            <w:vAlign w:val="center"/>
            <w:hideMark/>
          </w:tcPr>
          <w:p w14:paraId="221D5FE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Portal de Autoatendimento</w:t>
            </w:r>
          </w:p>
        </w:tc>
        <w:tc>
          <w:tcPr>
            <w:tcW w:w="529" w:type="dxa"/>
            <w:tcBorders>
              <w:top w:val="nil"/>
              <w:left w:val="nil"/>
              <w:bottom w:val="single" w:sz="4" w:space="0" w:color="auto"/>
              <w:right w:val="single" w:sz="4" w:space="0" w:color="auto"/>
            </w:tcBorders>
            <w:shd w:val="clear" w:color="auto" w:fill="auto"/>
            <w:vAlign w:val="center"/>
            <w:hideMark/>
          </w:tcPr>
          <w:p w14:paraId="5BF42330"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3FF6CA38"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9B8A1C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625,48 </w:t>
            </w:r>
          </w:p>
        </w:tc>
        <w:tc>
          <w:tcPr>
            <w:tcW w:w="1563" w:type="dxa"/>
            <w:tcBorders>
              <w:top w:val="nil"/>
              <w:left w:val="nil"/>
              <w:bottom w:val="single" w:sz="4" w:space="0" w:color="auto"/>
              <w:right w:val="single" w:sz="4" w:space="0" w:color="auto"/>
            </w:tcBorders>
            <w:shd w:val="clear" w:color="auto" w:fill="auto"/>
            <w:noWrap/>
            <w:vAlign w:val="bottom"/>
            <w:hideMark/>
          </w:tcPr>
          <w:p w14:paraId="3B225A0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365,00 </w:t>
            </w:r>
          </w:p>
        </w:tc>
        <w:tc>
          <w:tcPr>
            <w:tcW w:w="1111" w:type="dxa"/>
            <w:tcBorders>
              <w:top w:val="nil"/>
              <w:left w:val="nil"/>
              <w:bottom w:val="single" w:sz="4" w:space="0" w:color="auto"/>
              <w:right w:val="single" w:sz="4" w:space="0" w:color="auto"/>
            </w:tcBorders>
            <w:shd w:val="clear" w:color="auto" w:fill="auto"/>
            <w:noWrap/>
            <w:vAlign w:val="bottom"/>
            <w:hideMark/>
          </w:tcPr>
          <w:p w14:paraId="2FE4B48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910,00 </w:t>
            </w:r>
          </w:p>
        </w:tc>
        <w:tc>
          <w:tcPr>
            <w:tcW w:w="1233" w:type="dxa"/>
            <w:tcBorders>
              <w:top w:val="nil"/>
              <w:left w:val="nil"/>
              <w:bottom w:val="single" w:sz="4" w:space="0" w:color="auto"/>
              <w:right w:val="single" w:sz="4" w:space="0" w:color="auto"/>
            </w:tcBorders>
            <w:shd w:val="clear" w:color="auto" w:fill="auto"/>
            <w:noWrap/>
            <w:vAlign w:val="bottom"/>
            <w:hideMark/>
          </w:tcPr>
          <w:p w14:paraId="73EF88A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75A12B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420,48 </w:t>
            </w:r>
          </w:p>
        </w:tc>
        <w:tc>
          <w:tcPr>
            <w:tcW w:w="1058" w:type="dxa"/>
            <w:tcBorders>
              <w:top w:val="nil"/>
              <w:left w:val="nil"/>
              <w:bottom w:val="single" w:sz="4" w:space="0" w:color="auto"/>
              <w:right w:val="single" w:sz="4" w:space="0" w:color="auto"/>
            </w:tcBorders>
            <w:shd w:val="clear" w:color="auto" w:fill="auto"/>
            <w:noWrap/>
            <w:vAlign w:val="bottom"/>
            <w:hideMark/>
          </w:tcPr>
          <w:p w14:paraId="658C91D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5CC3575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580,24 </w:t>
            </w:r>
          </w:p>
        </w:tc>
        <w:tc>
          <w:tcPr>
            <w:tcW w:w="1294" w:type="dxa"/>
            <w:tcBorders>
              <w:top w:val="nil"/>
              <w:left w:val="nil"/>
              <w:bottom w:val="single" w:sz="4" w:space="0" w:color="auto"/>
              <w:right w:val="single" w:sz="4" w:space="0" w:color="auto"/>
            </w:tcBorders>
            <w:shd w:val="clear" w:color="auto" w:fill="auto"/>
            <w:noWrap/>
            <w:vAlign w:val="bottom"/>
            <w:hideMark/>
          </w:tcPr>
          <w:p w14:paraId="4CF9AE7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6.962,88 </w:t>
            </w:r>
          </w:p>
        </w:tc>
      </w:tr>
      <w:tr w:rsidR="00B307DB" w:rsidRPr="00977C8B" w14:paraId="581EC6FA"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B5DBDE6"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1.1.24</w:t>
            </w:r>
          </w:p>
        </w:tc>
        <w:tc>
          <w:tcPr>
            <w:tcW w:w="1809" w:type="dxa"/>
            <w:tcBorders>
              <w:top w:val="nil"/>
              <w:left w:val="nil"/>
              <w:bottom w:val="single" w:sz="4" w:space="0" w:color="auto"/>
              <w:right w:val="single" w:sz="4" w:space="0" w:color="auto"/>
            </w:tcBorders>
            <w:shd w:val="clear" w:color="auto" w:fill="auto"/>
            <w:vAlign w:val="center"/>
            <w:hideMark/>
          </w:tcPr>
          <w:p w14:paraId="564B10F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Portal da Transparência</w:t>
            </w:r>
          </w:p>
        </w:tc>
        <w:tc>
          <w:tcPr>
            <w:tcW w:w="529" w:type="dxa"/>
            <w:tcBorders>
              <w:top w:val="nil"/>
              <w:left w:val="nil"/>
              <w:bottom w:val="single" w:sz="4" w:space="0" w:color="auto"/>
              <w:right w:val="single" w:sz="4" w:space="0" w:color="auto"/>
            </w:tcBorders>
            <w:shd w:val="clear" w:color="auto" w:fill="auto"/>
            <w:vAlign w:val="center"/>
            <w:hideMark/>
          </w:tcPr>
          <w:p w14:paraId="18D5FF70"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4B53843"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173C549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560,23 </w:t>
            </w:r>
          </w:p>
        </w:tc>
        <w:tc>
          <w:tcPr>
            <w:tcW w:w="1563" w:type="dxa"/>
            <w:tcBorders>
              <w:top w:val="nil"/>
              <w:left w:val="nil"/>
              <w:bottom w:val="single" w:sz="4" w:space="0" w:color="auto"/>
              <w:right w:val="single" w:sz="4" w:space="0" w:color="auto"/>
            </w:tcBorders>
            <w:shd w:val="clear" w:color="auto" w:fill="auto"/>
            <w:noWrap/>
            <w:vAlign w:val="bottom"/>
            <w:hideMark/>
          </w:tcPr>
          <w:p w14:paraId="0086983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925,00 </w:t>
            </w:r>
          </w:p>
        </w:tc>
        <w:tc>
          <w:tcPr>
            <w:tcW w:w="1111" w:type="dxa"/>
            <w:tcBorders>
              <w:top w:val="nil"/>
              <w:left w:val="nil"/>
              <w:bottom w:val="single" w:sz="4" w:space="0" w:color="auto"/>
              <w:right w:val="single" w:sz="4" w:space="0" w:color="auto"/>
            </w:tcBorders>
            <w:shd w:val="clear" w:color="auto" w:fill="auto"/>
            <w:noWrap/>
            <w:vAlign w:val="bottom"/>
            <w:hideMark/>
          </w:tcPr>
          <w:p w14:paraId="468A9B5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764,00 </w:t>
            </w:r>
          </w:p>
        </w:tc>
        <w:tc>
          <w:tcPr>
            <w:tcW w:w="1233" w:type="dxa"/>
            <w:tcBorders>
              <w:top w:val="nil"/>
              <w:left w:val="nil"/>
              <w:bottom w:val="single" w:sz="4" w:space="0" w:color="auto"/>
              <w:right w:val="single" w:sz="4" w:space="0" w:color="auto"/>
            </w:tcBorders>
            <w:shd w:val="clear" w:color="auto" w:fill="auto"/>
            <w:noWrap/>
            <w:vAlign w:val="bottom"/>
            <w:hideMark/>
          </w:tcPr>
          <w:p w14:paraId="4E767A9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662,00 </w:t>
            </w:r>
          </w:p>
        </w:tc>
        <w:tc>
          <w:tcPr>
            <w:tcW w:w="1185" w:type="dxa"/>
            <w:tcBorders>
              <w:top w:val="nil"/>
              <w:left w:val="nil"/>
              <w:bottom w:val="single" w:sz="4" w:space="0" w:color="auto"/>
              <w:right w:val="single" w:sz="4" w:space="0" w:color="auto"/>
            </w:tcBorders>
            <w:shd w:val="clear" w:color="auto" w:fill="auto"/>
            <w:noWrap/>
            <w:vAlign w:val="bottom"/>
            <w:hideMark/>
          </w:tcPr>
          <w:p w14:paraId="324A400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487,68 </w:t>
            </w:r>
          </w:p>
        </w:tc>
        <w:tc>
          <w:tcPr>
            <w:tcW w:w="1058" w:type="dxa"/>
            <w:tcBorders>
              <w:top w:val="nil"/>
              <w:left w:val="nil"/>
              <w:bottom w:val="single" w:sz="4" w:space="0" w:color="auto"/>
              <w:right w:val="single" w:sz="4" w:space="0" w:color="auto"/>
            </w:tcBorders>
            <w:shd w:val="clear" w:color="auto" w:fill="auto"/>
            <w:noWrap/>
            <w:vAlign w:val="bottom"/>
            <w:hideMark/>
          </w:tcPr>
          <w:p w14:paraId="6586734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537,68 </w:t>
            </w:r>
          </w:p>
        </w:tc>
        <w:tc>
          <w:tcPr>
            <w:tcW w:w="940" w:type="dxa"/>
            <w:tcBorders>
              <w:top w:val="nil"/>
              <w:left w:val="nil"/>
              <w:bottom w:val="single" w:sz="4" w:space="0" w:color="auto"/>
              <w:right w:val="single" w:sz="4" w:space="0" w:color="auto"/>
            </w:tcBorders>
            <w:shd w:val="clear" w:color="auto" w:fill="auto"/>
            <w:noWrap/>
            <w:vAlign w:val="bottom"/>
            <w:hideMark/>
          </w:tcPr>
          <w:p w14:paraId="7202445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656,10 </w:t>
            </w:r>
          </w:p>
        </w:tc>
        <w:tc>
          <w:tcPr>
            <w:tcW w:w="1294" w:type="dxa"/>
            <w:tcBorders>
              <w:top w:val="nil"/>
              <w:left w:val="nil"/>
              <w:bottom w:val="single" w:sz="4" w:space="0" w:color="auto"/>
              <w:right w:val="single" w:sz="4" w:space="0" w:color="auto"/>
            </w:tcBorders>
            <w:shd w:val="clear" w:color="auto" w:fill="auto"/>
            <w:noWrap/>
            <w:vAlign w:val="bottom"/>
            <w:hideMark/>
          </w:tcPr>
          <w:p w14:paraId="5C05732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7.873,18 </w:t>
            </w:r>
          </w:p>
        </w:tc>
      </w:tr>
      <w:tr w:rsidR="00B307DB" w:rsidRPr="00977C8B" w14:paraId="7A90E21B" w14:textId="77777777" w:rsidTr="00B307DB">
        <w:trPr>
          <w:trHeight w:val="276"/>
        </w:trPr>
        <w:tc>
          <w:tcPr>
            <w:tcW w:w="690" w:type="dxa"/>
            <w:tcBorders>
              <w:top w:val="nil"/>
              <w:left w:val="single" w:sz="4" w:space="0" w:color="auto"/>
              <w:bottom w:val="single" w:sz="4" w:space="0" w:color="auto"/>
              <w:right w:val="single" w:sz="4" w:space="0" w:color="auto"/>
            </w:tcBorders>
            <w:shd w:val="clear" w:color="FFFFCC" w:fill="FFFFFF"/>
            <w:vAlign w:val="center"/>
            <w:hideMark/>
          </w:tcPr>
          <w:p w14:paraId="2FC446AE"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1.1.25</w:t>
            </w:r>
          </w:p>
        </w:tc>
        <w:tc>
          <w:tcPr>
            <w:tcW w:w="1809" w:type="dxa"/>
            <w:tcBorders>
              <w:top w:val="nil"/>
              <w:left w:val="nil"/>
              <w:bottom w:val="single" w:sz="4" w:space="0" w:color="auto"/>
              <w:right w:val="single" w:sz="4" w:space="0" w:color="auto"/>
            </w:tcBorders>
            <w:shd w:val="clear" w:color="auto" w:fill="auto"/>
            <w:vAlign w:val="center"/>
            <w:hideMark/>
          </w:tcPr>
          <w:p w14:paraId="17D83D3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Portal institucional</w:t>
            </w:r>
          </w:p>
        </w:tc>
        <w:tc>
          <w:tcPr>
            <w:tcW w:w="529" w:type="dxa"/>
            <w:tcBorders>
              <w:top w:val="nil"/>
              <w:left w:val="nil"/>
              <w:bottom w:val="single" w:sz="4" w:space="0" w:color="auto"/>
              <w:right w:val="single" w:sz="4" w:space="0" w:color="auto"/>
            </w:tcBorders>
            <w:shd w:val="clear" w:color="auto" w:fill="auto"/>
            <w:vAlign w:val="center"/>
            <w:hideMark/>
          </w:tcPr>
          <w:p w14:paraId="5DB1C6DD"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0827029A"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5B9B7A2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463,49 </w:t>
            </w:r>
          </w:p>
        </w:tc>
        <w:tc>
          <w:tcPr>
            <w:tcW w:w="1563" w:type="dxa"/>
            <w:tcBorders>
              <w:top w:val="nil"/>
              <w:left w:val="nil"/>
              <w:bottom w:val="single" w:sz="4" w:space="0" w:color="auto"/>
              <w:right w:val="single" w:sz="4" w:space="0" w:color="auto"/>
            </w:tcBorders>
            <w:shd w:val="clear" w:color="auto" w:fill="auto"/>
            <w:noWrap/>
            <w:vAlign w:val="bottom"/>
            <w:hideMark/>
          </w:tcPr>
          <w:p w14:paraId="76AA0A7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45FC74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196CBF0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687,00 </w:t>
            </w:r>
          </w:p>
        </w:tc>
        <w:tc>
          <w:tcPr>
            <w:tcW w:w="1185" w:type="dxa"/>
            <w:tcBorders>
              <w:top w:val="nil"/>
              <w:left w:val="nil"/>
              <w:bottom w:val="single" w:sz="4" w:space="0" w:color="auto"/>
              <w:right w:val="single" w:sz="4" w:space="0" w:color="auto"/>
            </w:tcBorders>
            <w:shd w:val="clear" w:color="auto" w:fill="auto"/>
            <w:noWrap/>
            <w:vAlign w:val="bottom"/>
            <w:hideMark/>
          </w:tcPr>
          <w:p w14:paraId="7BE9D12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4099BE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579,53 </w:t>
            </w:r>
          </w:p>
        </w:tc>
        <w:tc>
          <w:tcPr>
            <w:tcW w:w="940" w:type="dxa"/>
            <w:tcBorders>
              <w:top w:val="nil"/>
              <w:left w:val="nil"/>
              <w:bottom w:val="single" w:sz="4" w:space="0" w:color="auto"/>
              <w:right w:val="single" w:sz="4" w:space="0" w:color="auto"/>
            </w:tcBorders>
            <w:shd w:val="clear" w:color="auto" w:fill="auto"/>
            <w:noWrap/>
            <w:vAlign w:val="bottom"/>
            <w:hideMark/>
          </w:tcPr>
          <w:p w14:paraId="0FB006D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576,67 </w:t>
            </w:r>
          </w:p>
        </w:tc>
        <w:tc>
          <w:tcPr>
            <w:tcW w:w="1294" w:type="dxa"/>
            <w:tcBorders>
              <w:top w:val="nil"/>
              <w:left w:val="nil"/>
              <w:bottom w:val="single" w:sz="4" w:space="0" w:color="auto"/>
              <w:right w:val="single" w:sz="4" w:space="0" w:color="auto"/>
            </w:tcBorders>
            <w:shd w:val="clear" w:color="auto" w:fill="auto"/>
            <w:noWrap/>
            <w:vAlign w:val="bottom"/>
            <w:hideMark/>
          </w:tcPr>
          <w:p w14:paraId="6F03A9A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6.920,08 </w:t>
            </w:r>
          </w:p>
        </w:tc>
      </w:tr>
      <w:tr w:rsidR="00B307DB" w:rsidRPr="00977C8B" w14:paraId="08E91351"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33F0FAF"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1.1.26</w:t>
            </w:r>
          </w:p>
        </w:tc>
        <w:tc>
          <w:tcPr>
            <w:tcW w:w="1809" w:type="dxa"/>
            <w:tcBorders>
              <w:top w:val="nil"/>
              <w:left w:val="nil"/>
              <w:bottom w:val="single" w:sz="4" w:space="0" w:color="auto"/>
              <w:right w:val="single" w:sz="4" w:space="0" w:color="auto"/>
            </w:tcBorders>
            <w:shd w:val="clear" w:color="auto" w:fill="auto"/>
            <w:vAlign w:val="center"/>
            <w:hideMark/>
          </w:tcPr>
          <w:p w14:paraId="4549796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Nota Fiscal Eletrônica</w:t>
            </w:r>
          </w:p>
        </w:tc>
        <w:tc>
          <w:tcPr>
            <w:tcW w:w="529" w:type="dxa"/>
            <w:tcBorders>
              <w:top w:val="nil"/>
              <w:left w:val="nil"/>
              <w:bottom w:val="single" w:sz="4" w:space="0" w:color="auto"/>
              <w:right w:val="single" w:sz="4" w:space="0" w:color="auto"/>
            </w:tcBorders>
            <w:shd w:val="clear" w:color="auto" w:fill="auto"/>
            <w:vAlign w:val="center"/>
            <w:hideMark/>
          </w:tcPr>
          <w:p w14:paraId="2EC238AF"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6C055F1F"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251F286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1.923,69 </w:t>
            </w:r>
          </w:p>
        </w:tc>
        <w:tc>
          <w:tcPr>
            <w:tcW w:w="1563" w:type="dxa"/>
            <w:tcBorders>
              <w:top w:val="nil"/>
              <w:left w:val="nil"/>
              <w:bottom w:val="single" w:sz="4" w:space="0" w:color="auto"/>
              <w:right w:val="single" w:sz="4" w:space="0" w:color="auto"/>
            </w:tcBorders>
            <w:shd w:val="clear" w:color="auto" w:fill="auto"/>
            <w:noWrap/>
            <w:vAlign w:val="bottom"/>
            <w:hideMark/>
          </w:tcPr>
          <w:p w14:paraId="375D4F2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780,00 </w:t>
            </w:r>
          </w:p>
        </w:tc>
        <w:tc>
          <w:tcPr>
            <w:tcW w:w="1111" w:type="dxa"/>
            <w:tcBorders>
              <w:top w:val="nil"/>
              <w:left w:val="nil"/>
              <w:bottom w:val="single" w:sz="4" w:space="0" w:color="auto"/>
              <w:right w:val="single" w:sz="4" w:space="0" w:color="auto"/>
            </w:tcBorders>
            <w:shd w:val="clear" w:color="auto" w:fill="auto"/>
            <w:noWrap/>
            <w:vAlign w:val="bottom"/>
            <w:hideMark/>
          </w:tcPr>
          <w:p w14:paraId="11B3832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4.515,00 </w:t>
            </w:r>
          </w:p>
        </w:tc>
        <w:tc>
          <w:tcPr>
            <w:tcW w:w="1233" w:type="dxa"/>
            <w:tcBorders>
              <w:top w:val="nil"/>
              <w:left w:val="nil"/>
              <w:bottom w:val="single" w:sz="4" w:space="0" w:color="auto"/>
              <w:right w:val="single" w:sz="4" w:space="0" w:color="auto"/>
            </w:tcBorders>
            <w:shd w:val="clear" w:color="auto" w:fill="auto"/>
            <w:noWrap/>
            <w:vAlign w:val="bottom"/>
            <w:hideMark/>
          </w:tcPr>
          <w:p w14:paraId="2EBB818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366,00 </w:t>
            </w:r>
          </w:p>
        </w:tc>
        <w:tc>
          <w:tcPr>
            <w:tcW w:w="1185" w:type="dxa"/>
            <w:tcBorders>
              <w:top w:val="nil"/>
              <w:left w:val="nil"/>
              <w:bottom w:val="single" w:sz="4" w:space="0" w:color="auto"/>
              <w:right w:val="single" w:sz="4" w:space="0" w:color="auto"/>
            </w:tcBorders>
            <w:shd w:val="clear" w:color="auto" w:fill="auto"/>
            <w:noWrap/>
            <w:vAlign w:val="bottom"/>
            <w:hideMark/>
          </w:tcPr>
          <w:p w14:paraId="6A6401E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753,60 </w:t>
            </w:r>
          </w:p>
        </w:tc>
        <w:tc>
          <w:tcPr>
            <w:tcW w:w="1058" w:type="dxa"/>
            <w:tcBorders>
              <w:top w:val="nil"/>
              <w:left w:val="nil"/>
              <w:bottom w:val="single" w:sz="4" w:space="0" w:color="auto"/>
              <w:right w:val="single" w:sz="4" w:space="0" w:color="auto"/>
            </w:tcBorders>
            <w:shd w:val="clear" w:color="auto" w:fill="auto"/>
            <w:noWrap/>
            <w:vAlign w:val="bottom"/>
            <w:hideMark/>
          </w:tcPr>
          <w:p w14:paraId="19A93B0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1.700,42 </w:t>
            </w:r>
          </w:p>
        </w:tc>
        <w:tc>
          <w:tcPr>
            <w:tcW w:w="940" w:type="dxa"/>
            <w:tcBorders>
              <w:top w:val="nil"/>
              <w:left w:val="nil"/>
              <w:bottom w:val="single" w:sz="4" w:space="0" w:color="auto"/>
              <w:right w:val="single" w:sz="4" w:space="0" w:color="auto"/>
            </w:tcBorders>
            <w:shd w:val="clear" w:color="auto" w:fill="auto"/>
            <w:noWrap/>
            <w:vAlign w:val="bottom"/>
            <w:hideMark/>
          </w:tcPr>
          <w:p w14:paraId="0C49718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1.673,12 </w:t>
            </w:r>
          </w:p>
        </w:tc>
        <w:tc>
          <w:tcPr>
            <w:tcW w:w="1294" w:type="dxa"/>
            <w:tcBorders>
              <w:top w:val="nil"/>
              <w:left w:val="nil"/>
              <w:bottom w:val="single" w:sz="4" w:space="0" w:color="auto"/>
              <w:right w:val="single" w:sz="4" w:space="0" w:color="auto"/>
            </w:tcBorders>
            <w:shd w:val="clear" w:color="auto" w:fill="auto"/>
            <w:noWrap/>
            <w:vAlign w:val="bottom"/>
            <w:hideMark/>
          </w:tcPr>
          <w:p w14:paraId="78950B8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20.077,42 </w:t>
            </w:r>
          </w:p>
        </w:tc>
      </w:tr>
      <w:tr w:rsidR="00B307DB" w:rsidRPr="00977C8B" w14:paraId="0E175690"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096BDE6"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1.1.27</w:t>
            </w:r>
          </w:p>
        </w:tc>
        <w:tc>
          <w:tcPr>
            <w:tcW w:w="1809" w:type="dxa"/>
            <w:tcBorders>
              <w:top w:val="nil"/>
              <w:left w:val="nil"/>
              <w:bottom w:val="single" w:sz="4" w:space="0" w:color="auto"/>
              <w:right w:val="single" w:sz="4" w:space="0" w:color="auto"/>
            </w:tcBorders>
            <w:shd w:val="clear" w:color="auto" w:fill="auto"/>
            <w:vAlign w:val="center"/>
            <w:hideMark/>
          </w:tcPr>
          <w:p w14:paraId="6200189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Escrita Fiscal</w:t>
            </w:r>
          </w:p>
        </w:tc>
        <w:tc>
          <w:tcPr>
            <w:tcW w:w="529" w:type="dxa"/>
            <w:tcBorders>
              <w:top w:val="nil"/>
              <w:left w:val="nil"/>
              <w:bottom w:val="single" w:sz="4" w:space="0" w:color="auto"/>
              <w:right w:val="single" w:sz="4" w:space="0" w:color="auto"/>
            </w:tcBorders>
            <w:shd w:val="clear" w:color="auto" w:fill="auto"/>
            <w:vAlign w:val="center"/>
            <w:hideMark/>
          </w:tcPr>
          <w:p w14:paraId="38BC3265"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26E628DB"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66BA1D1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698,60 </w:t>
            </w:r>
          </w:p>
        </w:tc>
        <w:tc>
          <w:tcPr>
            <w:tcW w:w="1563" w:type="dxa"/>
            <w:tcBorders>
              <w:top w:val="nil"/>
              <w:left w:val="nil"/>
              <w:bottom w:val="single" w:sz="4" w:space="0" w:color="auto"/>
              <w:right w:val="single" w:sz="4" w:space="0" w:color="auto"/>
            </w:tcBorders>
            <w:shd w:val="clear" w:color="auto" w:fill="auto"/>
            <w:noWrap/>
            <w:vAlign w:val="bottom"/>
            <w:hideMark/>
          </w:tcPr>
          <w:p w14:paraId="0CFA084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F1BF28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1.511,00 </w:t>
            </w:r>
          </w:p>
        </w:tc>
        <w:tc>
          <w:tcPr>
            <w:tcW w:w="1233" w:type="dxa"/>
            <w:tcBorders>
              <w:top w:val="nil"/>
              <w:left w:val="nil"/>
              <w:bottom w:val="single" w:sz="4" w:space="0" w:color="auto"/>
              <w:right w:val="single" w:sz="4" w:space="0" w:color="auto"/>
            </w:tcBorders>
            <w:shd w:val="clear" w:color="auto" w:fill="auto"/>
            <w:noWrap/>
            <w:vAlign w:val="bottom"/>
            <w:hideMark/>
          </w:tcPr>
          <w:p w14:paraId="1E34902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18B9B2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243,84 </w:t>
            </w:r>
          </w:p>
        </w:tc>
        <w:tc>
          <w:tcPr>
            <w:tcW w:w="1058" w:type="dxa"/>
            <w:tcBorders>
              <w:top w:val="nil"/>
              <w:left w:val="nil"/>
              <w:bottom w:val="single" w:sz="4" w:space="0" w:color="auto"/>
              <w:right w:val="single" w:sz="4" w:space="0" w:color="auto"/>
            </w:tcBorders>
            <w:shd w:val="clear" w:color="auto" w:fill="auto"/>
            <w:noWrap/>
            <w:vAlign w:val="bottom"/>
            <w:hideMark/>
          </w:tcPr>
          <w:p w14:paraId="43CC500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102812F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817,81 </w:t>
            </w:r>
          </w:p>
        </w:tc>
        <w:tc>
          <w:tcPr>
            <w:tcW w:w="1294" w:type="dxa"/>
            <w:tcBorders>
              <w:top w:val="nil"/>
              <w:left w:val="nil"/>
              <w:bottom w:val="single" w:sz="4" w:space="0" w:color="auto"/>
              <w:right w:val="single" w:sz="4" w:space="0" w:color="auto"/>
            </w:tcBorders>
            <w:shd w:val="clear" w:color="auto" w:fill="auto"/>
            <w:noWrap/>
            <w:vAlign w:val="bottom"/>
            <w:hideMark/>
          </w:tcPr>
          <w:p w14:paraId="6C6C341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9.813,76 </w:t>
            </w:r>
          </w:p>
        </w:tc>
      </w:tr>
      <w:tr w:rsidR="00B307DB" w:rsidRPr="00977C8B" w14:paraId="5F40178E"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0607DB2"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1.1.28</w:t>
            </w:r>
          </w:p>
        </w:tc>
        <w:tc>
          <w:tcPr>
            <w:tcW w:w="1809" w:type="dxa"/>
            <w:tcBorders>
              <w:top w:val="nil"/>
              <w:left w:val="nil"/>
              <w:bottom w:val="single" w:sz="4" w:space="0" w:color="auto"/>
              <w:right w:val="single" w:sz="4" w:space="0" w:color="auto"/>
            </w:tcBorders>
            <w:shd w:val="clear" w:color="auto" w:fill="auto"/>
            <w:vAlign w:val="center"/>
            <w:hideMark/>
          </w:tcPr>
          <w:p w14:paraId="00C2F60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Simples Nacional</w:t>
            </w:r>
          </w:p>
        </w:tc>
        <w:tc>
          <w:tcPr>
            <w:tcW w:w="529" w:type="dxa"/>
            <w:tcBorders>
              <w:top w:val="nil"/>
              <w:left w:val="nil"/>
              <w:bottom w:val="single" w:sz="4" w:space="0" w:color="auto"/>
              <w:right w:val="single" w:sz="4" w:space="0" w:color="auto"/>
            </w:tcBorders>
            <w:shd w:val="clear" w:color="auto" w:fill="auto"/>
            <w:vAlign w:val="center"/>
            <w:hideMark/>
          </w:tcPr>
          <w:p w14:paraId="52650E48"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09E1D2A7"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375AFE3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545,61 </w:t>
            </w:r>
          </w:p>
        </w:tc>
        <w:tc>
          <w:tcPr>
            <w:tcW w:w="1563" w:type="dxa"/>
            <w:tcBorders>
              <w:top w:val="nil"/>
              <w:left w:val="nil"/>
              <w:bottom w:val="single" w:sz="4" w:space="0" w:color="auto"/>
              <w:right w:val="single" w:sz="4" w:space="0" w:color="auto"/>
            </w:tcBorders>
            <w:shd w:val="clear" w:color="auto" w:fill="auto"/>
            <w:noWrap/>
            <w:vAlign w:val="bottom"/>
            <w:hideMark/>
          </w:tcPr>
          <w:p w14:paraId="38D7BB5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73A719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711,00 </w:t>
            </w:r>
          </w:p>
        </w:tc>
        <w:tc>
          <w:tcPr>
            <w:tcW w:w="1233" w:type="dxa"/>
            <w:tcBorders>
              <w:top w:val="nil"/>
              <w:left w:val="nil"/>
              <w:bottom w:val="single" w:sz="4" w:space="0" w:color="auto"/>
              <w:right w:val="single" w:sz="4" w:space="0" w:color="auto"/>
            </w:tcBorders>
            <w:shd w:val="clear" w:color="auto" w:fill="auto"/>
            <w:noWrap/>
            <w:vAlign w:val="bottom"/>
            <w:hideMark/>
          </w:tcPr>
          <w:p w14:paraId="2823784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3CB1DC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216,00 </w:t>
            </w:r>
          </w:p>
        </w:tc>
        <w:tc>
          <w:tcPr>
            <w:tcW w:w="1058" w:type="dxa"/>
            <w:tcBorders>
              <w:top w:val="nil"/>
              <w:left w:val="nil"/>
              <w:bottom w:val="single" w:sz="4" w:space="0" w:color="auto"/>
              <w:right w:val="single" w:sz="4" w:space="0" w:color="auto"/>
            </w:tcBorders>
            <w:shd w:val="clear" w:color="auto" w:fill="auto"/>
            <w:noWrap/>
            <w:vAlign w:val="bottom"/>
            <w:hideMark/>
          </w:tcPr>
          <w:p w14:paraId="524151A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EE633B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490,87 </w:t>
            </w:r>
          </w:p>
        </w:tc>
        <w:tc>
          <w:tcPr>
            <w:tcW w:w="1294" w:type="dxa"/>
            <w:tcBorders>
              <w:top w:val="nil"/>
              <w:left w:val="nil"/>
              <w:bottom w:val="single" w:sz="4" w:space="0" w:color="auto"/>
              <w:right w:val="single" w:sz="4" w:space="0" w:color="auto"/>
            </w:tcBorders>
            <w:shd w:val="clear" w:color="auto" w:fill="auto"/>
            <w:noWrap/>
            <w:vAlign w:val="bottom"/>
            <w:hideMark/>
          </w:tcPr>
          <w:p w14:paraId="505B726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5.890,44 </w:t>
            </w:r>
          </w:p>
        </w:tc>
      </w:tr>
      <w:tr w:rsidR="00B307DB" w:rsidRPr="00977C8B" w14:paraId="01237DC0"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8D48963"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1.1.29</w:t>
            </w:r>
          </w:p>
        </w:tc>
        <w:tc>
          <w:tcPr>
            <w:tcW w:w="1809" w:type="dxa"/>
            <w:tcBorders>
              <w:top w:val="nil"/>
              <w:left w:val="nil"/>
              <w:bottom w:val="single" w:sz="4" w:space="0" w:color="auto"/>
              <w:right w:val="single" w:sz="4" w:space="0" w:color="auto"/>
            </w:tcBorders>
            <w:shd w:val="clear" w:color="auto" w:fill="auto"/>
            <w:vAlign w:val="center"/>
            <w:hideMark/>
          </w:tcPr>
          <w:p w14:paraId="4CA77CE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Fiscalização fazendária</w:t>
            </w:r>
          </w:p>
        </w:tc>
        <w:tc>
          <w:tcPr>
            <w:tcW w:w="529" w:type="dxa"/>
            <w:tcBorders>
              <w:top w:val="nil"/>
              <w:left w:val="nil"/>
              <w:bottom w:val="single" w:sz="4" w:space="0" w:color="auto"/>
              <w:right w:val="single" w:sz="4" w:space="0" w:color="auto"/>
            </w:tcBorders>
            <w:shd w:val="clear" w:color="auto" w:fill="auto"/>
            <w:vAlign w:val="center"/>
            <w:hideMark/>
          </w:tcPr>
          <w:p w14:paraId="506F468A"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57F204CE"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AAF498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228,37 </w:t>
            </w:r>
          </w:p>
        </w:tc>
        <w:tc>
          <w:tcPr>
            <w:tcW w:w="1563" w:type="dxa"/>
            <w:tcBorders>
              <w:top w:val="nil"/>
              <w:left w:val="nil"/>
              <w:bottom w:val="single" w:sz="4" w:space="0" w:color="auto"/>
              <w:right w:val="single" w:sz="4" w:space="0" w:color="auto"/>
            </w:tcBorders>
            <w:shd w:val="clear" w:color="auto" w:fill="auto"/>
            <w:noWrap/>
            <w:vAlign w:val="bottom"/>
            <w:hideMark/>
          </w:tcPr>
          <w:p w14:paraId="31A468B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0B5299B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916,00 </w:t>
            </w:r>
          </w:p>
        </w:tc>
        <w:tc>
          <w:tcPr>
            <w:tcW w:w="1233" w:type="dxa"/>
            <w:tcBorders>
              <w:top w:val="nil"/>
              <w:left w:val="nil"/>
              <w:bottom w:val="single" w:sz="4" w:space="0" w:color="auto"/>
              <w:right w:val="single" w:sz="4" w:space="0" w:color="auto"/>
            </w:tcBorders>
            <w:shd w:val="clear" w:color="auto" w:fill="auto"/>
            <w:noWrap/>
            <w:vAlign w:val="bottom"/>
            <w:hideMark/>
          </w:tcPr>
          <w:p w14:paraId="7ADEC0E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E9BB1E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202,56 </w:t>
            </w:r>
          </w:p>
        </w:tc>
        <w:tc>
          <w:tcPr>
            <w:tcW w:w="1058" w:type="dxa"/>
            <w:tcBorders>
              <w:top w:val="nil"/>
              <w:left w:val="nil"/>
              <w:bottom w:val="single" w:sz="4" w:space="0" w:color="auto"/>
              <w:right w:val="single" w:sz="4" w:space="0" w:color="auto"/>
            </w:tcBorders>
            <w:shd w:val="clear" w:color="auto" w:fill="auto"/>
            <w:noWrap/>
            <w:vAlign w:val="bottom"/>
            <w:hideMark/>
          </w:tcPr>
          <w:p w14:paraId="46044C6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2DF4A7D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448,98 </w:t>
            </w:r>
          </w:p>
        </w:tc>
        <w:tc>
          <w:tcPr>
            <w:tcW w:w="1294" w:type="dxa"/>
            <w:tcBorders>
              <w:top w:val="nil"/>
              <w:left w:val="nil"/>
              <w:bottom w:val="single" w:sz="4" w:space="0" w:color="auto"/>
              <w:right w:val="single" w:sz="4" w:space="0" w:color="auto"/>
            </w:tcBorders>
            <w:shd w:val="clear" w:color="auto" w:fill="auto"/>
            <w:noWrap/>
            <w:vAlign w:val="bottom"/>
            <w:hideMark/>
          </w:tcPr>
          <w:p w14:paraId="1DD7F6C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5.387,72 </w:t>
            </w:r>
          </w:p>
        </w:tc>
      </w:tr>
      <w:tr w:rsidR="00B307DB" w:rsidRPr="00977C8B" w14:paraId="25C2E40B"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99BE479"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1.1.30</w:t>
            </w:r>
          </w:p>
        </w:tc>
        <w:tc>
          <w:tcPr>
            <w:tcW w:w="1809" w:type="dxa"/>
            <w:tcBorders>
              <w:top w:val="nil"/>
              <w:left w:val="nil"/>
              <w:bottom w:val="single" w:sz="4" w:space="0" w:color="auto"/>
              <w:right w:val="single" w:sz="4" w:space="0" w:color="auto"/>
            </w:tcBorders>
            <w:shd w:val="clear" w:color="auto" w:fill="auto"/>
            <w:vAlign w:val="center"/>
            <w:hideMark/>
          </w:tcPr>
          <w:p w14:paraId="7C98D8D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Agricultura</w:t>
            </w:r>
          </w:p>
        </w:tc>
        <w:tc>
          <w:tcPr>
            <w:tcW w:w="529" w:type="dxa"/>
            <w:tcBorders>
              <w:top w:val="nil"/>
              <w:left w:val="nil"/>
              <w:bottom w:val="single" w:sz="4" w:space="0" w:color="auto"/>
              <w:right w:val="single" w:sz="4" w:space="0" w:color="auto"/>
            </w:tcBorders>
            <w:shd w:val="clear" w:color="auto" w:fill="auto"/>
            <w:vAlign w:val="center"/>
            <w:hideMark/>
          </w:tcPr>
          <w:p w14:paraId="0EC4729A"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12</w:t>
            </w:r>
          </w:p>
        </w:tc>
        <w:tc>
          <w:tcPr>
            <w:tcW w:w="818" w:type="dxa"/>
            <w:tcBorders>
              <w:top w:val="nil"/>
              <w:left w:val="nil"/>
              <w:bottom w:val="single" w:sz="4" w:space="0" w:color="auto"/>
              <w:right w:val="single" w:sz="4" w:space="0" w:color="auto"/>
            </w:tcBorders>
            <w:shd w:val="clear" w:color="auto" w:fill="auto"/>
            <w:vAlign w:val="center"/>
            <w:hideMark/>
          </w:tcPr>
          <w:p w14:paraId="216D2908" w14:textId="77777777" w:rsidR="00B307DB" w:rsidRPr="00977C8B" w:rsidRDefault="00B307DB" w:rsidP="00B307DB">
            <w:pPr>
              <w:spacing w:after="0" w:line="240" w:lineRule="auto"/>
              <w:jc w:val="center"/>
              <w:rPr>
                <w:rFonts w:ascii="Times New Roman" w:hAnsi="Times New Roman" w:cs="Times New Roman"/>
                <w:color w:val="000000"/>
                <w:sz w:val="20"/>
              </w:rPr>
            </w:pPr>
            <w:r w:rsidRPr="00977C8B">
              <w:rPr>
                <w:rFonts w:ascii="Times New Roman" w:hAnsi="Times New Roman" w:cs="Times New Roman"/>
                <w:color w:val="000000"/>
                <w:sz w:val="2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73CBDC6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799,85 </w:t>
            </w:r>
          </w:p>
        </w:tc>
        <w:tc>
          <w:tcPr>
            <w:tcW w:w="1563" w:type="dxa"/>
            <w:tcBorders>
              <w:top w:val="nil"/>
              <w:left w:val="nil"/>
              <w:bottom w:val="single" w:sz="4" w:space="0" w:color="auto"/>
              <w:right w:val="single" w:sz="4" w:space="0" w:color="auto"/>
            </w:tcBorders>
            <w:shd w:val="clear" w:color="auto" w:fill="auto"/>
            <w:noWrap/>
            <w:vAlign w:val="bottom"/>
            <w:hideMark/>
          </w:tcPr>
          <w:p w14:paraId="6ED2C2E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68C7C1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233" w:type="dxa"/>
            <w:tcBorders>
              <w:top w:val="nil"/>
              <w:left w:val="nil"/>
              <w:bottom w:val="single" w:sz="4" w:space="0" w:color="auto"/>
              <w:right w:val="single" w:sz="4" w:space="0" w:color="auto"/>
            </w:tcBorders>
            <w:shd w:val="clear" w:color="auto" w:fill="auto"/>
            <w:noWrap/>
            <w:vAlign w:val="bottom"/>
            <w:hideMark/>
          </w:tcPr>
          <w:p w14:paraId="7680C27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4B20A3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1058" w:type="dxa"/>
            <w:tcBorders>
              <w:top w:val="nil"/>
              <w:left w:val="nil"/>
              <w:bottom w:val="single" w:sz="4" w:space="0" w:color="auto"/>
              <w:right w:val="single" w:sz="4" w:space="0" w:color="auto"/>
            </w:tcBorders>
            <w:shd w:val="clear" w:color="auto" w:fill="auto"/>
            <w:noWrap/>
            <w:vAlign w:val="bottom"/>
            <w:hideMark/>
          </w:tcPr>
          <w:p w14:paraId="7D3F449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7F370F7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799,85 </w:t>
            </w:r>
          </w:p>
        </w:tc>
        <w:tc>
          <w:tcPr>
            <w:tcW w:w="1294" w:type="dxa"/>
            <w:tcBorders>
              <w:top w:val="nil"/>
              <w:left w:val="nil"/>
              <w:bottom w:val="single" w:sz="4" w:space="0" w:color="auto"/>
              <w:right w:val="single" w:sz="4" w:space="0" w:color="auto"/>
            </w:tcBorders>
            <w:shd w:val="clear" w:color="auto" w:fill="auto"/>
            <w:noWrap/>
            <w:vAlign w:val="bottom"/>
            <w:hideMark/>
          </w:tcPr>
          <w:p w14:paraId="7E588A6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9.598,20 </w:t>
            </w:r>
          </w:p>
        </w:tc>
      </w:tr>
      <w:tr w:rsidR="00B307DB" w:rsidRPr="00977C8B" w14:paraId="28FA54A4" w14:textId="77777777" w:rsidTr="00B307DB">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0B34440" w14:textId="77777777" w:rsidR="00B307DB" w:rsidRPr="00977C8B" w:rsidRDefault="00B307DB" w:rsidP="00B307D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1.2</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384E2551" w14:textId="77777777" w:rsidR="00B307DB" w:rsidRPr="00977C8B" w:rsidRDefault="00B307DB" w:rsidP="00B307D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FUNDO MUNICIPAL DE SAÚDE</w:t>
            </w:r>
          </w:p>
        </w:tc>
      </w:tr>
      <w:tr w:rsidR="00B307DB" w:rsidRPr="00977C8B" w14:paraId="64754039"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68DE49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1.2.1</w:t>
            </w:r>
          </w:p>
        </w:tc>
        <w:tc>
          <w:tcPr>
            <w:tcW w:w="1809" w:type="dxa"/>
            <w:tcBorders>
              <w:top w:val="nil"/>
              <w:left w:val="nil"/>
              <w:bottom w:val="single" w:sz="4" w:space="0" w:color="auto"/>
              <w:right w:val="single" w:sz="4" w:space="0" w:color="auto"/>
            </w:tcBorders>
            <w:shd w:val="clear" w:color="auto" w:fill="auto"/>
            <w:vAlign w:val="center"/>
            <w:hideMark/>
          </w:tcPr>
          <w:p w14:paraId="2C87DDA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Planejamento e orçamento</w:t>
            </w:r>
          </w:p>
        </w:tc>
        <w:tc>
          <w:tcPr>
            <w:tcW w:w="529" w:type="dxa"/>
            <w:tcBorders>
              <w:top w:val="nil"/>
              <w:left w:val="nil"/>
              <w:bottom w:val="single" w:sz="4" w:space="0" w:color="auto"/>
              <w:right w:val="single" w:sz="4" w:space="0" w:color="auto"/>
            </w:tcBorders>
            <w:shd w:val="clear" w:color="auto" w:fill="auto"/>
            <w:vAlign w:val="center"/>
            <w:hideMark/>
          </w:tcPr>
          <w:p w14:paraId="734F5D94"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46C5F804"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33C8980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205,00 </w:t>
            </w:r>
          </w:p>
        </w:tc>
        <w:tc>
          <w:tcPr>
            <w:tcW w:w="1563" w:type="dxa"/>
            <w:tcBorders>
              <w:top w:val="nil"/>
              <w:left w:val="nil"/>
              <w:bottom w:val="single" w:sz="4" w:space="0" w:color="auto"/>
              <w:right w:val="single" w:sz="4" w:space="0" w:color="auto"/>
            </w:tcBorders>
            <w:shd w:val="clear" w:color="auto" w:fill="auto"/>
            <w:noWrap/>
            <w:vAlign w:val="bottom"/>
            <w:hideMark/>
          </w:tcPr>
          <w:p w14:paraId="317D37E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BD79B2D"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131,00 </w:t>
            </w:r>
          </w:p>
        </w:tc>
        <w:tc>
          <w:tcPr>
            <w:tcW w:w="1233" w:type="dxa"/>
            <w:tcBorders>
              <w:top w:val="nil"/>
              <w:left w:val="nil"/>
              <w:bottom w:val="single" w:sz="4" w:space="0" w:color="auto"/>
              <w:right w:val="single" w:sz="4" w:space="0" w:color="auto"/>
            </w:tcBorders>
            <w:shd w:val="clear" w:color="auto" w:fill="auto"/>
            <w:noWrap/>
            <w:vAlign w:val="bottom"/>
            <w:hideMark/>
          </w:tcPr>
          <w:p w14:paraId="0968CE8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14C838A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111,36 </w:t>
            </w:r>
          </w:p>
        </w:tc>
        <w:tc>
          <w:tcPr>
            <w:tcW w:w="1058" w:type="dxa"/>
            <w:tcBorders>
              <w:top w:val="nil"/>
              <w:left w:val="nil"/>
              <w:bottom w:val="single" w:sz="4" w:space="0" w:color="auto"/>
              <w:right w:val="single" w:sz="4" w:space="0" w:color="auto"/>
            </w:tcBorders>
            <w:shd w:val="clear" w:color="auto" w:fill="auto"/>
            <w:noWrap/>
            <w:vAlign w:val="bottom"/>
            <w:hideMark/>
          </w:tcPr>
          <w:p w14:paraId="60326B8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9542CD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149,12 </w:t>
            </w:r>
          </w:p>
        </w:tc>
        <w:tc>
          <w:tcPr>
            <w:tcW w:w="1294" w:type="dxa"/>
            <w:tcBorders>
              <w:top w:val="nil"/>
              <w:left w:val="nil"/>
              <w:bottom w:val="single" w:sz="4" w:space="0" w:color="auto"/>
              <w:right w:val="single" w:sz="4" w:space="0" w:color="auto"/>
            </w:tcBorders>
            <w:shd w:val="clear" w:color="auto" w:fill="auto"/>
            <w:noWrap/>
            <w:vAlign w:val="bottom"/>
            <w:hideMark/>
          </w:tcPr>
          <w:p w14:paraId="7D48947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1.789,44 </w:t>
            </w:r>
          </w:p>
        </w:tc>
      </w:tr>
      <w:tr w:rsidR="00B307DB" w:rsidRPr="00977C8B" w14:paraId="06DB00FC"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12DA932"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1.2.2</w:t>
            </w:r>
          </w:p>
        </w:tc>
        <w:tc>
          <w:tcPr>
            <w:tcW w:w="1809" w:type="dxa"/>
            <w:tcBorders>
              <w:top w:val="nil"/>
              <w:left w:val="nil"/>
              <w:bottom w:val="single" w:sz="4" w:space="0" w:color="auto"/>
              <w:right w:val="single" w:sz="4" w:space="0" w:color="auto"/>
            </w:tcBorders>
            <w:shd w:val="clear" w:color="auto" w:fill="auto"/>
            <w:vAlign w:val="center"/>
            <w:hideMark/>
          </w:tcPr>
          <w:p w14:paraId="4FC09883"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contábil e financeira</w:t>
            </w:r>
          </w:p>
        </w:tc>
        <w:tc>
          <w:tcPr>
            <w:tcW w:w="529" w:type="dxa"/>
            <w:tcBorders>
              <w:top w:val="nil"/>
              <w:left w:val="nil"/>
              <w:bottom w:val="single" w:sz="4" w:space="0" w:color="auto"/>
              <w:right w:val="single" w:sz="4" w:space="0" w:color="auto"/>
            </w:tcBorders>
            <w:shd w:val="clear" w:color="auto" w:fill="auto"/>
            <w:vAlign w:val="center"/>
            <w:hideMark/>
          </w:tcPr>
          <w:p w14:paraId="2AA7C00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007E4A6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07F7EE1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493,00 </w:t>
            </w:r>
          </w:p>
        </w:tc>
        <w:tc>
          <w:tcPr>
            <w:tcW w:w="1563" w:type="dxa"/>
            <w:tcBorders>
              <w:top w:val="nil"/>
              <w:left w:val="nil"/>
              <w:bottom w:val="single" w:sz="4" w:space="0" w:color="auto"/>
              <w:right w:val="single" w:sz="4" w:space="0" w:color="auto"/>
            </w:tcBorders>
            <w:shd w:val="clear" w:color="auto" w:fill="auto"/>
            <w:noWrap/>
            <w:vAlign w:val="bottom"/>
            <w:hideMark/>
          </w:tcPr>
          <w:p w14:paraId="4D75981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3585E0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426,00 </w:t>
            </w:r>
          </w:p>
        </w:tc>
        <w:tc>
          <w:tcPr>
            <w:tcW w:w="1233" w:type="dxa"/>
            <w:tcBorders>
              <w:top w:val="nil"/>
              <w:left w:val="nil"/>
              <w:bottom w:val="single" w:sz="4" w:space="0" w:color="auto"/>
              <w:right w:val="single" w:sz="4" w:space="0" w:color="auto"/>
            </w:tcBorders>
            <w:shd w:val="clear" w:color="auto" w:fill="auto"/>
            <w:noWrap/>
            <w:vAlign w:val="bottom"/>
            <w:hideMark/>
          </w:tcPr>
          <w:p w14:paraId="601BB5B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450,00 </w:t>
            </w:r>
          </w:p>
        </w:tc>
        <w:tc>
          <w:tcPr>
            <w:tcW w:w="1185" w:type="dxa"/>
            <w:tcBorders>
              <w:top w:val="nil"/>
              <w:left w:val="nil"/>
              <w:bottom w:val="single" w:sz="4" w:space="0" w:color="auto"/>
              <w:right w:val="single" w:sz="4" w:space="0" w:color="auto"/>
            </w:tcBorders>
            <w:shd w:val="clear" w:color="auto" w:fill="auto"/>
            <w:noWrap/>
            <w:vAlign w:val="bottom"/>
            <w:hideMark/>
          </w:tcPr>
          <w:p w14:paraId="221612E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352,32 </w:t>
            </w:r>
          </w:p>
        </w:tc>
        <w:tc>
          <w:tcPr>
            <w:tcW w:w="1058" w:type="dxa"/>
            <w:tcBorders>
              <w:top w:val="nil"/>
              <w:left w:val="nil"/>
              <w:bottom w:val="single" w:sz="4" w:space="0" w:color="auto"/>
              <w:right w:val="single" w:sz="4" w:space="0" w:color="auto"/>
            </w:tcBorders>
            <w:shd w:val="clear" w:color="auto" w:fill="auto"/>
            <w:noWrap/>
            <w:vAlign w:val="bottom"/>
            <w:hideMark/>
          </w:tcPr>
          <w:p w14:paraId="43E00C5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5458EE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430,33 </w:t>
            </w:r>
          </w:p>
        </w:tc>
        <w:tc>
          <w:tcPr>
            <w:tcW w:w="1294" w:type="dxa"/>
            <w:tcBorders>
              <w:top w:val="nil"/>
              <w:left w:val="nil"/>
              <w:bottom w:val="single" w:sz="4" w:space="0" w:color="auto"/>
              <w:right w:val="single" w:sz="4" w:space="0" w:color="auto"/>
            </w:tcBorders>
            <w:shd w:val="clear" w:color="auto" w:fill="auto"/>
            <w:noWrap/>
            <w:vAlign w:val="bottom"/>
            <w:hideMark/>
          </w:tcPr>
          <w:p w14:paraId="58887AC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5.163,96 </w:t>
            </w:r>
          </w:p>
        </w:tc>
      </w:tr>
      <w:tr w:rsidR="00B307DB" w:rsidRPr="00977C8B" w14:paraId="17FCFE73"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AC16B1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1.2.3</w:t>
            </w:r>
          </w:p>
        </w:tc>
        <w:tc>
          <w:tcPr>
            <w:tcW w:w="1809" w:type="dxa"/>
            <w:tcBorders>
              <w:top w:val="nil"/>
              <w:left w:val="nil"/>
              <w:bottom w:val="single" w:sz="4" w:space="0" w:color="auto"/>
              <w:right w:val="single" w:sz="4" w:space="0" w:color="auto"/>
            </w:tcBorders>
            <w:shd w:val="clear" w:color="auto" w:fill="auto"/>
            <w:vAlign w:val="center"/>
            <w:hideMark/>
          </w:tcPr>
          <w:p w14:paraId="0936E76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de compras, licitações e contratos</w:t>
            </w:r>
          </w:p>
        </w:tc>
        <w:tc>
          <w:tcPr>
            <w:tcW w:w="529" w:type="dxa"/>
            <w:tcBorders>
              <w:top w:val="nil"/>
              <w:left w:val="nil"/>
              <w:bottom w:val="single" w:sz="4" w:space="0" w:color="auto"/>
              <w:right w:val="single" w:sz="4" w:space="0" w:color="auto"/>
            </w:tcBorders>
            <w:shd w:val="clear" w:color="auto" w:fill="auto"/>
            <w:vAlign w:val="center"/>
            <w:hideMark/>
          </w:tcPr>
          <w:p w14:paraId="1A58A9F9"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567D6E7A"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250420E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327,00 </w:t>
            </w:r>
          </w:p>
        </w:tc>
        <w:tc>
          <w:tcPr>
            <w:tcW w:w="1563" w:type="dxa"/>
            <w:tcBorders>
              <w:top w:val="nil"/>
              <w:left w:val="nil"/>
              <w:bottom w:val="single" w:sz="4" w:space="0" w:color="auto"/>
              <w:right w:val="single" w:sz="4" w:space="0" w:color="auto"/>
            </w:tcBorders>
            <w:shd w:val="clear" w:color="auto" w:fill="auto"/>
            <w:noWrap/>
            <w:vAlign w:val="bottom"/>
            <w:hideMark/>
          </w:tcPr>
          <w:p w14:paraId="2A6FFF7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5A72F4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397,00 </w:t>
            </w:r>
          </w:p>
        </w:tc>
        <w:tc>
          <w:tcPr>
            <w:tcW w:w="1233" w:type="dxa"/>
            <w:tcBorders>
              <w:top w:val="nil"/>
              <w:left w:val="nil"/>
              <w:bottom w:val="single" w:sz="4" w:space="0" w:color="auto"/>
              <w:right w:val="single" w:sz="4" w:space="0" w:color="auto"/>
            </w:tcBorders>
            <w:shd w:val="clear" w:color="auto" w:fill="auto"/>
            <w:noWrap/>
            <w:vAlign w:val="bottom"/>
            <w:hideMark/>
          </w:tcPr>
          <w:p w14:paraId="19CD642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368,00 </w:t>
            </w:r>
          </w:p>
        </w:tc>
        <w:tc>
          <w:tcPr>
            <w:tcW w:w="1185" w:type="dxa"/>
            <w:tcBorders>
              <w:top w:val="nil"/>
              <w:left w:val="nil"/>
              <w:bottom w:val="single" w:sz="4" w:space="0" w:color="auto"/>
              <w:right w:val="single" w:sz="4" w:space="0" w:color="auto"/>
            </w:tcBorders>
            <w:shd w:val="clear" w:color="auto" w:fill="auto"/>
            <w:noWrap/>
            <w:vAlign w:val="bottom"/>
            <w:hideMark/>
          </w:tcPr>
          <w:p w14:paraId="7786F55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119,04 </w:t>
            </w:r>
          </w:p>
        </w:tc>
        <w:tc>
          <w:tcPr>
            <w:tcW w:w="1058" w:type="dxa"/>
            <w:tcBorders>
              <w:top w:val="nil"/>
              <w:left w:val="nil"/>
              <w:bottom w:val="single" w:sz="4" w:space="0" w:color="auto"/>
              <w:right w:val="single" w:sz="4" w:space="0" w:color="auto"/>
            </w:tcBorders>
            <w:shd w:val="clear" w:color="auto" w:fill="auto"/>
            <w:noWrap/>
            <w:vAlign w:val="bottom"/>
            <w:hideMark/>
          </w:tcPr>
          <w:p w14:paraId="0F7F030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6A3866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302,76 </w:t>
            </w:r>
          </w:p>
        </w:tc>
        <w:tc>
          <w:tcPr>
            <w:tcW w:w="1294" w:type="dxa"/>
            <w:tcBorders>
              <w:top w:val="nil"/>
              <w:left w:val="nil"/>
              <w:bottom w:val="single" w:sz="4" w:space="0" w:color="auto"/>
              <w:right w:val="single" w:sz="4" w:space="0" w:color="auto"/>
            </w:tcBorders>
            <w:shd w:val="clear" w:color="auto" w:fill="auto"/>
            <w:noWrap/>
            <w:vAlign w:val="bottom"/>
            <w:hideMark/>
          </w:tcPr>
          <w:p w14:paraId="1A67B7A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3.633,12 </w:t>
            </w:r>
          </w:p>
        </w:tc>
      </w:tr>
      <w:tr w:rsidR="00B307DB" w:rsidRPr="00977C8B" w14:paraId="7092C71F"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FBA3C8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1.2.4</w:t>
            </w:r>
          </w:p>
        </w:tc>
        <w:tc>
          <w:tcPr>
            <w:tcW w:w="1809" w:type="dxa"/>
            <w:tcBorders>
              <w:top w:val="nil"/>
              <w:left w:val="nil"/>
              <w:bottom w:val="single" w:sz="4" w:space="0" w:color="auto"/>
              <w:right w:val="single" w:sz="4" w:space="0" w:color="auto"/>
            </w:tcBorders>
            <w:shd w:val="clear" w:color="auto" w:fill="auto"/>
            <w:vAlign w:val="center"/>
            <w:hideMark/>
          </w:tcPr>
          <w:p w14:paraId="06B0A3B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Folha de pagamento</w:t>
            </w:r>
          </w:p>
        </w:tc>
        <w:tc>
          <w:tcPr>
            <w:tcW w:w="529" w:type="dxa"/>
            <w:tcBorders>
              <w:top w:val="nil"/>
              <w:left w:val="nil"/>
              <w:bottom w:val="single" w:sz="4" w:space="0" w:color="auto"/>
              <w:right w:val="single" w:sz="4" w:space="0" w:color="auto"/>
            </w:tcBorders>
            <w:shd w:val="clear" w:color="auto" w:fill="auto"/>
            <w:vAlign w:val="center"/>
            <w:hideMark/>
          </w:tcPr>
          <w:p w14:paraId="4186794E"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5EE87189"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16588A8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638,00 </w:t>
            </w:r>
          </w:p>
        </w:tc>
        <w:tc>
          <w:tcPr>
            <w:tcW w:w="1563" w:type="dxa"/>
            <w:tcBorders>
              <w:top w:val="nil"/>
              <w:left w:val="nil"/>
              <w:bottom w:val="single" w:sz="4" w:space="0" w:color="auto"/>
              <w:right w:val="single" w:sz="4" w:space="0" w:color="auto"/>
            </w:tcBorders>
            <w:shd w:val="clear" w:color="auto" w:fill="auto"/>
            <w:noWrap/>
            <w:vAlign w:val="bottom"/>
            <w:hideMark/>
          </w:tcPr>
          <w:p w14:paraId="5DC8581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9E8DA93"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2516204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5CE12CB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57C678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509C8F1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638,00 </w:t>
            </w:r>
          </w:p>
        </w:tc>
        <w:tc>
          <w:tcPr>
            <w:tcW w:w="1294" w:type="dxa"/>
            <w:tcBorders>
              <w:top w:val="nil"/>
              <w:left w:val="nil"/>
              <w:bottom w:val="single" w:sz="4" w:space="0" w:color="auto"/>
              <w:right w:val="single" w:sz="4" w:space="0" w:color="auto"/>
            </w:tcBorders>
            <w:shd w:val="clear" w:color="auto" w:fill="auto"/>
            <w:noWrap/>
            <w:vAlign w:val="bottom"/>
            <w:hideMark/>
          </w:tcPr>
          <w:p w14:paraId="212A588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7.656,00 </w:t>
            </w:r>
          </w:p>
        </w:tc>
      </w:tr>
      <w:tr w:rsidR="00B307DB" w:rsidRPr="00977C8B" w14:paraId="04D6C699"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9EDE42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1.2.5</w:t>
            </w:r>
          </w:p>
        </w:tc>
        <w:tc>
          <w:tcPr>
            <w:tcW w:w="1809" w:type="dxa"/>
            <w:tcBorders>
              <w:top w:val="nil"/>
              <w:left w:val="nil"/>
              <w:bottom w:val="single" w:sz="4" w:space="0" w:color="auto"/>
              <w:right w:val="single" w:sz="4" w:space="0" w:color="auto"/>
            </w:tcBorders>
            <w:shd w:val="clear" w:color="auto" w:fill="auto"/>
            <w:vAlign w:val="center"/>
            <w:hideMark/>
          </w:tcPr>
          <w:p w14:paraId="46576C3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Segurança e medicina do trabalho</w:t>
            </w:r>
          </w:p>
        </w:tc>
        <w:tc>
          <w:tcPr>
            <w:tcW w:w="529" w:type="dxa"/>
            <w:tcBorders>
              <w:top w:val="nil"/>
              <w:left w:val="nil"/>
              <w:bottom w:val="single" w:sz="4" w:space="0" w:color="auto"/>
              <w:right w:val="single" w:sz="4" w:space="0" w:color="auto"/>
            </w:tcBorders>
            <w:shd w:val="clear" w:color="auto" w:fill="auto"/>
            <w:vAlign w:val="center"/>
            <w:hideMark/>
          </w:tcPr>
          <w:p w14:paraId="22DE3F1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4327EE9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6DF7D88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182,00 </w:t>
            </w:r>
          </w:p>
        </w:tc>
        <w:tc>
          <w:tcPr>
            <w:tcW w:w="1563" w:type="dxa"/>
            <w:tcBorders>
              <w:top w:val="nil"/>
              <w:left w:val="nil"/>
              <w:bottom w:val="single" w:sz="4" w:space="0" w:color="auto"/>
              <w:right w:val="single" w:sz="4" w:space="0" w:color="auto"/>
            </w:tcBorders>
            <w:shd w:val="clear" w:color="auto" w:fill="auto"/>
            <w:noWrap/>
            <w:vAlign w:val="bottom"/>
            <w:hideMark/>
          </w:tcPr>
          <w:p w14:paraId="583AF1E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85E5D84"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073678C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FC5473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E4A9ED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FBB7F7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182,00 </w:t>
            </w:r>
          </w:p>
        </w:tc>
        <w:tc>
          <w:tcPr>
            <w:tcW w:w="1294" w:type="dxa"/>
            <w:tcBorders>
              <w:top w:val="nil"/>
              <w:left w:val="nil"/>
              <w:bottom w:val="single" w:sz="4" w:space="0" w:color="auto"/>
              <w:right w:val="single" w:sz="4" w:space="0" w:color="auto"/>
            </w:tcBorders>
            <w:shd w:val="clear" w:color="auto" w:fill="auto"/>
            <w:noWrap/>
            <w:vAlign w:val="bottom"/>
            <w:hideMark/>
          </w:tcPr>
          <w:p w14:paraId="07167D6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2.184,00 </w:t>
            </w:r>
          </w:p>
        </w:tc>
      </w:tr>
      <w:tr w:rsidR="00B307DB" w:rsidRPr="00977C8B" w14:paraId="21D5CD2D"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E8D82B2"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1.2.6</w:t>
            </w:r>
          </w:p>
        </w:tc>
        <w:tc>
          <w:tcPr>
            <w:tcW w:w="1809" w:type="dxa"/>
            <w:tcBorders>
              <w:top w:val="nil"/>
              <w:left w:val="nil"/>
              <w:bottom w:val="single" w:sz="4" w:space="0" w:color="auto"/>
              <w:right w:val="single" w:sz="4" w:space="0" w:color="auto"/>
            </w:tcBorders>
            <w:shd w:val="clear" w:color="auto" w:fill="auto"/>
            <w:vAlign w:val="center"/>
            <w:hideMark/>
          </w:tcPr>
          <w:p w14:paraId="55DBB97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Ponto Eletrônico</w:t>
            </w:r>
          </w:p>
        </w:tc>
        <w:tc>
          <w:tcPr>
            <w:tcW w:w="529" w:type="dxa"/>
            <w:tcBorders>
              <w:top w:val="nil"/>
              <w:left w:val="nil"/>
              <w:bottom w:val="single" w:sz="4" w:space="0" w:color="auto"/>
              <w:right w:val="single" w:sz="4" w:space="0" w:color="auto"/>
            </w:tcBorders>
            <w:shd w:val="clear" w:color="auto" w:fill="auto"/>
            <w:vAlign w:val="center"/>
            <w:hideMark/>
          </w:tcPr>
          <w:p w14:paraId="6966B2B1"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23E20D7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noWrap/>
            <w:vAlign w:val="bottom"/>
            <w:hideMark/>
          </w:tcPr>
          <w:p w14:paraId="322A531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295,00 </w:t>
            </w:r>
          </w:p>
        </w:tc>
        <w:tc>
          <w:tcPr>
            <w:tcW w:w="1563" w:type="dxa"/>
            <w:tcBorders>
              <w:top w:val="nil"/>
              <w:left w:val="nil"/>
              <w:bottom w:val="single" w:sz="4" w:space="0" w:color="auto"/>
              <w:right w:val="single" w:sz="4" w:space="0" w:color="auto"/>
            </w:tcBorders>
            <w:shd w:val="clear" w:color="auto" w:fill="auto"/>
            <w:noWrap/>
            <w:vAlign w:val="bottom"/>
            <w:hideMark/>
          </w:tcPr>
          <w:p w14:paraId="1CC14A5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E4D573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38181653"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F1D483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71684C8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94DD6F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295,00 </w:t>
            </w:r>
          </w:p>
        </w:tc>
        <w:tc>
          <w:tcPr>
            <w:tcW w:w="1294" w:type="dxa"/>
            <w:tcBorders>
              <w:top w:val="nil"/>
              <w:left w:val="nil"/>
              <w:bottom w:val="single" w:sz="4" w:space="0" w:color="auto"/>
              <w:right w:val="single" w:sz="4" w:space="0" w:color="auto"/>
            </w:tcBorders>
            <w:shd w:val="clear" w:color="auto" w:fill="auto"/>
            <w:noWrap/>
            <w:vAlign w:val="bottom"/>
            <w:hideMark/>
          </w:tcPr>
          <w:p w14:paraId="4A3D042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3.540,00 </w:t>
            </w:r>
          </w:p>
        </w:tc>
      </w:tr>
      <w:tr w:rsidR="00B307DB" w:rsidRPr="00977C8B" w14:paraId="2EBD7E03" w14:textId="77777777" w:rsidTr="00B307DB">
        <w:trPr>
          <w:trHeight w:val="9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22CEBE0" w14:textId="77777777" w:rsidR="00B307DB" w:rsidRPr="00977C8B" w:rsidRDefault="00B307DB" w:rsidP="00B307D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1.3</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3061B084" w14:textId="77777777" w:rsidR="00B307DB" w:rsidRPr="00977C8B" w:rsidRDefault="00B307DB" w:rsidP="00B307D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CÂMARA MUNICIPAL DE RIQUEZA</w:t>
            </w:r>
          </w:p>
        </w:tc>
      </w:tr>
      <w:tr w:rsidR="00B307DB" w:rsidRPr="00977C8B" w14:paraId="78282AB0"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6980C9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1.3.1</w:t>
            </w:r>
          </w:p>
        </w:tc>
        <w:tc>
          <w:tcPr>
            <w:tcW w:w="1809" w:type="dxa"/>
            <w:tcBorders>
              <w:top w:val="nil"/>
              <w:left w:val="nil"/>
              <w:bottom w:val="single" w:sz="4" w:space="0" w:color="auto"/>
              <w:right w:val="single" w:sz="4" w:space="0" w:color="auto"/>
            </w:tcBorders>
            <w:shd w:val="clear" w:color="auto" w:fill="auto"/>
            <w:vAlign w:val="center"/>
            <w:hideMark/>
          </w:tcPr>
          <w:p w14:paraId="0226B12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Planejamento e orçamento</w:t>
            </w:r>
          </w:p>
        </w:tc>
        <w:tc>
          <w:tcPr>
            <w:tcW w:w="529" w:type="dxa"/>
            <w:tcBorders>
              <w:top w:val="nil"/>
              <w:left w:val="nil"/>
              <w:bottom w:val="single" w:sz="4" w:space="0" w:color="auto"/>
              <w:right w:val="single" w:sz="4" w:space="0" w:color="auto"/>
            </w:tcBorders>
            <w:shd w:val="clear" w:color="auto" w:fill="auto"/>
            <w:vAlign w:val="center"/>
            <w:hideMark/>
          </w:tcPr>
          <w:p w14:paraId="2165F709"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5FC2E904"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537219A4"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335,00 </w:t>
            </w:r>
          </w:p>
        </w:tc>
        <w:tc>
          <w:tcPr>
            <w:tcW w:w="1563" w:type="dxa"/>
            <w:tcBorders>
              <w:top w:val="nil"/>
              <w:left w:val="nil"/>
              <w:bottom w:val="single" w:sz="4" w:space="0" w:color="auto"/>
              <w:right w:val="single" w:sz="4" w:space="0" w:color="auto"/>
            </w:tcBorders>
            <w:shd w:val="clear" w:color="auto" w:fill="auto"/>
            <w:noWrap/>
            <w:vAlign w:val="bottom"/>
            <w:hideMark/>
          </w:tcPr>
          <w:p w14:paraId="5B4E849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E4170C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245,00 </w:t>
            </w:r>
          </w:p>
        </w:tc>
        <w:tc>
          <w:tcPr>
            <w:tcW w:w="1233" w:type="dxa"/>
            <w:tcBorders>
              <w:top w:val="nil"/>
              <w:left w:val="nil"/>
              <w:bottom w:val="single" w:sz="4" w:space="0" w:color="auto"/>
              <w:right w:val="single" w:sz="4" w:space="0" w:color="auto"/>
            </w:tcBorders>
            <w:shd w:val="clear" w:color="auto" w:fill="auto"/>
            <w:noWrap/>
            <w:vAlign w:val="bottom"/>
            <w:hideMark/>
          </w:tcPr>
          <w:p w14:paraId="5F90F0B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566F75B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124,80 </w:t>
            </w:r>
          </w:p>
        </w:tc>
        <w:tc>
          <w:tcPr>
            <w:tcW w:w="1058" w:type="dxa"/>
            <w:tcBorders>
              <w:top w:val="nil"/>
              <w:left w:val="nil"/>
              <w:bottom w:val="single" w:sz="4" w:space="0" w:color="auto"/>
              <w:right w:val="single" w:sz="4" w:space="0" w:color="auto"/>
            </w:tcBorders>
            <w:shd w:val="clear" w:color="auto" w:fill="auto"/>
            <w:noWrap/>
            <w:vAlign w:val="bottom"/>
            <w:hideMark/>
          </w:tcPr>
          <w:p w14:paraId="0D03FA8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CADAE2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234,93 </w:t>
            </w:r>
          </w:p>
        </w:tc>
        <w:tc>
          <w:tcPr>
            <w:tcW w:w="1294" w:type="dxa"/>
            <w:tcBorders>
              <w:top w:val="nil"/>
              <w:left w:val="nil"/>
              <w:bottom w:val="single" w:sz="4" w:space="0" w:color="auto"/>
              <w:right w:val="single" w:sz="4" w:space="0" w:color="auto"/>
            </w:tcBorders>
            <w:shd w:val="clear" w:color="auto" w:fill="auto"/>
            <w:noWrap/>
            <w:vAlign w:val="bottom"/>
            <w:hideMark/>
          </w:tcPr>
          <w:p w14:paraId="5DFE199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2.819,20 </w:t>
            </w:r>
          </w:p>
        </w:tc>
      </w:tr>
      <w:tr w:rsidR="00B307DB" w:rsidRPr="00977C8B" w14:paraId="68F04A74"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7FA9FA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1.3.2</w:t>
            </w:r>
          </w:p>
        </w:tc>
        <w:tc>
          <w:tcPr>
            <w:tcW w:w="1809" w:type="dxa"/>
            <w:tcBorders>
              <w:top w:val="nil"/>
              <w:left w:val="nil"/>
              <w:bottom w:val="single" w:sz="4" w:space="0" w:color="auto"/>
              <w:right w:val="single" w:sz="4" w:space="0" w:color="auto"/>
            </w:tcBorders>
            <w:shd w:val="clear" w:color="auto" w:fill="auto"/>
            <w:vAlign w:val="center"/>
            <w:hideMark/>
          </w:tcPr>
          <w:p w14:paraId="24CC352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contábil e financeira</w:t>
            </w:r>
          </w:p>
        </w:tc>
        <w:tc>
          <w:tcPr>
            <w:tcW w:w="529" w:type="dxa"/>
            <w:tcBorders>
              <w:top w:val="nil"/>
              <w:left w:val="nil"/>
              <w:bottom w:val="single" w:sz="4" w:space="0" w:color="auto"/>
              <w:right w:val="single" w:sz="4" w:space="0" w:color="auto"/>
            </w:tcBorders>
            <w:shd w:val="clear" w:color="auto" w:fill="auto"/>
            <w:vAlign w:val="center"/>
            <w:hideMark/>
          </w:tcPr>
          <w:p w14:paraId="4920887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00210366"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0D8C075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882,00 </w:t>
            </w:r>
          </w:p>
        </w:tc>
        <w:tc>
          <w:tcPr>
            <w:tcW w:w="1563" w:type="dxa"/>
            <w:tcBorders>
              <w:top w:val="nil"/>
              <w:left w:val="nil"/>
              <w:bottom w:val="single" w:sz="4" w:space="0" w:color="auto"/>
              <w:right w:val="single" w:sz="4" w:space="0" w:color="auto"/>
            </w:tcBorders>
            <w:shd w:val="clear" w:color="auto" w:fill="auto"/>
            <w:noWrap/>
            <w:vAlign w:val="bottom"/>
            <w:hideMark/>
          </w:tcPr>
          <w:p w14:paraId="50018F2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6DDECD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843,00 </w:t>
            </w:r>
          </w:p>
        </w:tc>
        <w:tc>
          <w:tcPr>
            <w:tcW w:w="1233" w:type="dxa"/>
            <w:tcBorders>
              <w:top w:val="nil"/>
              <w:left w:val="nil"/>
              <w:bottom w:val="single" w:sz="4" w:space="0" w:color="auto"/>
              <w:right w:val="single" w:sz="4" w:space="0" w:color="auto"/>
            </w:tcBorders>
            <w:shd w:val="clear" w:color="auto" w:fill="auto"/>
            <w:noWrap/>
            <w:vAlign w:val="bottom"/>
            <w:hideMark/>
          </w:tcPr>
          <w:p w14:paraId="6AD3FB6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562,00 </w:t>
            </w:r>
          </w:p>
        </w:tc>
        <w:tc>
          <w:tcPr>
            <w:tcW w:w="1185" w:type="dxa"/>
            <w:tcBorders>
              <w:top w:val="nil"/>
              <w:left w:val="nil"/>
              <w:bottom w:val="single" w:sz="4" w:space="0" w:color="auto"/>
              <w:right w:val="single" w:sz="4" w:space="0" w:color="auto"/>
            </w:tcBorders>
            <w:shd w:val="clear" w:color="auto" w:fill="auto"/>
            <w:noWrap/>
            <w:vAlign w:val="bottom"/>
            <w:hideMark/>
          </w:tcPr>
          <w:p w14:paraId="6161601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432,00 </w:t>
            </w:r>
          </w:p>
        </w:tc>
        <w:tc>
          <w:tcPr>
            <w:tcW w:w="1058" w:type="dxa"/>
            <w:tcBorders>
              <w:top w:val="nil"/>
              <w:left w:val="nil"/>
              <w:bottom w:val="single" w:sz="4" w:space="0" w:color="auto"/>
              <w:right w:val="single" w:sz="4" w:space="0" w:color="auto"/>
            </w:tcBorders>
            <w:shd w:val="clear" w:color="auto" w:fill="auto"/>
            <w:noWrap/>
            <w:vAlign w:val="bottom"/>
            <w:hideMark/>
          </w:tcPr>
          <w:p w14:paraId="6FAFFD9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DA05C4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679,75 </w:t>
            </w:r>
          </w:p>
        </w:tc>
        <w:tc>
          <w:tcPr>
            <w:tcW w:w="1294" w:type="dxa"/>
            <w:tcBorders>
              <w:top w:val="nil"/>
              <w:left w:val="nil"/>
              <w:bottom w:val="single" w:sz="4" w:space="0" w:color="auto"/>
              <w:right w:val="single" w:sz="4" w:space="0" w:color="auto"/>
            </w:tcBorders>
            <w:shd w:val="clear" w:color="auto" w:fill="auto"/>
            <w:noWrap/>
            <w:vAlign w:val="bottom"/>
            <w:hideMark/>
          </w:tcPr>
          <w:p w14:paraId="1C00E22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8.157,00 </w:t>
            </w:r>
          </w:p>
        </w:tc>
      </w:tr>
      <w:tr w:rsidR="00B307DB" w:rsidRPr="00977C8B" w14:paraId="4C5B96C5"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5653A0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1.3.3</w:t>
            </w:r>
          </w:p>
        </w:tc>
        <w:tc>
          <w:tcPr>
            <w:tcW w:w="1809" w:type="dxa"/>
            <w:tcBorders>
              <w:top w:val="nil"/>
              <w:left w:val="nil"/>
              <w:bottom w:val="single" w:sz="4" w:space="0" w:color="auto"/>
              <w:right w:val="single" w:sz="4" w:space="0" w:color="auto"/>
            </w:tcBorders>
            <w:shd w:val="clear" w:color="auto" w:fill="auto"/>
            <w:vAlign w:val="center"/>
            <w:hideMark/>
          </w:tcPr>
          <w:p w14:paraId="776F077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Controle interno</w:t>
            </w:r>
          </w:p>
        </w:tc>
        <w:tc>
          <w:tcPr>
            <w:tcW w:w="529" w:type="dxa"/>
            <w:tcBorders>
              <w:top w:val="nil"/>
              <w:left w:val="nil"/>
              <w:bottom w:val="single" w:sz="4" w:space="0" w:color="auto"/>
              <w:right w:val="single" w:sz="4" w:space="0" w:color="auto"/>
            </w:tcBorders>
            <w:shd w:val="clear" w:color="auto" w:fill="auto"/>
            <w:vAlign w:val="center"/>
            <w:hideMark/>
          </w:tcPr>
          <w:p w14:paraId="797F190E"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BF1156A"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0ACF499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259,00 </w:t>
            </w:r>
          </w:p>
        </w:tc>
        <w:tc>
          <w:tcPr>
            <w:tcW w:w="1563" w:type="dxa"/>
            <w:tcBorders>
              <w:top w:val="nil"/>
              <w:left w:val="nil"/>
              <w:bottom w:val="single" w:sz="4" w:space="0" w:color="auto"/>
              <w:right w:val="single" w:sz="4" w:space="0" w:color="auto"/>
            </w:tcBorders>
            <w:shd w:val="clear" w:color="auto" w:fill="auto"/>
            <w:noWrap/>
            <w:vAlign w:val="bottom"/>
            <w:hideMark/>
          </w:tcPr>
          <w:p w14:paraId="4D46132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1459599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42CFE0C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BF039F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09EBBD1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3C24D29"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259,00 </w:t>
            </w:r>
          </w:p>
        </w:tc>
        <w:tc>
          <w:tcPr>
            <w:tcW w:w="1294" w:type="dxa"/>
            <w:tcBorders>
              <w:top w:val="nil"/>
              <w:left w:val="nil"/>
              <w:bottom w:val="single" w:sz="4" w:space="0" w:color="auto"/>
              <w:right w:val="single" w:sz="4" w:space="0" w:color="auto"/>
            </w:tcBorders>
            <w:shd w:val="clear" w:color="auto" w:fill="auto"/>
            <w:noWrap/>
            <w:vAlign w:val="bottom"/>
            <w:hideMark/>
          </w:tcPr>
          <w:p w14:paraId="4016F90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3.108,00 </w:t>
            </w:r>
          </w:p>
        </w:tc>
      </w:tr>
      <w:tr w:rsidR="00B307DB" w:rsidRPr="00977C8B" w14:paraId="1F6A62FE"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0B3E39F"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1.3.4</w:t>
            </w:r>
          </w:p>
        </w:tc>
        <w:tc>
          <w:tcPr>
            <w:tcW w:w="1809" w:type="dxa"/>
            <w:tcBorders>
              <w:top w:val="nil"/>
              <w:left w:val="nil"/>
              <w:bottom w:val="single" w:sz="4" w:space="0" w:color="auto"/>
              <w:right w:val="single" w:sz="4" w:space="0" w:color="auto"/>
            </w:tcBorders>
            <w:shd w:val="clear" w:color="auto" w:fill="auto"/>
            <w:vAlign w:val="center"/>
            <w:hideMark/>
          </w:tcPr>
          <w:p w14:paraId="403045B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Compras e licitações</w:t>
            </w:r>
          </w:p>
        </w:tc>
        <w:tc>
          <w:tcPr>
            <w:tcW w:w="529" w:type="dxa"/>
            <w:tcBorders>
              <w:top w:val="nil"/>
              <w:left w:val="nil"/>
              <w:bottom w:val="single" w:sz="4" w:space="0" w:color="auto"/>
              <w:right w:val="single" w:sz="4" w:space="0" w:color="auto"/>
            </w:tcBorders>
            <w:shd w:val="clear" w:color="auto" w:fill="auto"/>
            <w:vAlign w:val="center"/>
            <w:hideMark/>
          </w:tcPr>
          <w:p w14:paraId="16EF8088"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7D22AF54"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36AD261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404,00 </w:t>
            </w:r>
          </w:p>
        </w:tc>
        <w:tc>
          <w:tcPr>
            <w:tcW w:w="1563" w:type="dxa"/>
            <w:tcBorders>
              <w:top w:val="nil"/>
              <w:left w:val="nil"/>
              <w:bottom w:val="single" w:sz="4" w:space="0" w:color="auto"/>
              <w:right w:val="single" w:sz="4" w:space="0" w:color="auto"/>
            </w:tcBorders>
            <w:shd w:val="clear" w:color="auto" w:fill="auto"/>
            <w:noWrap/>
            <w:vAlign w:val="bottom"/>
            <w:hideMark/>
          </w:tcPr>
          <w:p w14:paraId="2B9C4FCD"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6AE2B7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936,00 </w:t>
            </w:r>
          </w:p>
        </w:tc>
        <w:tc>
          <w:tcPr>
            <w:tcW w:w="1233" w:type="dxa"/>
            <w:tcBorders>
              <w:top w:val="nil"/>
              <w:left w:val="nil"/>
              <w:bottom w:val="single" w:sz="4" w:space="0" w:color="auto"/>
              <w:right w:val="single" w:sz="4" w:space="0" w:color="auto"/>
            </w:tcBorders>
            <w:shd w:val="clear" w:color="auto" w:fill="auto"/>
            <w:noWrap/>
            <w:vAlign w:val="bottom"/>
            <w:hideMark/>
          </w:tcPr>
          <w:p w14:paraId="02C62C5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431,00 </w:t>
            </w:r>
          </w:p>
        </w:tc>
        <w:tc>
          <w:tcPr>
            <w:tcW w:w="1185" w:type="dxa"/>
            <w:tcBorders>
              <w:top w:val="nil"/>
              <w:left w:val="nil"/>
              <w:bottom w:val="single" w:sz="4" w:space="0" w:color="auto"/>
              <w:right w:val="single" w:sz="4" w:space="0" w:color="auto"/>
            </w:tcBorders>
            <w:shd w:val="clear" w:color="auto" w:fill="auto"/>
            <w:noWrap/>
            <w:vAlign w:val="bottom"/>
            <w:hideMark/>
          </w:tcPr>
          <w:p w14:paraId="07A0546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161,28 </w:t>
            </w:r>
          </w:p>
        </w:tc>
        <w:tc>
          <w:tcPr>
            <w:tcW w:w="1058" w:type="dxa"/>
            <w:tcBorders>
              <w:top w:val="nil"/>
              <w:left w:val="nil"/>
              <w:bottom w:val="single" w:sz="4" w:space="0" w:color="auto"/>
              <w:right w:val="single" w:sz="4" w:space="0" w:color="auto"/>
            </w:tcBorders>
            <w:shd w:val="clear" w:color="auto" w:fill="auto"/>
            <w:noWrap/>
            <w:vAlign w:val="bottom"/>
            <w:hideMark/>
          </w:tcPr>
          <w:p w14:paraId="2CD3003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5BBEDB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483,07 </w:t>
            </w:r>
          </w:p>
        </w:tc>
        <w:tc>
          <w:tcPr>
            <w:tcW w:w="1294" w:type="dxa"/>
            <w:tcBorders>
              <w:top w:val="nil"/>
              <w:left w:val="nil"/>
              <w:bottom w:val="single" w:sz="4" w:space="0" w:color="auto"/>
              <w:right w:val="single" w:sz="4" w:space="0" w:color="auto"/>
            </w:tcBorders>
            <w:shd w:val="clear" w:color="auto" w:fill="auto"/>
            <w:noWrap/>
            <w:vAlign w:val="bottom"/>
            <w:hideMark/>
          </w:tcPr>
          <w:p w14:paraId="059AD1A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5.796,84 </w:t>
            </w:r>
          </w:p>
        </w:tc>
      </w:tr>
      <w:tr w:rsidR="00B307DB" w:rsidRPr="00977C8B" w14:paraId="4C77CE02"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F6463E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1.3.5</w:t>
            </w:r>
          </w:p>
        </w:tc>
        <w:tc>
          <w:tcPr>
            <w:tcW w:w="1809" w:type="dxa"/>
            <w:tcBorders>
              <w:top w:val="nil"/>
              <w:left w:val="nil"/>
              <w:bottom w:val="single" w:sz="4" w:space="0" w:color="auto"/>
              <w:right w:val="single" w:sz="4" w:space="0" w:color="auto"/>
            </w:tcBorders>
            <w:shd w:val="clear" w:color="auto" w:fill="auto"/>
            <w:vAlign w:val="center"/>
            <w:hideMark/>
          </w:tcPr>
          <w:p w14:paraId="595915D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Almoxarifado</w:t>
            </w:r>
          </w:p>
        </w:tc>
        <w:tc>
          <w:tcPr>
            <w:tcW w:w="529" w:type="dxa"/>
            <w:tcBorders>
              <w:top w:val="nil"/>
              <w:left w:val="nil"/>
              <w:bottom w:val="single" w:sz="4" w:space="0" w:color="auto"/>
              <w:right w:val="single" w:sz="4" w:space="0" w:color="auto"/>
            </w:tcBorders>
            <w:shd w:val="clear" w:color="auto" w:fill="auto"/>
            <w:vAlign w:val="center"/>
            <w:hideMark/>
          </w:tcPr>
          <w:p w14:paraId="49A6D3A8"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2012C0F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0A8214B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261,00 </w:t>
            </w:r>
          </w:p>
        </w:tc>
        <w:tc>
          <w:tcPr>
            <w:tcW w:w="1563" w:type="dxa"/>
            <w:tcBorders>
              <w:top w:val="nil"/>
              <w:left w:val="nil"/>
              <w:bottom w:val="single" w:sz="4" w:space="0" w:color="auto"/>
              <w:right w:val="single" w:sz="4" w:space="0" w:color="auto"/>
            </w:tcBorders>
            <w:shd w:val="clear" w:color="auto" w:fill="auto"/>
            <w:noWrap/>
            <w:vAlign w:val="bottom"/>
            <w:hideMark/>
          </w:tcPr>
          <w:p w14:paraId="3B612E1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1A31BCA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011F81D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30C5559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1D719A6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A3D8C9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261,00 </w:t>
            </w:r>
          </w:p>
        </w:tc>
        <w:tc>
          <w:tcPr>
            <w:tcW w:w="1294" w:type="dxa"/>
            <w:tcBorders>
              <w:top w:val="nil"/>
              <w:left w:val="nil"/>
              <w:bottom w:val="single" w:sz="4" w:space="0" w:color="auto"/>
              <w:right w:val="single" w:sz="4" w:space="0" w:color="auto"/>
            </w:tcBorders>
            <w:shd w:val="clear" w:color="auto" w:fill="auto"/>
            <w:noWrap/>
            <w:vAlign w:val="bottom"/>
            <w:hideMark/>
          </w:tcPr>
          <w:p w14:paraId="1647684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3.132,00 </w:t>
            </w:r>
          </w:p>
        </w:tc>
      </w:tr>
      <w:tr w:rsidR="00B307DB" w:rsidRPr="00977C8B" w14:paraId="0C9EBDB4"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B2707FE"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1.3.6</w:t>
            </w:r>
          </w:p>
        </w:tc>
        <w:tc>
          <w:tcPr>
            <w:tcW w:w="1809" w:type="dxa"/>
            <w:tcBorders>
              <w:top w:val="nil"/>
              <w:left w:val="nil"/>
              <w:bottom w:val="single" w:sz="4" w:space="0" w:color="auto"/>
              <w:right w:val="single" w:sz="4" w:space="0" w:color="auto"/>
            </w:tcBorders>
            <w:shd w:val="clear" w:color="auto" w:fill="auto"/>
            <w:vAlign w:val="center"/>
            <w:hideMark/>
          </w:tcPr>
          <w:p w14:paraId="136A749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Patrimônio</w:t>
            </w:r>
          </w:p>
        </w:tc>
        <w:tc>
          <w:tcPr>
            <w:tcW w:w="529" w:type="dxa"/>
            <w:tcBorders>
              <w:top w:val="nil"/>
              <w:left w:val="nil"/>
              <w:bottom w:val="single" w:sz="4" w:space="0" w:color="auto"/>
              <w:right w:val="single" w:sz="4" w:space="0" w:color="auto"/>
            </w:tcBorders>
            <w:shd w:val="clear" w:color="auto" w:fill="auto"/>
            <w:vAlign w:val="center"/>
            <w:hideMark/>
          </w:tcPr>
          <w:p w14:paraId="76078C1C"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A970469"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2E90FBE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318,00 </w:t>
            </w:r>
          </w:p>
        </w:tc>
        <w:tc>
          <w:tcPr>
            <w:tcW w:w="1563" w:type="dxa"/>
            <w:tcBorders>
              <w:top w:val="nil"/>
              <w:left w:val="nil"/>
              <w:bottom w:val="single" w:sz="4" w:space="0" w:color="auto"/>
              <w:right w:val="single" w:sz="4" w:space="0" w:color="auto"/>
            </w:tcBorders>
            <w:shd w:val="clear" w:color="auto" w:fill="auto"/>
            <w:noWrap/>
            <w:vAlign w:val="bottom"/>
            <w:hideMark/>
          </w:tcPr>
          <w:p w14:paraId="0B1C728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5D62AC4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2D78676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281,00 </w:t>
            </w:r>
          </w:p>
        </w:tc>
        <w:tc>
          <w:tcPr>
            <w:tcW w:w="1185" w:type="dxa"/>
            <w:tcBorders>
              <w:top w:val="nil"/>
              <w:left w:val="nil"/>
              <w:bottom w:val="single" w:sz="4" w:space="0" w:color="auto"/>
              <w:right w:val="single" w:sz="4" w:space="0" w:color="auto"/>
            </w:tcBorders>
            <w:shd w:val="clear" w:color="auto" w:fill="auto"/>
            <w:noWrap/>
            <w:vAlign w:val="bottom"/>
            <w:hideMark/>
          </w:tcPr>
          <w:p w14:paraId="7F23B00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203,52 </w:t>
            </w:r>
          </w:p>
        </w:tc>
        <w:tc>
          <w:tcPr>
            <w:tcW w:w="1058" w:type="dxa"/>
            <w:tcBorders>
              <w:top w:val="nil"/>
              <w:left w:val="nil"/>
              <w:bottom w:val="single" w:sz="4" w:space="0" w:color="auto"/>
              <w:right w:val="single" w:sz="4" w:space="0" w:color="auto"/>
            </w:tcBorders>
            <w:shd w:val="clear" w:color="auto" w:fill="auto"/>
            <w:noWrap/>
            <w:vAlign w:val="bottom"/>
            <w:hideMark/>
          </w:tcPr>
          <w:p w14:paraId="172620E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CC8A4F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267,51 </w:t>
            </w:r>
          </w:p>
        </w:tc>
        <w:tc>
          <w:tcPr>
            <w:tcW w:w="1294" w:type="dxa"/>
            <w:tcBorders>
              <w:top w:val="nil"/>
              <w:left w:val="nil"/>
              <w:bottom w:val="single" w:sz="4" w:space="0" w:color="auto"/>
              <w:right w:val="single" w:sz="4" w:space="0" w:color="auto"/>
            </w:tcBorders>
            <w:shd w:val="clear" w:color="auto" w:fill="auto"/>
            <w:noWrap/>
            <w:vAlign w:val="bottom"/>
            <w:hideMark/>
          </w:tcPr>
          <w:p w14:paraId="286D854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3.210,08 </w:t>
            </w:r>
          </w:p>
        </w:tc>
      </w:tr>
      <w:tr w:rsidR="00B307DB" w:rsidRPr="00977C8B" w14:paraId="1E85FA2B" w14:textId="77777777" w:rsidTr="00B307DB">
        <w:trPr>
          <w:trHeight w:val="276"/>
        </w:trPr>
        <w:tc>
          <w:tcPr>
            <w:tcW w:w="690" w:type="dxa"/>
            <w:tcBorders>
              <w:top w:val="nil"/>
              <w:left w:val="single" w:sz="4" w:space="0" w:color="auto"/>
              <w:bottom w:val="nil"/>
              <w:right w:val="single" w:sz="4" w:space="0" w:color="auto"/>
            </w:tcBorders>
            <w:shd w:val="clear" w:color="auto" w:fill="auto"/>
            <w:vAlign w:val="center"/>
            <w:hideMark/>
          </w:tcPr>
          <w:p w14:paraId="40E04BC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1.3.7</w:t>
            </w:r>
          </w:p>
        </w:tc>
        <w:tc>
          <w:tcPr>
            <w:tcW w:w="1809" w:type="dxa"/>
            <w:tcBorders>
              <w:top w:val="nil"/>
              <w:left w:val="nil"/>
              <w:bottom w:val="single" w:sz="4" w:space="0" w:color="auto"/>
              <w:right w:val="single" w:sz="4" w:space="0" w:color="auto"/>
            </w:tcBorders>
            <w:shd w:val="clear" w:color="auto" w:fill="auto"/>
            <w:vAlign w:val="center"/>
            <w:hideMark/>
          </w:tcPr>
          <w:p w14:paraId="77C6E8C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Folha de Pagamento</w:t>
            </w:r>
          </w:p>
        </w:tc>
        <w:tc>
          <w:tcPr>
            <w:tcW w:w="529" w:type="dxa"/>
            <w:tcBorders>
              <w:top w:val="nil"/>
              <w:left w:val="nil"/>
              <w:bottom w:val="single" w:sz="4" w:space="0" w:color="auto"/>
              <w:right w:val="single" w:sz="4" w:space="0" w:color="auto"/>
            </w:tcBorders>
            <w:shd w:val="clear" w:color="auto" w:fill="auto"/>
            <w:vAlign w:val="center"/>
            <w:hideMark/>
          </w:tcPr>
          <w:p w14:paraId="24DD06F1"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4E600DB6"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55FAE7D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626,00 </w:t>
            </w:r>
          </w:p>
        </w:tc>
        <w:tc>
          <w:tcPr>
            <w:tcW w:w="1563" w:type="dxa"/>
            <w:tcBorders>
              <w:top w:val="nil"/>
              <w:left w:val="nil"/>
              <w:bottom w:val="single" w:sz="4" w:space="0" w:color="auto"/>
              <w:right w:val="single" w:sz="4" w:space="0" w:color="auto"/>
            </w:tcBorders>
            <w:shd w:val="clear" w:color="auto" w:fill="auto"/>
            <w:noWrap/>
            <w:vAlign w:val="bottom"/>
            <w:hideMark/>
          </w:tcPr>
          <w:p w14:paraId="159E06F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A7D167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960,00 </w:t>
            </w:r>
          </w:p>
        </w:tc>
        <w:tc>
          <w:tcPr>
            <w:tcW w:w="1233" w:type="dxa"/>
            <w:tcBorders>
              <w:top w:val="nil"/>
              <w:left w:val="nil"/>
              <w:bottom w:val="single" w:sz="4" w:space="0" w:color="auto"/>
              <w:right w:val="single" w:sz="4" w:space="0" w:color="auto"/>
            </w:tcBorders>
            <w:shd w:val="clear" w:color="auto" w:fill="auto"/>
            <w:noWrap/>
            <w:vAlign w:val="bottom"/>
            <w:hideMark/>
          </w:tcPr>
          <w:p w14:paraId="5BD438B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7916C2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388,80 </w:t>
            </w:r>
          </w:p>
        </w:tc>
        <w:tc>
          <w:tcPr>
            <w:tcW w:w="1058" w:type="dxa"/>
            <w:tcBorders>
              <w:top w:val="nil"/>
              <w:left w:val="nil"/>
              <w:bottom w:val="single" w:sz="4" w:space="0" w:color="auto"/>
              <w:right w:val="single" w:sz="4" w:space="0" w:color="auto"/>
            </w:tcBorders>
            <w:shd w:val="clear" w:color="auto" w:fill="auto"/>
            <w:noWrap/>
            <w:vAlign w:val="bottom"/>
            <w:hideMark/>
          </w:tcPr>
          <w:p w14:paraId="20EEBE34"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203A6F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658,27 </w:t>
            </w:r>
          </w:p>
        </w:tc>
        <w:tc>
          <w:tcPr>
            <w:tcW w:w="1294" w:type="dxa"/>
            <w:tcBorders>
              <w:top w:val="nil"/>
              <w:left w:val="nil"/>
              <w:bottom w:val="single" w:sz="4" w:space="0" w:color="auto"/>
              <w:right w:val="single" w:sz="4" w:space="0" w:color="auto"/>
            </w:tcBorders>
            <w:shd w:val="clear" w:color="auto" w:fill="auto"/>
            <w:noWrap/>
            <w:vAlign w:val="bottom"/>
            <w:hideMark/>
          </w:tcPr>
          <w:p w14:paraId="6129E01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7.899,20 </w:t>
            </w:r>
          </w:p>
        </w:tc>
      </w:tr>
      <w:tr w:rsidR="00B307DB" w:rsidRPr="00977C8B" w14:paraId="49ED0CE4" w14:textId="77777777" w:rsidTr="00B307DB">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B161F"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1.3.8</w:t>
            </w:r>
          </w:p>
        </w:tc>
        <w:tc>
          <w:tcPr>
            <w:tcW w:w="1809" w:type="dxa"/>
            <w:tcBorders>
              <w:top w:val="nil"/>
              <w:left w:val="nil"/>
              <w:bottom w:val="single" w:sz="4" w:space="0" w:color="auto"/>
              <w:right w:val="single" w:sz="4" w:space="0" w:color="auto"/>
            </w:tcBorders>
            <w:shd w:val="clear" w:color="auto" w:fill="auto"/>
            <w:vAlign w:val="center"/>
            <w:hideMark/>
          </w:tcPr>
          <w:p w14:paraId="33EC563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Segurança e Medicina do Trabalho</w:t>
            </w:r>
          </w:p>
        </w:tc>
        <w:tc>
          <w:tcPr>
            <w:tcW w:w="529" w:type="dxa"/>
            <w:tcBorders>
              <w:top w:val="nil"/>
              <w:left w:val="nil"/>
              <w:bottom w:val="single" w:sz="4" w:space="0" w:color="auto"/>
              <w:right w:val="single" w:sz="4" w:space="0" w:color="auto"/>
            </w:tcBorders>
            <w:shd w:val="clear" w:color="auto" w:fill="auto"/>
            <w:vAlign w:val="center"/>
            <w:hideMark/>
          </w:tcPr>
          <w:p w14:paraId="0CB4433E"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7A844B08"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403F63D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227,00 </w:t>
            </w:r>
          </w:p>
        </w:tc>
        <w:tc>
          <w:tcPr>
            <w:tcW w:w="1563" w:type="dxa"/>
            <w:tcBorders>
              <w:top w:val="nil"/>
              <w:left w:val="nil"/>
              <w:bottom w:val="single" w:sz="4" w:space="0" w:color="auto"/>
              <w:right w:val="single" w:sz="4" w:space="0" w:color="auto"/>
            </w:tcBorders>
            <w:shd w:val="clear" w:color="auto" w:fill="auto"/>
            <w:noWrap/>
            <w:vAlign w:val="bottom"/>
            <w:hideMark/>
          </w:tcPr>
          <w:p w14:paraId="5AE7467D"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588198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95,00 </w:t>
            </w:r>
          </w:p>
        </w:tc>
        <w:tc>
          <w:tcPr>
            <w:tcW w:w="1233" w:type="dxa"/>
            <w:tcBorders>
              <w:top w:val="nil"/>
              <w:left w:val="nil"/>
              <w:bottom w:val="single" w:sz="4" w:space="0" w:color="auto"/>
              <w:right w:val="single" w:sz="4" w:space="0" w:color="auto"/>
            </w:tcBorders>
            <w:shd w:val="clear" w:color="auto" w:fill="auto"/>
            <w:noWrap/>
            <w:vAlign w:val="bottom"/>
            <w:hideMark/>
          </w:tcPr>
          <w:p w14:paraId="01473984"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247633B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46,08 </w:t>
            </w:r>
          </w:p>
        </w:tc>
        <w:tc>
          <w:tcPr>
            <w:tcW w:w="1058" w:type="dxa"/>
            <w:tcBorders>
              <w:top w:val="nil"/>
              <w:left w:val="nil"/>
              <w:bottom w:val="single" w:sz="4" w:space="0" w:color="auto"/>
              <w:right w:val="single" w:sz="4" w:space="0" w:color="auto"/>
            </w:tcBorders>
            <w:shd w:val="clear" w:color="auto" w:fill="auto"/>
            <w:noWrap/>
            <w:vAlign w:val="bottom"/>
            <w:hideMark/>
          </w:tcPr>
          <w:p w14:paraId="65AB37F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48E07E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122,69 </w:t>
            </w:r>
          </w:p>
        </w:tc>
        <w:tc>
          <w:tcPr>
            <w:tcW w:w="1294" w:type="dxa"/>
            <w:tcBorders>
              <w:top w:val="nil"/>
              <w:left w:val="nil"/>
              <w:bottom w:val="single" w:sz="4" w:space="0" w:color="auto"/>
              <w:right w:val="single" w:sz="4" w:space="0" w:color="auto"/>
            </w:tcBorders>
            <w:shd w:val="clear" w:color="auto" w:fill="auto"/>
            <w:noWrap/>
            <w:vAlign w:val="bottom"/>
            <w:hideMark/>
          </w:tcPr>
          <w:p w14:paraId="07D322D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1.472,32 </w:t>
            </w:r>
          </w:p>
        </w:tc>
      </w:tr>
      <w:tr w:rsidR="00B307DB" w:rsidRPr="00977C8B" w14:paraId="10BC8DCF"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6145ECC"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1.3.9</w:t>
            </w:r>
          </w:p>
        </w:tc>
        <w:tc>
          <w:tcPr>
            <w:tcW w:w="1809" w:type="dxa"/>
            <w:tcBorders>
              <w:top w:val="nil"/>
              <w:left w:val="nil"/>
              <w:bottom w:val="single" w:sz="4" w:space="0" w:color="auto"/>
              <w:right w:val="single" w:sz="4" w:space="0" w:color="auto"/>
            </w:tcBorders>
            <w:shd w:val="clear" w:color="auto" w:fill="auto"/>
            <w:vAlign w:val="center"/>
            <w:hideMark/>
          </w:tcPr>
          <w:p w14:paraId="7685750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Ponto Eletrônico</w:t>
            </w:r>
          </w:p>
        </w:tc>
        <w:tc>
          <w:tcPr>
            <w:tcW w:w="529" w:type="dxa"/>
            <w:tcBorders>
              <w:top w:val="nil"/>
              <w:left w:val="nil"/>
              <w:bottom w:val="single" w:sz="4" w:space="0" w:color="auto"/>
              <w:right w:val="single" w:sz="4" w:space="0" w:color="auto"/>
            </w:tcBorders>
            <w:shd w:val="clear" w:color="auto" w:fill="auto"/>
            <w:vAlign w:val="center"/>
            <w:hideMark/>
          </w:tcPr>
          <w:p w14:paraId="78E75ADE"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5E95E1DF"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3706FF2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342,00 </w:t>
            </w:r>
          </w:p>
        </w:tc>
        <w:tc>
          <w:tcPr>
            <w:tcW w:w="1563" w:type="dxa"/>
            <w:tcBorders>
              <w:top w:val="nil"/>
              <w:left w:val="nil"/>
              <w:bottom w:val="single" w:sz="4" w:space="0" w:color="auto"/>
              <w:right w:val="single" w:sz="4" w:space="0" w:color="auto"/>
            </w:tcBorders>
            <w:shd w:val="clear" w:color="auto" w:fill="auto"/>
            <w:noWrap/>
            <w:vAlign w:val="bottom"/>
            <w:hideMark/>
          </w:tcPr>
          <w:p w14:paraId="22775E8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58720EF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2AB54D8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86D3E6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61FF5B3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C5A50F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342,00 </w:t>
            </w:r>
          </w:p>
        </w:tc>
        <w:tc>
          <w:tcPr>
            <w:tcW w:w="1294" w:type="dxa"/>
            <w:tcBorders>
              <w:top w:val="nil"/>
              <w:left w:val="nil"/>
              <w:bottom w:val="single" w:sz="4" w:space="0" w:color="auto"/>
              <w:right w:val="single" w:sz="4" w:space="0" w:color="auto"/>
            </w:tcBorders>
            <w:shd w:val="clear" w:color="auto" w:fill="auto"/>
            <w:noWrap/>
            <w:vAlign w:val="bottom"/>
            <w:hideMark/>
          </w:tcPr>
          <w:p w14:paraId="4FE1490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4.104,00 </w:t>
            </w:r>
          </w:p>
        </w:tc>
      </w:tr>
      <w:tr w:rsidR="00B307DB" w:rsidRPr="00977C8B" w14:paraId="6F86EB2B"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C98EB02"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1.3.10</w:t>
            </w:r>
          </w:p>
        </w:tc>
        <w:tc>
          <w:tcPr>
            <w:tcW w:w="1809" w:type="dxa"/>
            <w:tcBorders>
              <w:top w:val="nil"/>
              <w:left w:val="nil"/>
              <w:bottom w:val="single" w:sz="4" w:space="0" w:color="auto"/>
              <w:right w:val="single" w:sz="4" w:space="0" w:color="auto"/>
            </w:tcBorders>
            <w:shd w:val="clear" w:color="auto" w:fill="auto"/>
            <w:vAlign w:val="center"/>
            <w:hideMark/>
          </w:tcPr>
          <w:p w14:paraId="017C770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Portal da Transparência</w:t>
            </w:r>
          </w:p>
        </w:tc>
        <w:tc>
          <w:tcPr>
            <w:tcW w:w="529" w:type="dxa"/>
            <w:tcBorders>
              <w:top w:val="nil"/>
              <w:left w:val="nil"/>
              <w:bottom w:val="single" w:sz="4" w:space="0" w:color="auto"/>
              <w:right w:val="single" w:sz="4" w:space="0" w:color="auto"/>
            </w:tcBorders>
            <w:shd w:val="clear" w:color="auto" w:fill="auto"/>
            <w:vAlign w:val="center"/>
            <w:hideMark/>
          </w:tcPr>
          <w:p w14:paraId="1EEF367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5A0839EF"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bottom"/>
            <w:hideMark/>
          </w:tcPr>
          <w:p w14:paraId="08A3639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334,00 </w:t>
            </w:r>
          </w:p>
        </w:tc>
        <w:tc>
          <w:tcPr>
            <w:tcW w:w="1563" w:type="dxa"/>
            <w:tcBorders>
              <w:top w:val="nil"/>
              <w:left w:val="nil"/>
              <w:bottom w:val="single" w:sz="4" w:space="0" w:color="auto"/>
              <w:right w:val="single" w:sz="4" w:space="0" w:color="auto"/>
            </w:tcBorders>
            <w:shd w:val="clear" w:color="auto" w:fill="auto"/>
            <w:noWrap/>
            <w:vAlign w:val="bottom"/>
            <w:hideMark/>
          </w:tcPr>
          <w:p w14:paraId="7F30B79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0B0072A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320,00 </w:t>
            </w:r>
          </w:p>
        </w:tc>
        <w:tc>
          <w:tcPr>
            <w:tcW w:w="1233" w:type="dxa"/>
            <w:tcBorders>
              <w:top w:val="nil"/>
              <w:left w:val="nil"/>
              <w:bottom w:val="single" w:sz="4" w:space="0" w:color="auto"/>
              <w:right w:val="single" w:sz="4" w:space="0" w:color="auto"/>
            </w:tcBorders>
            <w:shd w:val="clear" w:color="auto" w:fill="auto"/>
            <w:noWrap/>
            <w:vAlign w:val="bottom"/>
            <w:hideMark/>
          </w:tcPr>
          <w:p w14:paraId="2B3C27B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300,00 </w:t>
            </w:r>
          </w:p>
        </w:tc>
        <w:tc>
          <w:tcPr>
            <w:tcW w:w="1185" w:type="dxa"/>
            <w:tcBorders>
              <w:top w:val="nil"/>
              <w:left w:val="nil"/>
              <w:bottom w:val="single" w:sz="4" w:space="0" w:color="auto"/>
              <w:right w:val="single" w:sz="4" w:space="0" w:color="auto"/>
            </w:tcBorders>
            <w:shd w:val="clear" w:color="auto" w:fill="auto"/>
            <w:noWrap/>
            <w:vAlign w:val="bottom"/>
            <w:hideMark/>
          </w:tcPr>
          <w:p w14:paraId="3DCBB12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168,96 </w:t>
            </w:r>
          </w:p>
        </w:tc>
        <w:tc>
          <w:tcPr>
            <w:tcW w:w="1058" w:type="dxa"/>
            <w:tcBorders>
              <w:top w:val="nil"/>
              <w:left w:val="nil"/>
              <w:bottom w:val="single" w:sz="4" w:space="0" w:color="auto"/>
              <w:right w:val="single" w:sz="4" w:space="0" w:color="auto"/>
            </w:tcBorders>
            <w:shd w:val="clear" w:color="auto" w:fill="auto"/>
            <w:noWrap/>
            <w:vAlign w:val="bottom"/>
            <w:hideMark/>
          </w:tcPr>
          <w:p w14:paraId="4A57142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9AE16B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280,74 </w:t>
            </w:r>
          </w:p>
        </w:tc>
        <w:tc>
          <w:tcPr>
            <w:tcW w:w="1294" w:type="dxa"/>
            <w:tcBorders>
              <w:top w:val="nil"/>
              <w:left w:val="nil"/>
              <w:bottom w:val="single" w:sz="4" w:space="0" w:color="auto"/>
              <w:right w:val="single" w:sz="4" w:space="0" w:color="auto"/>
            </w:tcBorders>
            <w:shd w:val="clear" w:color="auto" w:fill="auto"/>
            <w:noWrap/>
            <w:vAlign w:val="bottom"/>
            <w:hideMark/>
          </w:tcPr>
          <w:p w14:paraId="76A9EA1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3.368,88 </w:t>
            </w:r>
          </w:p>
        </w:tc>
      </w:tr>
      <w:tr w:rsidR="00B307DB" w:rsidRPr="00977C8B" w14:paraId="162DDF07" w14:textId="77777777" w:rsidTr="00B307DB">
        <w:trPr>
          <w:trHeight w:val="98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5F8B70D" w14:textId="77777777" w:rsidR="00B307DB" w:rsidRPr="00977C8B" w:rsidRDefault="00B307DB" w:rsidP="00B307D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1.4</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51932CE3" w14:textId="77777777" w:rsidR="00B307DB" w:rsidRPr="00977C8B" w:rsidRDefault="00B307DB" w:rsidP="00B307D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PARA USO DA SECRETARIA MUNICIPAL DE SAÚDE</w:t>
            </w:r>
          </w:p>
        </w:tc>
      </w:tr>
      <w:tr w:rsidR="00B307DB" w:rsidRPr="00977C8B" w14:paraId="06234781"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8D1CBD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1.4.1</w:t>
            </w:r>
          </w:p>
        </w:tc>
        <w:tc>
          <w:tcPr>
            <w:tcW w:w="1809" w:type="dxa"/>
            <w:tcBorders>
              <w:top w:val="nil"/>
              <w:left w:val="nil"/>
              <w:bottom w:val="single" w:sz="4" w:space="0" w:color="auto"/>
              <w:right w:val="single" w:sz="4" w:space="0" w:color="auto"/>
            </w:tcBorders>
            <w:shd w:val="clear" w:color="auto" w:fill="auto"/>
            <w:vAlign w:val="center"/>
            <w:hideMark/>
          </w:tcPr>
          <w:p w14:paraId="2386993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da Saúde (Cadastros nacionais)</w:t>
            </w:r>
          </w:p>
        </w:tc>
        <w:tc>
          <w:tcPr>
            <w:tcW w:w="529" w:type="dxa"/>
            <w:tcBorders>
              <w:top w:val="nil"/>
              <w:left w:val="nil"/>
              <w:bottom w:val="single" w:sz="4" w:space="0" w:color="auto"/>
              <w:right w:val="single" w:sz="4" w:space="0" w:color="auto"/>
            </w:tcBorders>
            <w:shd w:val="clear" w:color="auto" w:fill="auto"/>
            <w:vAlign w:val="center"/>
            <w:hideMark/>
          </w:tcPr>
          <w:p w14:paraId="7DB12BE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0EDEAA1"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124ECE79"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428,06 </w:t>
            </w:r>
          </w:p>
        </w:tc>
        <w:tc>
          <w:tcPr>
            <w:tcW w:w="1563" w:type="dxa"/>
            <w:tcBorders>
              <w:top w:val="nil"/>
              <w:left w:val="nil"/>
              <w:bottom w:val="single" w:sz="4" w:space="0" w:color="auto"/>
              <w:right w:val="single" w:sz="4" w:space="0" w:color="auto"/>
            </w:tcBorders>
            <w:shd w:val="clear" w:color="auto" w:fill="auto"/>
            <w:noWrap/>
            <w:vAlign w:val="bottom"/>
            <w:hideMark/>
          </w:tcPr>
          <w:p w14:paraId="7453C35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1.670,00 </w:t>
            </w:r>
          </w:p>
        </w:tc>
        <w:tc>
          <w:tcPr>
            <w:tcW w:w="1111" w:type="dxa"/>
            <w:tcBorders>
              <w:top w:val="nil"/>
              <w:left w:val="nil"/>
              <w:bottom w:val="single" w:sz="4" w:space="0" w:color="auto"/>
              <w:right w:val="single" w:sz="4" w:space="0" w:color="auto"/>
            </w:tcBorders>
            <w:shd w:val="clear" w:color="auto" w:fill="auto"/>
            <w:noWrap/>
            <w:vAlign w:val="bottom"/>
            <w:hideMark/>
          </w:tcPr>
          <w:p w14:paraId="4C7989B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6DA60D3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16561D53"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00AFB5E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6FE2DE1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1.049,03 </w:t>
            </w:r>
          </w:p>
        </w:tc>
        <w:tc>
          <w:tcPr>
            <w:tcW w:w="1294" w:type="dxa"/>
            <w:tcBorders>
              <w:top w:val="nil"/>
              <w:left w:val="nil"/>
              <w:bottom w:val="single" w:sz="4" w:space="0" w:color="auto"/>
              <w:right w:val="single" w:sz="4" w:space="0" w:color="auto"/>
            </w:tcBorders>
            <w:shd w:val="clear" w:color="auto" w:fill="auto"/>
            <w:noWrap/>
            <w:vAlign w:val="bottom"/>
            <w:hideMark/>
          </w:tcPr>
          <w:p w14:paraId="6D703EB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12.588,36 </w:t>
            </w:r>
          </w:p>
        </w:tc>
      </w:tr>
      <w:tr w:rsidR="00B307DB" w:rsidRPr="00977C8B" w14:paraId="401CA21B"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127AE2E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1.4.2</w:t>
            </w:r>
          </w:p>
        </w:tc>
        <w:tc>
          <w:tcPr>
            <w:tcW w:w="1809" w:type="dxa"/>
            <w:tcBorders>
              <w:top w:val="nil"/>
              <w:left w:val="nil"/>
              <w:bottom w:val="single" w:sz="4" w:space="0" w:color="auto"/>
              <w:right w:val="single" w:sz="4" w:space="0" w:color="auto"/>
            </w:tcBorders>
            <w:shd w:val="clear" w:color="auto" w:fill="auto"/>
            <w:vAlign w:val="center"/>
            <w:hideMark/>
          </w:tcPr>
          <w:p w14:paraId="0F60676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Faturamento (Faturamento, TFT, AIH, APAC)</w:t>
            </w:r>
          </w:p>
        </w:tc>
        <w:tc>
          <w:tcPr>
            <w:tcW w:w="529" w:type="dxa"/>
            <w:tcBorders>
              <w:top w:val="nil"/>
              <w:left w:val="nil"/>
              <w:bottom w:val="single" w:sz="4" w:space="0" w:color="auto"/>
              <w:right w:val="single" w:sz="4" w:space="0" w:color="auto"/>
            </w:tcBorders>
            <w:shd w:val="clear" w:color="auto" w:fill="auto"/>
            <w:vAlign w:val="center"/>
            <w:hideMark/>
          </w:tcPr>
          <w:p w14:paraId="006AC072"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A657E7A"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42B1D67A"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1.189,79 </w:t>
            </w:r>
          </w:p>
        </w:tc>
        <w:tc>
          <w:tcPr>
            <w:tcW w:w="1563" w:type="dxa"/>
            <w:tcBorders>
              <w:top w:val="nil"/>
              <w:left w:val="nil"/>
              <w:bottom w:val="single" w:sz="4" w:space="0" w:color="auto"/>
              <w:right w:val="single" w:sz="4" w:space="0" w:color="auto"/>
            </w:tcBorders>
            <w:shd w:val="clear" w:color="auto" w:fill="auto"/>
            <w:noWrap/>
            <w:vAlign w:val="bottom"/>
            <w:hideMark/>
          </w:tcPr>
          <w:p w14:paraId="3B7DE89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850B7F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7BAEEAD4"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073AE4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70F14C3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740651F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1.189,79 </w:t>
            </w:r>
          </w:p>
        </w:tc>
        <w:tc>
          <w:tcPr>
            <w:tcW w:w="1294" w:type="dxa"/>
            <w:tcBorders>
              <w:top w:val="nil"/>
              <w:left w:val="nil"/>
              <w:bottom w:val="single" w:sz="4" w:space="0" w:color="auto"/>
              <w:right w:val="single" w:sz="4" w:space="0" w:color="auto"/>
            </w:tcBorders>
            <w:shd w:val="clear" w:color="auto" w:fill="auto"/>
            <w:noWrap/>
            <w:vAlign w:val="bottom"/>
            <w:hideMark/>
          </w:tcPr>
          <w:p w14:paraId="31846B7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14.277,48 </w:t>
            </w:r>
          </w:p>
        </w:tc>
      </w:tr>
      <w:tr w:rsidR="00B307DB" w:rsidRPr="00977C8B" w14:paraId="3A2D84CD" w14:textId="77777777" w:rsidTr="00B307DB">
        <w:trPr>
          <w:trHeight w:val="55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2583BDC7"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1.4.3</w:t>
            </w:r>
          </w:p>
        </w:tc>
        <w:tc>
          <w:tcPr>
            <w:tcW w:w="1809" w:type="dxa"/>
            <w:tcBorders>
              <w:top w:val="nil"/>
              <w:left w:val="nil"/>
              <w:bottom w:val="single" w:sz="4" w:space="0" w:color="auto"/>
              <w:right w:val="single" w:sz="4" w:space="0" w:color="auto"/>
            </w:tcBorders>
            <w:shd w:val="clear" w:color="auto" w:fill="auto"/>
            <w:vAlign w:val="center"/>
            <w:hideMark/>
          </w:tcPr>
          <w:p w14:paraId="4A14383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Atenção Primaria (E-SUS AB, Imunizações, ACS Mobile Ofline)</w:t>
            </w:r>
          </w:p>
        </w:tc>
        <w:tc>
          <w:tcPr>
            <w:tcW w:w="529" w:type="dxa"/>
            <w:tcBorders>
              <w:top w:val="nil"/>
              <w:left w:val="nil"/>
              <w:bottom w:val="single" w:sz="4" w:space="0" w:color="auto"/>
              <w:right w:val="single" w:sz="4" w:space="0" w:color="auto"/>
            </w:tcBorders>
            <w:shd w:val="clear" w:color="auto" w:fill="auto"/>
            <w:vAlign w:val="center"/>
            <w:hideMark/>
          </w:tcPr>
          <w:p w14:paraId="04BD3CF2"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6AD7D4C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750A86FE"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623,48 </w:t>
            </w:r>
          </w:p>
        </w:tc>
        <w:tc>
          <w:tcPr>
            <w:tcW w:w="1563" w:type="dxa"/>
            <w:tcBorders>
              <w:top w:val="nil"/>
              <w:left w:val="nil"/>
              <w:bottom w:val="single" w:sz="4" w:space="0" w:color="auto"/>
              <w:right w:val="single" w:sz="4" w:space="0" w:color="auto"/>
            </w:tcBorders>
            <w:shd w:val="clear" w:color="auto" w:fill="auto"/>
            <w:noWrap/>
            <w:vAlign w:val="bottom"/>
            <w:hideMark/>
          </w:tcPr>
          <w:p w14:paraId="2FE9C12D"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5A49B6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06EAF09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E1CF52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37F67FC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69123F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623,48 </w:t>
            </w:r>
          </w:p>
        </w:tc>
        <w:tc>
          <w:tcPr>
            <w:tcW w:w="1294" w:type="dxa"/>
            <w:tcBorders>
              <w:top w:val="nil"/>
              <w:left w:val="nil"/>
              <w:bottom w:val="single" w:sz="4" w:space="0" w:color="auto"/>
              <w:right w:val="single" w:sz="4" w:space="0" w:color="auto"/>
            </w:tcBorders>
            <w:shd w:val="clear" w:color="auto" w:fill="auto"/>
            <w:noWrap/>
            <w:vAlign w:val="bottom"/>
            <w:hideMark/>
          </w:tcPr>
          <w:p w14:paraId="091D0AA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7.481,76 </w:t>
            </w:r>
          </w:p>
        </w:tc>
      </w:tr>
      <w:tr w:rsidR="00B307DB" w:rsidRPr="00977C8B" w14:paraId="0FEC0ADF" w14:textId="77777777" w:rsidTr="00B307DB">
        <w:trPr>
          <w:trHeight w:val="55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F4C7CC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1.4.4</w:t>
            </w:r>
          </w:p>
        </w:tc>
        <w:tc>
          <w:tcPr>
            <w:tcW w:w="1809" w:type="dxa"/>
            <w:tcBorders>
              <w:top w:val="nil"/>
              <w:left w:val="nil"/>
              <w:bottom w:val="single" w:sz="4" w:space="0" w:color="auto"/>
              <w:right w:val="single" w:sz="4" w:space="0" w:color="auto"/>
            </w:tcBorders>
            <w:shd w:val="clear" w:color="auto" w:fill="auto"/>
            <w:vAlign w:val="center"/>
            <w:hideMark/>
          </w:tcPr>
          <w:p w14:paraId="345C6D2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Assistência à Saúde (Ambulatório, prontuário médico, Prontuário Odontológico)</w:t>
            </w:r>
          </w:p>
        </w:tc>
        <w:tc>
          <w:tcPr>
            <w:tcW w:w="529" w:type="dxa"/>
            <w:tcBorders>
              <w:top w:val="nil"/>
              <w:left w:val="nil"/>
              <w:bottom w:val="single" w:sz="4" w:space="0" w:color="auto"/>
              <w:right w:val="single" w:sz="4" w:space="0" w:color="auto"/>
            </w:tcBorders>
            <w:shd w:val="clear" w:color="auto" w:fill="auto"/>
            <w:vAlign w:val="center"/>
            <w:hideMark/>
          </w:tcPr>
          <w:p w14:paraId="58D489A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6CB17148"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6E53B809"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773,69 </w:t>
            </w:r>
          </w:p>
        </w:tc>
        <w:tc>
          <w:tcPr>
            <w:tcW w:w="1563" w:type="dxa"/>
            <w:tcBorders>
              <w:top w:val="nil"/>
              <w:left w:val="nil"/>
              <w:bottom w:val="single" w:sz="4" w:space="0" w:color="auto"/>
              <w:right w:val="single" w:sz="4" w:space="0" w:color="auto"/>
            </w:tcBorders>
            <w:shd w:val="clear" w:color="auto" w:fill="auto"/>
            <w:noWrap/>
            <w:vAlign w:val="bottom"/>
            <w:hideMark/>
          </w:tcPr>
          <w:p w14:paraId="1CC82C3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65589C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5A92A56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46E036A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29DCDD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AEF29F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773,69 </w:t>
            </w:r>
          </w:p>
        </w:tc>
        <w:tc>
          <w:tcPr>
            <w:tcW w:w="1294" w:type="dxa"/>
            <w:tcBorders>
              <w:top w:val="nil"/>
              <w:left w:val="nil"/>
              <w:bottom w:val="single" w:sz="4" w:space="0" w:color="auto"/>
              <w:right w:val="single" w:sz="4" w:space="0" w:color="auto"/>
            </w:tcBorders>
            <w:shd w:val="clear" w:color="auto" w:fill="auto"/>
            <w:noWrap/>
            <w:vAlign w:val="bottom"/>
            <w:hideMark/>
          </w:tcPr>
          <w:p w14:paraId="6428E52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9.284,28 </w:t>
            </w:r>
          </w:p>
        </w:tc>
      </w:tr>
      <w:tr w:rsidR="00B307DB" w:rsidRPr="00977C8B" w14:paraId="2E315ABC"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D69D098"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1.4.5</w:t>
            </w:r>
          </w:p>
        </w:tc>
        <w:tc>
          <w:tcPr>
            <w:tcW w:w="1809" w:type="dxa"/>
            <w:tcBorders>
              <w:top w:val="nil"/>
              <w:left w:val="nil"/>
              <w:bottom w:val="single" w:sz="4" w:space="0" w:color="auto"/>
              <w:right w:val="single" w:sz="4" w:space="0" w:color="auto"/>
            </w:tcBorders>
            <w:shd w:val="clear" w:color="auto" w:fill="auto"/>
            <w:vAlign w:val="center"/>
            <w:hideMark/>
          </w:tcPr>
          <w:p w14:paraId="0F74514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Assistência Farmacêutica (Farmácia)</w:t>
            </w:r>
          </w:p>
        </w:tc>
        <w:tc>
          <w:tcPr>
            <w:tcW w:w="529" w:type="dxa"/>
            <w:tcBorders>
              <w:top w:val="nil"/>
              <w:left w:val="nil"/>
              <w:bottom w:val="single" w:sz="4" w:space="0" w:color="auto"/>
              <w:right w:val="single" w:sz="4" w:space="0" w:color="auto"/>
            </w:tcBorders>
            <w:shd w:val="clear" w:color="auto" w:fill="auto"/>
            <w:vAlign w:val="center"/>
            <w:hideMark/>
          </w:tcPr>
          <w:p w14:paraId="7C5EE69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5FC0E181"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059809FA"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1.272,21 </w:t>
            </w:r>
          </w:p>
        </w:tc>
        <w:tc>
          <w:tcPr>
            <w:tcW w:w="1563" w:type="dxa"/>
            <w:tcBorders>
              <w:top w:val="nil"/>
              <w:left w:val="nil"/>
              <w:bottom w:val="single" w:sz="4" w:space="0" w:color="auto"/>
              <w:right w:val="single" w:sz="4" w:space="0" w:color="auto"/>
            </w:tcBorders>
            <w:shd w:val="clear" w:color="auto" w:fill="auto"/>
            <w:noWrap/>
            <w:vAlign w:val="bottom"/>
            <w:hideMark/>
          </w:tcPr>
          <w:p w14:paraId="34C375D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98B9D0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0C14080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78509B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5D2F0D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86E8B6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1.272,21 </w:t>
            </w:r>
          </w:p>
        </w:tc>
        <w:tc>
          <w:tcPr>
            <w:tcW w:w="1294" w:type="dxa"/>
            <w:tcBorders>
              <w:top w:val="nil"/>
              <w:left w:val="nil"/>
              <w:bottom w:val="single" w:sz="4" w:space="0" w:color="auto"/>
              <w:right w:val="single" w:sz="4" w:space="0" w:color="auto"/>
            </w:tcBorders>
            <w:shd w:val="clear" w:color="auto" w:fill="auto"/>
            <w:noWrap/>
            <w:vAlign w:val="bottom"/>
            <w:hideMark/>
          </w:tcPr>
          <w:p w14:paraId="53E5B3D8"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15.266,52 </w:t>
            </w:r>
          </w:p>
        </w:tc>
      </w:tr>
      <w:tr w:rsidR="00B307DB" w:rsidRPr="00977C8B" w14:paraId="4BD24206" w14:textId="77777777" w:rsidTr="00B307DB">
        <w:trPr>
          <w:trHeight w:val="552"/>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6729C0A"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1.4.6</w:t>
            </w:r>
          </w:p>
        </w:tc>
        <w:tc>
          <w:tcPr>
            <w:tcW w:w="1809" w:type="dxa"/>
            <w:tcBorders>
              <w:top w:val="nil"/>
              <w:left w:val="nil"/>
              <w:bottom w:val="single" w:sz="4" w:space="0" w:color="auto"/>
              <w:right w:val="single" w:sz="4" w:space="0" w:color="auto"/>
            </w:tcBorders>
            <w:shd w:val="clear" w:color="auto" w:fill="auto"/>
            <w:vAlign w:val="center"/>
            <w:hideMark/>
          </w:tcPr>
          <w:p w14:paraId="65D8F8E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Diagnóstico (Radiodiagnóstico, Laboratório, Ecografia, </w:t>
            </w:r>
            <w:r w:rsidRPr="00977C8B">
              <w:rPr>
                <w:rFonts w:ascii="Times New Roman" w:hAnsi="Times New Roman" w:cs="Times New Roman"/>
                <w:color w:val="000000"/>
              </w:rPr>
              <w:lastRenderedPageBreak/>
              <w:t>Interfaceamento com laboratórios)</w:t>
            </w:r>
          </w:p>
        </w:tc>
        <w:tc>
          <w:tcPr>
            <w:tcW w:w="529" w:type="dxa"/>
            <w:tcBorders>
              <w:top w:val="nil"/>
              <w:left w:val="nil"/>
              <w:bottom w:val="single" w:sz="4" w:space="0" w:color="auto"/>
              <w:right w:val="single" w:sz="4" w:space="0" w:color="auto"/>
            </w:tcBorders>
            <w:shd w:val="clear" w:color="auto" w:fill="auto"/>
            <w:vAlign w:val="center"/>
            <w:hideMark/>
          </w:tcPr>
          <w:p w14:paraId="4FD0DA5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12</w:t>
            </w:r>
          </w:p>
        </w:tc>
        <w:tc>
          <w:tcPr>
            <w:tcW w:w="818" w:type="dxa"/>
            <w:tcBorders>
              <w:top w:val="nil"/>
              <w:left w:val="nil"/>
              <w:bottom w:val="single" w:sz="4" w:space="0" w:color="auto"/>
              <w:right w:val="single" w:sz="4" w:space="0" w:color="auto"/>
            </w:tcBorders>
            <w:shd w:val="clear" w:color="auto" w:fill="auto"/>
            <w:vAlign w:val="center"/>
            <w:hideMark/>
          </w:tcPr>
          <w:p w14:paraId="1A55B04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000000" w:fill="FFFFFF"/>
            <w:noWrap/>
            <w:vAlign w:val="center"/>
            <w:hideMark/>
          </w:tcPr>
          <w:p w14:paraId="64573CE6"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 xml:space="preserve">             523,77 </w:t>
            </w:r>
          </w:p>
        </w:tc>
        <w:tc>
          <w:tcPr>
            <w:tcW w:w="1563" w:type="dxa"/>
            <w:tcBorders>
              <w:top w:val="nil"/>
              <w:left w:val="nil"/>
              <w:bottom w:val="single" w:sz="4" w:space="0" w:color="auto"/>
              <w:right w:val="single" w:sz="4" w:space="0" w:color="auto"/>
            </w:tcBorders>
            <w:shd w:val="clear" w:color="auto" w:fill="auto"/>
            <w:noWrap/>
            <w:vAlign w:val="bottom"/>
            <w:hideMark/>
          </w:tcPr>
          <w:p w14:paraId="01C81F7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56CF9BD"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70B5C71D"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08A4934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CB1F7D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27E853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523,77 </w:t>
            </w:r>
          </w:p>
        </w:tc>
        <w:tc>
          <w:tcPr>
            <w:tcW w:w="1294" w:type="dxa"/>
            <w:tcBorders>
              <w:top w:val="nil"/>
              <w:left w:val="nil"/>
              <w:bottom w:val="single" w:sz="4" w:space="0" w:color="auto"/>
              <w:right w:val="single" w:sz="4" w:space="0" w:color="auto"/>
            </w:tcBorders>
            <w:shd w:val="clear" w:color="auto" w:fill="auto"/>
            <w:noWrap/>
            <w:vAlign w:val="bottom"/>
            <w:hideMark/>
          </w:tcPr>
          <w:p w14:paraId="0AC8939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6.285,24 </w:t>
            </w:r>
          </w:p>
        </w:tc>
      </w:tr>
      <w:tr w:rsidR="00B307DB" w:rsidRPr="00977C8B" w14:paraId="7B1513FA" w14:textId="77777777" w:rsidTr="00B307DB">
        <w:trPr>
          <w:trHeight w:val="98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C3BAEEE" w14:textId="77777777" w:rsidR="00B307DB" w:rsidRPr="00977C8B" w:rsidRDefault="00B307DB" w:rsidP="00B307D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1.5</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78B2B6A0" w14:textId="77777777" w:rsidR="00B307DB" w:rsidRPr="00977C8B" w:rsidRDefault="00B307DB" w:rsidP="00B307D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PARA USO DA SECRETARIA DA EDUCAÇÃO</w:t>
            </w:r>
          </w:p>
        </w:tc>
      </w:tr>
      <w:tr w:rsidR="00B307DB" w:rsidRPr="00977C8B" w14:paraId="028966DF" w14:textId="77777777" w:rsidTr="00B307DB">
        <w:trPr>
          <w:trHeight w:val="116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2AC67C3"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1.5.1</w:t>
            </w:r>
          </w:p>
        </w:tc>
        <w:tc>
          <w:tcPr>
            <w:tcW w:w="1809" w:type="dxa"/>
            <w:tcBorders>
              <w:top w:val="nil"/>
              <w:left w:val="nil"/>
              <w:bottom w:val="single" w:sz="4" w:space="0" w:color="auto"/>
              <w:right w:val="single" w:sz="4" w:space="0" w:color="auto"/>
            </w:tcBorders>
            <w:shd w:val="clear" w:color="auto" w:fill="auto"/>
            <w:vAlign w:val="center"/>
            <w:hideMark/>
          </w:tcPr>
          <w:p w14:paraId="5B158D1D"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Gestão da Educação (Gestão Administrativa Escolar, Gestão Calendário Escolar, Gestão Pedagógica, Secretaria escolar, Gestão do Professor)</w:t>
            </w:r>
          </w:p>
        </w:tc>
        <w:tc>
          <w:tcPr>
            <w:tcW w:w="529" w:type="dxa"/>
            <w:tcBorders>
              <w:top w:val="nil"/>
              <w:left w:val="nil"/>
              <w:bottom w:val="single" w:sz="4" w:space="0" w:color="auto"/>
              <w:right w:val="single" w:sz="4" w:space="0" w:color="auto"/>
            </w:tcBorders>
            <w:shd w:val="clear" w:color="auto" w:fill="auto"/>
            <w:vAlign w:val="center"/>
            <w:hideMark/>
          </w:tcPr>
          <w:p w14:paraId="64D37351"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EFBC5D7"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3BE193A9"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1682,47</w:t>
            </w:r>
          </w:p>
        </w:tc>
        <w:tc>
          <w:tcPr>
            <w:tcW w:w="1563" w:type="dxa"/>
            <w:tcBorders>
              <w:top w:val="nil"/>
              <w:left w:val="nil"/>
              <w:bottom w:val="single" w:sz="4" w:space="0" w:color="auto"/>
              <w:right w:val="single" w:sz="4" w:space="0" w:color="auto"/>
            </w:tcBorders>
            <w:shd w:val="clear" w:color="auto" w:fill="auto"/>
            <w:vAlign w:val="center"/>
            <w:hideMark/>
          </w:tcPr>
          <w:p w14:paraId="57EA89F8"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2120,00</w:t>
            </w:r>
          </w:p>
        </w:tc>
        <w:tc>
          <w:tcPr>
            <w:tcW w:w="1111" w:type="dxa"/>
            <w:tcBorders>
              <w:top w:val="nil"/>
              <w:left w:val="nil"/>
              <w:bottom w:val="single" w:sz="4" w:space="0" w:color="auto"/>
              <w:right w:val="single" w:sz="4" w:space="0" w:color="auto"/>
            </w:tcBorders>
            <w:shd w:val="clear" w:color="auto" w:fill="auto"/>
            <w:vAlign w:val="center"/>
            <w:hideMark/>
          </w:tcPr>
          <w:p w14:paraId="5BBBC52F"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9300</w:t>
            </w:r>
          </w:p>
        </w:tc>
        <w:tc>
          <w:tcPr>
            <w:tcW w:w="1233" w:type="dxa"/>
            <w:tcBorders>
              <w:top w:val="nil"/>
              <w:left w:val="nil"/>
              <w:bottom w:val="single" w:sz="4" w:space="0" w:color="auto"/>
              <w:right w:val="single" w:sz="4" w:space="0" w:color="auto"/>
            </w:tcBorders>
            <w:shd w:val="clear" w:color="auto" w:fill="auto"/>
            <w:vAlign w:val="center"/>
            <w:hideMark/>
          </w:tcPr>
          <w:p w14:paraId="4D8890F6"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2824</w:t>
            </w:r>
          </w:p>
        </w:tc>
        <w:tc>
          <w:tcPr>
            <w:tcW w:w="1185" w:type="dxa"/>
            <w:tcBorders>
              <w:top w:val="nil"/>
              <w:left w:val="nil"/>
              <w:bottom w:val="single" w:sz="4" w:space="0" w:color="auto"/>
              <w:right w:val="single" w:sz="4" w:space="0" w:color="auto"/>
            </w:tcBorders>
            <w:shd w:val="clear" w:color="auto" w:fill="auto"/>
            <w:vAlign w:val="center"/>
            <w:hideMark/>
          </w:tcPr>
          <w:p w14:paraId="0B2E14F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01E8362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471725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3.981,62 </w:t>
            </w:r>
          </w:p>
        </w:tc>
        <w:tc>
          <w:tcPr>
            <w:tcW w:w="1294" w:type="dxa"/>
            <w:tcBorders>
              <w:top w:val="nil"/>
              <w:left w:val="nil"/>
              <w:bottom w:val="single" w:sz="4" w:space="0" w:color="auto"/>
              <w:right w:val="single" w:sz="4" w:space="0" w:color="auto"/>
            </w:tcBorders>
            <w:shd w:val="clear" w:color="auto" w:fill="auto"/>
            <w:noWrap/>
            <w:vAlign w:val="bottom"/>
            <w:hideMark/>
          </w:tcPr>
          <w:p w14:paraId="4F3D6CF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47.779,41 </w:t>
            </w:r>
          </w:p>
        </w:tc>
      </w:tr>
      <w:tr w:rsidR="00B307DB" w:rsidRPr="00977C8B" w14:paraId="455DE0E7"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6C3C1C27"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1.5.2</w:t>
            </w:r>
          </w:p>
        </w:tc>
        <w:tc>
          <w:tcPr>
            <w:tcW w:w="1809" w:type="dxa"/>
            <w:tcBorders>
              <w:top w:val="nil"/>
              <w:left w:val="nil"/>
              <w:bottom w:val="single" w:sz="4" w:space="0" w:color="auto"/>
              <w:right w:val="single" w:sz="4" w:space="0" w:color="auto"/>
            </w:tcBorders>
            <w:shd w:val="clear" w:color="auto" w:fill="auto"/>
            <w:vAlign w:val="center"/>
            <w:hideMark/>
          </w:tcPr>
          <w:p w14:paraId="5910E54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Censo Escolar </w:t>
            </w:r>
          </w:p>
        </w:tc>
        <w:tc>
          <w:tcPr>
            <w:tcW w:w="529" w:type="dxa"/>
            <w:tcBorders>
              <w:top w:val="nil"/>
              <w:left w:val="nil"/>
              <w:bottom w:val="single" w:sz="4" w:space="0" w:color="auto"/>
              <w:right w:val="single" w:sz="4" w:space="0" w:color="auto"/>
            </w:tcBorders>
            <w:shd w:val="clear" w:color="auto" w:fill="auto"/>
            <w:vAlign w:val="center"/>
            <w:hideMark/>
          </w:tcPr>
          <w:p w14:paraId="7838AEEE"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319BCE02"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413AEBC8"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647,77</w:t>
            </w:r>
          </w:p>
        </w:tc>
        <w:tc>
          <w:tcPr>
            <w:tcW w:w="1563" w:type="dxa"/>
            <w:tcBorders>
              <w:top w:val="nil"/>
              <w:left w:val="nil"/>
              <w:bottom w:val="single" w:sz="4" w:space="0" w:color="auto"/>
              <w:right w:val="single" w:sz="4" w:space="0" w:color="auto"/>
            </w:tcBorders>
            <w:shd w:val="clear" w:color="auto" w:fill="auto"/>
            <w:vAlign w:val="center"/>
            <w:hideMark/>
          </w:tcPr>
          <w:p w14:paraId="0C74355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vAlign w:val="center"/>
            <w:hideMark/>
          </w:tcPr>
          <w:p w14:paraId="612E403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vAlign w:val="center"/>
            <w:hideMark/>
          </w:tcPr>
          <w:p w14:paraId="46624503"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center"/>
            <w:hideMark/>
          </w:tcPr>
          <w:p w14:paraId="42FE656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3485B834"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8F85FD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647,77 </w:t>
            </w:r>
          </w:p>
        </w:tc>
        <w:tc>
          <w:tcPr>
            <w:tcW w:w="1294" w:type="dxa"/>
            <w:tcBorders>
              <w:top w:val="nil"/>
              <w:left w:val="nil"/>
              <w:bottom w:val="single" w:sz="4" w:space="0" w:color="auto"/>
              <w:right w:val="single" w:sz="4" w:space="0" w:color="auto"/>
            </w:tcBorders>
            <w:shd w:val="clear" w:color="auto" w:fill="auto"/>
            <w:noWrap/>
            <w:vAlign w:val="bottom"/>
            <w:hideMark/>
          </w:tcPr>
          <w:p w14:paraId="3B80558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7.773,24 </w:t>
            </w:r>
          </w:p>
        </w:tc>
      </w:tr>
      <w:tr w:rsidR="00B307DB" w:rsidRPr="00977C8B" w14:paraId="64C05E6C"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D89D4FC"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1.5.3</w:t>
            </w:r>
          </w:p>
        </w:tc>
        <w:tc>
          <w:tcPr>
            <w:tcW w:w="1809" w:type="dxa"/>
            <w:tcBorders>
              <w:top w:val="nil"/>
              <w:left w:val="nil"/>
              <w:bottom w:val="single" w:sz="4" w:space="0" w:color="auto"/>
              <w:right w:val="single" w:sz="4" w:space="0" w:color="auto"/>
            </w:tcBorders>
            <w:shd w:val="clear" w:color="auto" w:fill="auto"/>
            <w:vAlign w:val="center"/>
            <w:hideMark/>
          </w:tcPr>
          <w:p w14:paraId="6BBCA3E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Transporte Escolar</w:t>
            </w:r>
          </w:p>
        </w:tc>
        <w:tc>
          <w:tcPr>
            <w:tcW w:w="529" w:type="dxa"/>
            <w:tcBorders>
              <w:top w:val="nil"/>
              <w:left w:val="nil"/>
              <w:bottom w:val="single" w:sz="4" w:space="0" w:color="auto"/>
              <w:right w:val="single" w:sz="4" w:space="0" w:color="auto"/>
            </w:tcBorders>
            <w:shd w:val="clear" w:color="auto" w:fill="auto"/>
            <w:vAlign w:val="center"/>
            <w:hideMark/>
          </w:tcPr>
          <w:p w14:paraId="3EE9E03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2D4C6AE3"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67AD616D"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437,15</w:t>
            </w:r>
          </w:p>
        </w:tc>
        <w:tc>
          <w:tcPr>
            <w:tcW w:w="1563" w:type="dxa"/>
            <w:tcBorders>
              <w:top w:val="nil"/>
              <w:left w:val="nil"/>
              <w:bottom w:val="single" w:sz="4" w:space="0" w:color="auto"/>
              <w:right w:val="single" w:sz="4" w:space="0" w:color="auto"/>
            </w:tcBorders>
            <w:shd w:val="clear" w:color="auto" w:fill="auto"/>
            <w:vAlign w:val="center"/>
            <w:hideMark/>
          </w:tcPr>
          <w:p w14:paraId="017F8012"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150,00</w:t>
            </w:r>
          </w:p>
        </w:tc>
        <w:tc>
          <w:tcPr>
            <w:tcW w:w="1111" w:type="dxa"/>
            <w:tcBorders>
              <w:top w:val="nil"/>
              <w:left w:val="nil"/>
              <w:bottom w:val="single" w:sz="4" w:space="0" w:color="auto"/>
              <w:right w:val="single" w:sz="4" w:space="0" w:color="auto"/>
            </w:tcBorders>
            <w:shd w:val="clear" w:color="auto" w:fill="auto"/>
            <w:vAlign w:val="center"/>
            <w:hideMark/>
          </w:tcPr>
          <w:p w14:paraId="1360F47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vAlign w:val="center"/>
            <w:hideMark/>
          </w:tcPr>
          <w:p w14:paraId="098FC02B"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179</w:t>
            </w:r>
          </w:p>
        </w:tc>
        <w:tc>
          <w:tcPr>
            <w:tcW w:w="1185" w:type="dxa"/>
            <w:tcBorders>
              <w:top w:val="nil"/>
              <w:left w:val="nil"/>
              <w:bottom w:val="single" w:sz="4" w:space="0" w:color="auto"/>
              <w:right w:val="single" w:sz="4" w:space="0" w:color="auto"/>
            </w:tcBorders>
            <w:shd w:val="clear" w:color="auto" w:fill="auto"/>
            <w:vAlign w:val="center"/>
            <w:hideMark/>
          </w:tcPr>
          <w:p w14:paraId="6ACBFA6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2E528CF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FF69083"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255,38 </w:t>
            </w:r>
          </w:p>
        </w:tc>
        <w:tc>
          <w:tcPr>
            <w:tcW w:w="1294" w:type="dxa"/>
            <w:tcBorders>
              <w:top w:val="nil"/>
              <w:left w:val="nil"/>
              <w:bottom w:val="single" w:sz="4" w:space="0" w:color="auto"/>
              <w:right w:val="single" w:sz="4" w:space="0" w:color="auto"/>
            </w:tcBorders>
            <w:shd w:val="clear" w:color="auto" w:fill="auto"/>
            <w:noWrap/>
            <w:vAlign w:val="bottom"/>
            <w:hideMark/>
          </w:tcPr>
          <w:p w14:paraId="2112AE9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3.064,60 </w:t>
            </w:r>
          </w:p>
        </w:tc>
      </w:tr>
      <w:tr w:rsidR="00B307DB" w:rsidRPr="00977C8B" w14:paraId="6A488F9A"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42F33C56"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1.5.4</w:t>
            </w:r>
          </w:p>
        </w:tc>
        <w:tc>
          <w:tcPr>
            <w:tcW w:w="1809" w:type="dxa"/>
            <w:tcBorders>
              <w:top w:val="nil"/>
              <w:left w:val="nil"/>
              <w:bottom w:val="single" w:sz="4" w:space="0" w:color="auto"/>
              <w:right w:val="single" w:sz="4" w:space="0" w:color="auto"/>
            </w:tcBorders>
            <w:shd w:val="clear" w:color="auto" w:fill="auto"/>
            <w:vAlign w:val="center"/>
            <w:hideMark/>
          </w:tcPr>
          <w:p w14:paraId="085E86B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App Professor</w:t>
            </w:r>
          </w:p>
        </w:tc>
        <w:tc>
          <w:tcPr>
            <w:tcW w:w="529" w:type="dxa"/>
            <w:tcBorders>
              <w:top w:val="nil"/>
              <w:left w:val="nil"/>
              <w:bottom w:val="single" w:sz="4" w:space="0" w:color="auto"/>
              <w:right w:val="single" w:sz="4" w:space="0" w:color="auto"/>
            </w:tcBorders>
            <w:shd w:val="clear" w:color="auto" w:fill="auto"/>
            <w:vAlign w:val="center"/>
            <w:hideMark/>
          </w:tcPr>
          <w:p w14:paraId="2D61C071"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1A2072D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69E34A85"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700,42</w:t>
            </w:r>
          </w:p>
        </w:tc>
        <w:tc>
          <w:tcPr>
            <w:tcW w:w="1563" w:type="dxa"/>
            <w:tcBorders>
              <w:top w:val="nil"/>
              <w:left w:val="nil"/>
              <w:bottom w:val="single" w:sz="4" w:space="0" w:color="auto"/>
              <w:right w:val="single" w:sz="4" w:space="0" w:color="auto"/>
            </w:tcBorders>
            <w:shd w:val="clear" w:color="auto" w:fill="auto"/>
            <w:vAlign w:val="center"/>
            <w:hideMark/>
          </w:tcPr>
          <w:p w14:paraId="4FAEC00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vAlign w:val="center"/>
            <w:hideMark/>
          </w:tcPr>
          <w:p w14:paraId="7E09EC7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vAlign w:val="center"/>
            <w:hideMark/>
          </w:tcPr>
          <w:p w14:paraId="5DC0765A"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366</w:t>
            </w:r>
          </w:p>
        </w:tc>
        <w:tc>
          <w:tcPr>
            <w:tcW w:w="1185" w:type="dxa"/>
            <w:tcBorders>
              <w:top w:val="nil"/>
              <w:left w:val="nil"/>
              <w:bottom w:val="single" w:sz="4" w:space="0" w:color="auto"/>
              <w:right w:val="single" w:sz="4" w:space="0" w:color="auto"/>
            </w:tcBorders>
            <w:shd w:val="clear" w:color="auto" w:fill="auto"/>
            <w:vAlign w:val="center"/>
            <w:hideMark/>
          </w:tcPr>
          <w:p w14:paraId="3B8949A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1CDBD8F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91F969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533,21 </w:t>
            </w:r>
          </w:p>
        </w:tc>
        <w:tc>
          <w:tcPr>
            <w:tcW w:w="1294" w:type="dxa"/>
            <w:tcBorders>
              <w:top w:val="nil"/>
              <w:left w:val="nil"/>
              <w:bottom w:val="single" w:sz="4" w:space="0" w:color="auto"/>
              <w:right w:val="single" w:sz="4" w:space="0" w:color="auto"/>
            </w:tcBorders>
            <w:shd w:val="clear" w:color="auto" w:fill="auto"/>
            <w:noWrap/>
            <w:vAlign w:val="bottom"/>
            <w:hideMark/>
          </w:tcPr>
          <w:p w14:paraId="0BE1A37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6.398,52 </w:t>
            </w:r>
          </w:p>
        </w:tc>
      </w:tr>
      <w:tr w:rsidR="00B307DB" w:rsidRPr="00977C8B" w14:paraId="782C4008" w14:textId="77777777" w:rsidTr="00B307DB">
        <w:trPr>
          <w:trHeight w:val="98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7CB9E773" w14:textId="77777777" w:rsidR="00B307DB" w:rsidRPr="00977C8B" w:rsidRDefault="00B307DB" w:rsidP="00B307D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1.6</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02F1252F" w14:textId="77777777" w:rsidR="00B307DB" w:rsidRPr="00977C8B" w:rsidRDefault="00B307DB" w:rsidP="00B307D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MÓDULOS PARA USO DA SECRETARIA DE ASSISTÊNCIA SOCIAL</w:t>
            </w:r>
          </w:p>
        </w:tc>
      </w:tr>
      <w:tr w:rsidR="00B307DB" w:rsidRPr="00977C8B" w14:paraId="7C7506C3"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4A16972"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1.6.1</w:t>
            </w:r>
          </w:p>
        </w:tc>
        <w:tc>
          <w:tcPr>
            <w:tcW w:w="1809" w:type="dxa"/>
            <w:tcBorders>
              <w:top w:val="nil"/>
              <w:left w:val="nil"/>
              <w:bottom w:val="single" w:sz="4" w:space="0" w:color="auto"/>
              <w:right w:val="single" w:sz="4" w:space="0" w:color="auto"/>
            </w:tcBorders>
            <w:shd w:val="clear" w:color="auto" w:fill="auto"/>
            <w:vAlign w:val="center"/>
            <w:hideMark/>
          </w:tcPr>
          <w:p w14:paraId="4F57129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rPr>
              <w:t>Gestão da Assistência Social</w:t>
            </w:r>
          </w:p>
        </w:tc>
        <w:tc>
          <w:tcPr>
            <w:tcW w:w="529" w:type="dxa"/>
            <w:tcBorders>
              <w:top w:val="nil"/>
              <w:left w:val="nil"/>
              <w:bottom w:val="single" w:sz="4" w:space="0" w:color="auto"/>
              <w:right w:val="single" w:sz="4" w:space="0" w:color="auto"/>
            </w:tcBorders>
            <w:shd w:val="clear" w:color="auto" w:fill="auto"/>
            <w:vAlign w:val="center"/>
            <w:hideMark/>
          </w:tcPr>
          <w:p w14:paraId="5A719621"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12</w:t>
            </w:r>
          </w:p>
        </w:tc>
        <w:tc>
          <w:tcPr>
            <w:tcW w:w="818" w:type="dxa"/>
            <w:tcBorders>
              <w:top w:val="nil"/>
              <w:left w:val="nil"/>
              <w:bottom w:val="single" w:sz="4" w:space="0" w:color="auto"/>
              <w:right w:val="single" w:sz="4" w:space="0" w:color="auto"/>
            </w:tcBorders>
            <w:shd w:val="clear" w:color="auto" w:fill="auto"/>
            <w:vAlign w:val="center"/>
            <w:hideMark/>
          </w:tcPr>
          <w:p w14:paraId="5299575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Meses</w:t>
            </w:r>
          </w:p>
        </w:tc>
        <w:tc>
          <w:tcPr>
            <w:tcW w:w="1563" w:type="dxa"/>
            <w:tcBorders>
              <w:top w:val="nil"/>
              <w:left w:val="nil"/>
              <w:bottom w:val="single" w:sz="4" w:space="0" w:color="auto"/>
              <w:right w:val="single" w:sz="4" w:space="0" w:color="auto"/>
            </w:tcBorders>
            <w:shd w:val="clear" w:color="auto" w:fill="auto"/>
            <w:vAlign w:val="center"/>
            <w:hideMark/>
          </w:tcPr>
          <w:p w14:paraId="5FB78468" w14:textId="77777777" w:rsidR="00B307DB" w:rsidRPr="00977C8B" w:rsidRDefault="00B307DB" w:rsidP="00B307DB">
            <w:pPr>
              <w:spacing w:after="0" w:line="240" w:lineRule="auto"/>
              <w:jc w:val="right"/>
              <w:rPr>
                <w:rFonts w:ascii="Times New Roman" w:hAnsi="Times New Roman" w:cs="Times New Roman"/>
                <w:color w:val="000000"/>
              </w:rPr>
            </w:pPr>
            <w:r w:rsidRPr="00977C8B">
              <w:rPr>
                <w:rFonts w:ascii="Times New Roman" w:hAnsi="Times New Roman" w:cs="Times New Roman"/>
                <w:color w:val="000000"/>
              </w:rPr>
              <w:t>1412</w:t>
            </w:r>
          </w:p>
        </w:tc>
        <w:tc>
          <w:tcPr>
            <w:tcW w:w="1563" w:type="dxa"/>
            <w:tcBorders>
              <w:top w:val="nil"/>
              <w:left w:val="nil"/>
              <w:bottom w:val="single" w:sz="4" w:space="0" w:color="auto"/>
              <w:right w:val="single" w:sz="4" w:space="0" w:color="auto"/>
            </w:tcBorders>
            <w:shd w:val="clear" w:color="auto" w:fill="auto"/>
            <w:vAlign w:val="center"/>
            <w:hideMark/>
          </w:tcPr>
          <w:p w14:paraId="1E5F7CA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vAlign w:val="center"/>
            <w:hideMark/>
          </w:tcPr>
          <w:p w14:paraId="503DB13D"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vAlign w:val="center"/>
            <w:hideMark/>
          </w:tcPr>
          <w:p w14:paraId="69C54F3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vAlign w:val="center"/>
            <w:hideMark/>
          </w:tcPr>
          <w:p w14:paraId="517C096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vAlign w:val="center"/>
            <w:hideMark/>
          </w:tcPr>
          <w:p w14:paraId="1E8299C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3513DF5"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1.412,00 </w:t>
            </w:r>
          </w:p>
        </w:tc>
        <w:tc>
          <w:tcPr>
            <w:tcW w:w="1294" w:type="dxa"/>
            <w:tcBorders>
              <w:top w:val="nil"/>
              <w:left w:val="nil"/>
              <w:bottom w:val="single" w:sz="4" w:space="0" w:color="auto"/>
              <w:right w:val="single" w:sz="4" w:space="0" w:color="auto"/>
            </w:tcBorders>
            <w:shd w:val="clear" w:color="auto" w:fill="auto"/>
            <w:noWrap/>
            <w:vAlign w:val="bottom"/>
            <w:hideMark/>
          </w:tcPr>
          <w:p w14:paraId="2EC2A65D"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16.944,00 </w:t>
            </w:r>
          </w:p>
        </w:tc>
      </w:tr>
      <w:tr w:rsidR="00B307DB" w:rsidRPr="00977C8B" w14:paraId="51BC13F9" w14:textId="77777777" w:rsidTr="00B307DB">
        <w:trPr>
          <w:trHeight w:val="984"/>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09163E5" w14:textId="77777777" w:rsidR="00B307DB" w:rsidRPr="00977C8B" w:rsidRDefault="00B307DB" w:rsidP="00B307D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2</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54B2282C" w14:textId="77777777" w:rsidR="00B307DB" w:rsidRPr="00977C8B" w:rsidRDefault="00B307DB" w:rsidP="00B307D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OBJETO: MIGRAÇÂO DE DADOS</w:t>
            </w:r>
          </w:p>
        </w:tc>
      </w:tr>
      <w:tr w:rsidR="00B307DB" w:rsidRPr="00977C8B" w14:paraId="4D4B0E2E" w14:textId="77777777" w:rsidTr="00B307DB">
        <w:trPr>
          <w:trHeight w:val="165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37571831"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2.1</w:t>
            </w:r>
          </w:p>
        </w:tc>
        <w:tc>
          <w:tcPr>
            <w:tcW w:w="1809" w:type="dxa"/>
            <w:tcBorders>
              <w:top w:val="nil"/>
              <w:left w:val="nil"/>
              <w:bottom w:val="single" w:sz="4" w:space="0" w:color="auto"/>
              <w:right w:val="single" w:sz="4" w:space="0" w:color="auto"/>
            </w:tcBorders>
            <w:shd w:val="clear" w:color="auto" w:fill="auto"/>
            <w:vAlign w:val="center"/>
            <w:hideMark/>
          </w:tcPr>
          <w:p w14:paraId="2347D663"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Serviços de diagnóstico, migração de dados, configuração, habilitação e treinamento de usuários: MUNICÍPIO RIQUEZA, FUNDOS MUNICIPAIS CÂMERA DE VEREADORES SECRETARIA DE EDUCAÇÃO SECRETARIA DE SAÚDE E ASSISTÊNCIA SOCIAL</w:t>
            </w:r>
          </w:p>
        </w:tc>
        <w:tc>
          <w:tcPr>
            <w:tcW w:w="529" w:type="dxa"/>
            <w:tcBorders>
              <w:top w:val="nil"/>
              <w:left w:val="nil"/>
              <w:bottom w:val="single" w:sz="4" w:space="0" w:color="auto"/>
              <w:right w:val="single" w:sz="4" w:space="0" w:color="auto"/>
            </w:tcBorders>
            <w:shd w:val="clear" w:color="auto" w:fill="auto"/>
            <w:vAlign w:val="center"/>
            <w:hideMark/>
          </w:tcPr>
          <w:p w14:paraId="15F84B7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1</w:t>
            </w:r>
          </w:p>
        </w:tc>
        <w:tc>
          <w:tcPr>
            <w:tcW w:w="818" w:type="dxa"/>
            <w:tcBorders>
              <w:top w:val="nil"/>
              <w:left w:val="nil"/>
              <w:bottom w:val="single" w:sz="4" w:space="0" w:color="auto"/>
              <w:right w:val="single" w:sz="4" w:space="0" w:color="auto"/>
            </w:tcBorders>
            <w:shd w:val="clear" w:color="auto" w:fill="auto"/>
            <w:vAlign w:val="center"/>
            <w:hideMark/>
          </w:tcPr>
          <w:p w14:paraId="7174C4B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Serviço</w:t>
            </w:r>
          </w:p>
        </w:tc>
        <w:tc>
          <w:tcPr>
            <w:tcW w:w="1563" w:type="dxa"/>
            <w:tcBorders>
              <w:top w:val="nil"/>
              <w:left w:val="nil"/>
              <w:bottom w:val="single" w:sz="4" w:space="0" w:color="auto"/>
              <w:right w:val="single" w:sz="4" w:space="0" w:color="auto"/>
            </w:tcBorders>
            <w:shd w:val="clear" w:color="auto" w:fill="auto"/>
            <w:noWrap/>
            <w:vAlign w:val="center"/>
            <w:hideMark/>
          </w:tcPr>
          <w:p w14:paraId="27AC67B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78.155,00 </w:t>
            </w:r>
          </w:p>
        </w:tc>
        <w:tc>
          <w:tcPr>
            <w:tcW w:w="1563" w:type="dxa"/>
            <w:tcBorders>
              <w:top w:val="nil"/>
              <w:left w:val="nil"/>
              <w:bottom w:val="single" w:sz="4" w:space="0" w:color="auto"/>
              <w:right w:val="single" w:sz="4" w:space="0" w:color="auto"/>
            </w:tcBorders>
            <w:shd w:val="clear" w:color="auto" w:fill="auto"/>
            <w:noWrap/>
            <w:vAlign w:val="center"/>
            <w:hideMark/>
          </w:tcPr>
          <w:p w14:paraId="1C12D3D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40.000,00 </w:t>
            </w:r>
          </w:p>
        </w:tc>
        <w:tc>
          <w:tcPr>
            <w:tcW w:w="1111" w:type="dxa"/>
            <w:tcBorders>
              <w:top w:val="nil"/>
              <w:left w:val="nil"/>
              <w:bottom w:val="single" w:sz="4" w:space="0" w:color="auto"/>
              <w:right w:val="single" w:sz="4" w:space="0" w:color="auto"/>
            </w:tcBorders>
            <w:shd w:val="clear" w:color="auto" w:fill="auto"/>
            <w:noWrap/>
            <w:vAlign w:val="bottom"/>
            <w:hideMark/>
          </w:tcPr>
          <w:p w14:paraId="195566C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29.597,32 </w:t>
            </w:r>
          </w:p>
        </w:tc>
        <w:tc>
          <w:tcPr>
            <w:tcW w:w="1233" w:type="dxa"/>
            <w:tcBorders>
              <w:top w:val="nil"/>
              <w:left w:val="nil"/>
              <w:bottom w:val="single" w:sz="4" w:space="0" w:color="auto"/>
              <w:right w:val="single" w:sz="4" w:space="0" w:color="auto"/>
            </w:tcBorders>
            <w:shd w:val="clear" w:color="auto" w:fill="auto"/>
            <w:noWrap/>
            <w:vAlign w:val="bottom"/>
            <w:hideMark/>
          </w:tcPr>
          <w:p w14:paraId="7C539B74"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149.597,00 </w:t>
            </w:r>
          </w:p>
        </w:tc>
        <w:tc>
          <w:tcPr>
            <w:tcW w:w="1185" w:type="dxa"/>
            <w:tcBorders>
              <w:top w:val="nil"/>
              <w:left w:val="nil"/>
              <w:bottom w:val="single" w:sz="4" w:space="0" w:color="auto"/>
              <w:right w:val="single" w:sz="4" w:space="0" w:color="auto"/>
            </w:tcBorders>
            <w:shd w:val="clear" w:color="auto" w:fill="auto"/>
            <w:noWrap/>
            <w:vAlign w:val="bottom"/>
            <w:hideMark/>
          </w:tcPr>
          <w:p w14:paraId="2E7FAAD3"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20.572,80 </w:t>
            </w:r>
          </w:p>
        </w:tc>
        <w:tc>
          <w:tcPr>
            <w:tcW w:w="1058" w:type="dxa"/>
            <w:tcBorders>
              <w:top w:val="nil"/>
              <w:left w:val="nil"/>
              <w:bottom w:val="single" w:sz="4" w:space="0" w:color="auto"/>
              <w:right w:val="single" w:sz="4" w:space="0" w:color="auto"/>
            </w:tcBorders>
            <w:shd w:val="clear" w:color="auto" w:fill="auto"/>
            <w:noWrap/>
            <w:vAlign w:val="bottom"/>
            <w:hideMark/>
          </w:tcPr>
          <w:p w14:paraId="72C939E4"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CBEC67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63.584,42 </w:t>
            </w:r>
          </w:p>
        </w:tc>
        <w:tc>
          <w:tcPr>
            <w:tcW w:w="1294" w:type="dxa"/>
            <w:tcBorders>
              <w:top w:val="nil"/>
              <w:left w:val="nil"/>
              <w:bottom w:val="single" w:sz="4" w:space="0" w:color="auto"/>
              <w:right w:val="single" w:sz="4" w:space="0" w:color="auto"/>
            </w:tcBorders>
            <w:shd w:val="clear" w:color="auto" w:fill="auto"/>
            <w:noWrap/>
            <w:vAlign w:val="bottom"/>
            <w:hideMark/>
          </w:tcPr>
          <w:p w14:paraId="2DD130D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63.584,42 </w:t>
            </w:r>
          </w:p>
        </w:tc>
      </w:tr>
      <w:tr w:rsidR="00B307DB" w:rsidRPr="00977C8B" w14:paraId="6111CC0D" w14:textId="77777777" w:rsidTr="00B307DB">
        <w:trPr>
          <w:trHeight w:val="300"/>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36BDA65" w14:textId="77777777" w:rsidR="00B307DB" w:rsidRPr="00977C8B" w:rsidRDefault="00B307DB" w:rsidP="00B307DB">
            <w:pPr>
              <w:spacing w:after="0" w:line="240" w:lineRule="auto"/>
              <w:jc w:val="center"/>
              <w:rPr>
                <w:rFonts w:ascii="Times New Roman" w:hAnsi="Times New Roman" w:cs="Times New Roman"/>
                <w:b/>
                <w:bCs/>
                <w:color w:val="000000"/>
              </w:rPr>
            </w:pPr>
            <w:r w:rsidRPr="00977C8B">
              <w:rPr>
                <w:rFonts w:ascii="Times New Roman" w:hAnsi="Times New Roman" w:cs="Times New Roman"/>
                <w:b/>
                <w:bCs/>
                <w:color w:val="000000"/>
              </w:rPr>
              <w:t>3</w:t>
            </w:r>
          </w:p>
        </w:tc>
        <w:tc>
          <w:tcPr>
            <w:tcW w:w="13103" w:type="dxa"/>
            <w:gridSpan w:val="11"/>
            <w:tcBorders>
              <w:top w:val="single" w:sz="4" w:space="0" w:color="auto"/>
              <w:left w:val="nil"/>
              <w:bottom w:val="single" w:sz="4" w:space="0" w:color="auto"/>
              <w:right w:val="single" w:sz="4" w:space="0" w:color="auto"/>
            </w:tcBorders>
            <w:shd w:val="clear" w:color="auto" w:fill="auto"/>
            <w:vAlign w:val="center"/>
            <w:hideMark/>
          </w:tcPr>
          <w:p w14:paraId="6BA62CCE" w14:textId="77777777" w:rsidR="00B307DB" w:rsidRPr="00977C8B" w:rsidRDefault="00B307DB" w:rsidP="00B307DB">
            <w:pPr>
              <w:spacing w:after="0" w:line="240" w:lineRule="auto"/>
              <w:rPr>
                <w:rFonts w:ascii="Times New Roman" w:hAnsi="Times New Roman" w:cs="Times New Roman"/>
                <w:b/>
                <w:bCs/>
                <w:color w:val="000000"/>
              </w:rPr>
            </w:pPr>
            <w:r w:rsidRPr="00977C8B">
              <w:rPr>
                <w:rFonts w:ascii="Times New Roman" w:hAnsi="Times New Roman" w:cs="Times New Roman"/>
                <w:b/>
                <w:bCs/>
                <w:color w:val="000000"/>
              </w:rPr>
              <w:t>SERVIÇOS ADICIONAIS</w:t>
            </w:r>
          </w:p>
        </w:tc>
      </w:tr>
      <w:tr w:rsidR="00B307DB" w:rsidRPr="00977C8B" w14:paraId="547CCD3B"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02CDFA4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3.1</w:t>
            </w:r>
          </w:p>
        </w:tc>
        <w:tc>
          <w:tcPr>
            <w:tcW w:w="1809" w:type="dxa"/>
            <w:tcBorders>
              <w:top w:val="nil"/>
              <w:left w:val="nil"/>
              <w:bottom w:val="single" w:sz="4" w:space="0" w:color="auto"/>
              <w:right w:val="single" w:sz="4" w:space="0" w:color="auto"/>
            </w:tcBorders>
            <w:shd w:val="clear" w:color="auto" w:fill="auto"/>
            <w:vAlign w:val="center"/>
            <w:hideMark/>
          </w:tcPr>
          <w:p w14:paraId="33060F7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Atendimento técnico presencial</w:t>
            </w:r>
          </w:p>
        </w:tc>
        <w:tc>
          <w:tcPr>
            <w:tcW w:w="529" w:type="dxa"/>
            <w:tcBorders>
              <w:top w:val="nil"/>
              <w:left w:val="nil"/>
              <w:bottom w:val="single" w:sz="4" w:space="0" w:color="auto"/>
              <w:right w:val="single" w:sz="4" w:space="0" w:color="auto"/>
            </w:tcBorders>
            <w:shd w:val="clear" w:color="auto" w:fill="auto"/>
            <w:vAlign w:val="center"/>
            <w:hideMark/>
          </w:tcPr>
          <w:p w14:paraId="0A8C1424"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3AED4D4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3CBA1FA4"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235,00 </w:t>
            </w:r>
          </w:p>
        </w:tc>
        <w:tc>
          <w:tcPr>
            <w:tcW w:w="1563" w:type="dxa"/>
            <w:tcBorders>
              <w:top w:val="nil"/>
              <w:left w:val="nil"/>
              <w:bottom w:val="single" w:sz="4" w:space="0" w:color="auto"/>
              <w:right w:val="single" w:sz="4" w:space="0" w:color="auto"/>
            </w:tcBorders>
            <w:shd w:val="clear" w:color="auto" w:fill="auto"/>
            <w:noWrap/>
            <w:vAlign w:val="bottom"/>
            <w:hideMark/>
          </w:tcPr>
          <w:p w14:paraId="4B5CACA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D59110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226,00 </w:t>
            </w:r>
          </w:p>
        </w:tc>
        <w:tc>
          <w:tcPr>
            <w:tcW w:w="1233" w:type="dxa"/>
            <w:tcBorders>
              <w:top w:val="nil"/>
              <w:left w:val="nil"/>
              <w:bottom w:val="single" w:sz="4" w:space="0" w:color="auto"/>
              <w:right w:val="single" w:sz="4" w:space="0" w:color="auto"/>
            </w:tcBorders>
            <w:shd w:val="clear" w:color="auto" w:fill="auto"/>
            <w:noWrap/>
            <w:vAlign w:val="bottom"/>
            <w:hideMark/>
          </w:tcPr>
          <w:p w14:paraId="1CEE615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213,60 </w:t>
            </w:r>
          </w:p>
        </w:tc>
        <w:tc>
          <w:tcPr>
            <w:tcW w:w="1185" w:type="dxa"/>
            <w:tcBorders>
              <w:top w:val="nil"/>
              <w:left w:val="nil"/>
              <w:bottom w:val="single" w:sz="4" w:space="0" w:color="auto"/>
              <w:right w:val="single" w:sz="4" w:space="0" w:color="auto"/>
            </w:tcBorders>
            <w:shd w:val="clear" w:color="auto" w:fill="auto"/>
            <w:noWrap/>
            <w:vAlign w:val="bottom"/>
            <w:hideMark/>
          </w:tcPr>
          <w:p w14:paraId="00199B8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7171529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179,44 </w:t>
            </w:r>
          </w:p>
        </w:tc>
        <w:tc>
          <w:tcPr>
            <w:tcW w:w="940" w:type="dxa"/>
            <w:tcBorders>
              <w:top w:val="nil"/>
              <w:left w:val="nil"/>
              <w:bottom w:val="single" w:sz="4" w:space="0" w:color="auto"/>
              <w:right w:val="single" w:sz="4" w:space="0" w:color="auto"/>
            </w:tcBorders>
            <w:shd w:val="clear" w:color="auto" w:fill="auto"/>
            <w:noWrap/>
            <w:vAlign w:val="bottom"/>
            <w:hideMark/>
          </w:tcPr>
          <w:p w14:paraId="237ACAB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213,51 </w:t>
            </w:r>
          </w:p>
        </w:tc>
        <w:tc>
          <w:tcPr>
            <w:tcW w:w="1294" w:type="dxa"/>
            <w:tcBorders>
              <w:top w:val="nil"/>
              <w:left w:val="nil"/>
              <w:bottom w:val="single" w:sz="4" w:space="0" w:color="auto"/>
              <w:right w:val="single" w:sz="4" w:space="0" w:color="auto"/>
            </w:tcBorders>
            <w:shd w:val="clear" w:color="auto" w:fill="auto"/>
            <w:noWrap/>
            <w:vAlign w:val="bottom"/>
            <w:hideMark/>
          </w:tcPr>
          <w:p w14:paraId="38C0B8C2"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5.337,75 </w:t>
            </w:r>
          </w:p>
        </w:tc>
      </w:tr>
      <w:tr w:rsidR="00B307DB" w:rsidRPr="00977C8B" w14:paraId="532471A2"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2DA39B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3.2</w:t>
            </w:r>
          </w:p>
        </w:tc>
        <w:tc>
          <w:tcPr>
            <w:tcW w:w="1809" w:type="dxa"/>
            <w:tcBorders>
              <w:top w:val="nil"/>
              <w:left w:val="nil"/>
              <w:bottom w:val="single" w:sz="4" w:space="0" w:color="auto"/>
              <w:right w:val="single" w:sz="4" w:space="0" w:color="auto"/>
            </w:tcBorders>
            <w:shd w:val="clear" w:color="auto" w:fill="auto"/>
            <w:vAlign w:val="center"/>
            <w:hideMark/>
          </w:tcPr>
          <w:p w14:paraId="18E4B67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Atendimento técnico remoto</w:t>
            </w:r>
          </w:p>
        </w:tc>
        <w:tc>
          <w:tcPr>
            <w:tcW w:w="529" w:type="dxa"/>
            <w:tcBorders>
              <w:top w:val="nil"/>
              <w:left w:val="nil"/>
              <w:bottom w:val="single" w:sz="4" w:space="0" w:color="auto"/>
              <w:right w:val="single" w:sz="4" w:space="0" w:color="auto"/>
            </w:tcBorders>
            <w:shd w:val="clear" w:color="auto" w:fill="auto"/>
            <w:vAlign w:val="center"/>
            <w:hideMark/>
          </w:tcPr>
          <w:p w14:paraId="1938A15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2C9148B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5CA049D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155,00 </w:t>
            </w:r>
          </w:p>
        </w:tc>
        <w:tc>
          <w:tcPr>
            <w:tcW w:w="1563" w:type="dxa"/>
            <w:tcBorders>
              <w:top w:val="nil"/>
              <w:left w:val="nil"/>
              <w:bottom w:val="single" w:sz="4" w:space="0" w:color="auto"/>
              <w:right w:val="single" w:sz="4" w:space="0" w:color="auto"/>
            </w:tcBorders>
            <w:shd w:val="clear" w:color="auto" w:fill="auto"/>
            <w:noWrap/>
            <w:vAlign w:val="bottom"/>
            <w:hideMark/>
          </w:tcPr>
          <w:p w14:paraId="0C3E568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E8AA8E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142,00 </w:t>
            </w:r>
          </w:p>
        </w:tc>
        <w:tc>
          <w:tcPr>
            <w:tcW w:w="1233" w:type="dxa"/>
            <w:tcBorders>
              <w:top w:val="nil"/>
              <w:left w:val="nil"/>
              <w:bottom w:val="single" w:sz="4" w:space="0" w:color="auto"/>
              <w:right w:val="single" w:sz="4" w:space="0" w:color="auto"/>
            </w:tcBorders>
            <w:shd w:val="clear" w:color="auto" w:fill="auto"/>
            <w:noWrap/>
            <w:vAlign w:val="bottom"/>
            <w:hideMark/>
          </w:tcPr>
          <w:p w14:paraId="387E654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142,67 </w:t>
            </w:r>
          </w:p>
        </w:tc>
        <w:tc>
          <w:tcPr>
            <w:tcW w:w="1185" w:type="dxa"/>
            <w:tcBorders>
              <w:top w:val="nil"/>
              <w:left w:val="nil"/>
              <w:bottom w:val="single" w:sz="4" w:space="0" w:color="auto"/>
              <w:right w:val="single" w:sz="4" w:space="0" w:color="auto"/>
            </w:tcBorders>
            <w:shd w:val="clear" w:color="auto" w:fill="auto"/>
            <w:noWrap/>
            <w:vAlign w:val="bottom"/>
            <w:hideMark/>
          </w:tcPr>
          <w:p w14:paraId="640154C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21F12C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141,47 </w:t>
            </w:r>
          </w:p>
        </w:tc>
        <w:tc>
          <w:tcPr>
            <w:tcW w:w="940" w:type="dxa"/>
            <w:tcBorders>
              <w:top w:val="nil"/>
              <w:left w:val="nil"/>
              <w:bottom w:val="single" w:sz="4" w:space="0" w:color="auto"/>
              <w:right w:val="single" w:sz="4" w:space="0" w:color="auto"/>
            </w:tcBorders>
            <w:shd w:val="clear" w:color="auto" w:fill="auto"/>
            <w:noWrap/>
            <w:vAlign w:val="bottom"/>
            <w:hideMark/>
          </w:tcPr>
          <w:p w14:paraId="1D20B2D1"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145,29 </w:t>
            </w:r>
          </w:p>
        </w:tc>
        <w:tc>
          <w:tcPr>
            <w:tcW w:w="1294" w:type="dxa"/>
            <w:tcBorders>
              <w:top w:val="nil"/>
              <w:left w:val="nil"/>
              <w:bottom w:val="single" w:sz="4" w:space="0" w:color="auto"/>
              <w:right w:val="single" w:sz="4" w:space="0" w:color="auto"/>
            </w:tcBorders>
            <w:shd w:val="clear" w:color="auto" w:fill="auto"/>
            <w:noWrap/>
            <w:vAlign w:val="bottom"/>
            <w:hideMark/>
          </w:tcPr>
          <w:p w14:paraId="0A78B0D4"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3.632,13 </w:t>
            </w:r>
          </w:p>
        </w:tc>
      </w:tr>
      <w:tr w:rsidR="00B307DB" w:rsidRPr="00977C8B" w14:paraId="5C615106" w14:textId="77777777" w:rsidTr="00B307DB">
        <w:trPr>
          <w:trHeight w:val="276"/>
        </w:trPr>
        <w:tc>
          <w:tcPr>
            <w:tcW w:w="690" w:type="dxa"/>
            <w:tcBorders>
              <w:top w:val="nil"/>
              <w:left w:val="single" w:sz="4" w:space="0" w:color="auto"/>
              <w:bottom w:val="single" w:sz="4" w:space="0" w:color="auto"/>
              <w:right w:val="single" w:sz="4" w:space="0" w:color="auto"/>
            </w:tcBorders>
            <w:shd w:val="clear" w:color="FFFFCC" w:fill="FFFFFF"/>
            <w:vAlign w:val="center"/>
            <w:hideMark/>
          </w:tcPr>
          <w:p w14:paraId="38282BA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3.3</w:t>
            </w:r>
          </w:p>
        </w:tc>
        <w:tc>
          <w:tcPr>
            <w:tcW w:w="1809" w:type="dxa"/>
            <w:tcBorders>
              <w:top w:val="nil"/>
              <w:left w:val="nil"/>
              <w:bottom w:val="single" w:sz="4" w:space="0" w:color="auto"/>
              <w:right w:val="single" w:sz="4" w:space="0" w:color="auto"/>
            </w:tcBorders>
            <w:shd w:val="clear" w:color="auto" w:fill="auto"/>
            <w:vAlign w:val="center"/>
            <w:hideMark/>
          </w:tcPr>
          <w:p w14:paraId="7820147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Configurações </w:t>
            </w:r>
          </w:p>
        </w:tc>
        <w:tc>
          <w:tcPr>
            <w:tcW w:w="529" w:type="dxa"/>
            <w:tcBorders>
              <w:top w:val="nil"/>
              <w:left w:val="nil"/>
              <w:bottom w:val="single" w:sz="4" w:space="0" w:color="auto"/>
              <w:right w:val="single" w:sz="4" w:space="0" w:color="auto"/>
            </w:tcBorders>
            <w:shd w:val="clear" w:color="auto" w:fill="auto"/>
            <w:vAlign w:val="center"/>
            <w:hideMark/>
          </w:tcPr>
          <w:p w14:paraId="01BDEEC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6E7EF2B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1732DBF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251,00 </w:t>
            </w:r>
          </w:p>
        </w:tc>
        <w:tc>
          <w:tcPr>
            <w:tcW w:w="1563" w:type="dxa"/>
            <w:tcBorders>
              <w:top w:val="nil"/>
              <w:left w:val="nil"/>
              <w:bottom w:val="single" w:sz="4" w:space="0" w:color="auto"/>
              <w:right w:val="single" w:sz="4" w:space="0" w:color="auto"/>
            </w:tcBorders>
            <w:shd w:val="clear" w:color="auto" w:fill="auto"/>
            <w:noWrap/>
            <w:vAlign w:val="bottom"/>
            <w:hideMark/>
          </w:tcPr>
          <w:p w14:paraId="152E1A4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24B202E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246,00 </w:t>
            </w:r>
          </w:p>
        </w:tc>
        <w:tc>
          <w:tcPr>
            <w:tcW w:w="1233" w:type="dxa"/>
            <w:tcBorders>
              <w:top w:val="nil"/>
              <w:left w:val="nil"/>
              <w:bottom w:val="single" w:sz="4" w:space="0" w:color="auto"/>
              <w:right w:val="single" w:sz="4" w:space="0" w:color="auto"/>
            </w:tcBorders>
            <w:shd w:val="clear" w:color="auto" w:fill="auto"/>
            <w:noWrap/>
            <w:vAlign w:val="bottom"/>
            <w:hideMark/>
          </w:tcPr>
          <w:p w14:paraId="5C27641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E36A07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40B6C93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F528160"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248,50 </w:t>
            </w:r>
          </w:p>
        </w:tc>
        <w:tc>
          <w:tcPr>
            <w:tcW w:w="1294" w:type="dxa"/>
            <w:tcBorders>
              <w:top w:val="nil"/>
              <w:left w:val="nil"/>
              <w:bottom w:val="single" w:sz="4" w:space="0" w:color="auto"/>
              <w:right w:val="single" w:sz="4" w:space="0" w:color="auto"/>
            </w:tcBorders>
            <w:shd w:val="clear" w:color="auto" w:fill="auto"/>
            <w:noWrap/>
            <w:vAlign w:val="bottom"/>
            <w:hideMark/>
          </w:tcPr>
          <w:p w14:paraId="5B3A086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6.212,50 </w:t>
            </w:r>
          </w:p>
        </w:tc>
      </w:tr>
      <w:tr w:rsidR="00B307DB" w:rsidRPr="00977C8B" w14:paraId="2C1FFA76" w14:textId="77777777" w:rsidTr="00B307DB">
        <w:trPr>
          <w:trHeight w:val="276"/>
        </w:trPr>
        <w:tc>
          <w:tcPr>
            <w:tcW w:w="690" w:type="dxa"/>
            <w:tcBorders>
              <w:top w:val="nil"/>
              <w:left w:val="single" w:sz="4" w:space="0" w:color="auto"/>
              <w:bottom w:val="single" w:sz="4" w:space="0" w:color="auto"/>
              <w:right w:val="single" w:sz="4" w:space="0" w:color="auto"/>
            </w:tcBorders>
            <w:shd w:val="clear" w:color="FFFFCC" w:fill="FFFFFF"/>
            <w:vAlign w:val="center"/>
            <w:hideMark/>
          </w:tcPr>
          <w:p w14:paraId="1C6E4BD1"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3.4</w:t>
            </w:r>
          </w:p>
        </w:tc>
        <w:tc>
          <w:tcPr>
            <w:tcW w:w="1809" w:type="dxa"/>
            <w:tcBorders>
              <w:top w:val="nil"/>
              <w:left w:val="nil"/>
              <w:bottom w:val="single" w:sz="4" w:space="0" w:color="auto"/>
              <w:right w:val="single" w:sz="4" w:space="0" w:color="auto"/>
            </w:tcBorders>
            <w:shd w:val="clear" w:color="auto" w:fill="auto"/>
            <w:vAlign w:val="center"/>
            <w:hideMark/>
          </w:tcPr>
          <w:p w14:paraId="4E5F555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Personalização de Relatórios</w:t>
            </w:r>
          </w:p>
        </w:tc>
        <w:tc>
          <w:tcPr>
            <w:tcW w:w="529" w:type="dxa"/>
            <w:tcBorders>
              <w:top w:val="nil"/>
              <w:left w:val="nil"/>
              <w:bottom w:val="single" w:sz="4" w:space="0" w:color="auto"/>
              <w:right w:val="single" w:sz="4" w:space="0" w:color="auto"/>
            </w:tcBorders>
            <w:shd w:val="clear" w:color="auto" w:fill="auto"/>
            <w:vAlign w:val="center"/>
            <w:hideMark/>
          </w:tcPr>
          <w:p w14:paraId="3A5997D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1A23C80A"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69BDD76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180,00 </w:t>
            </w:r>
          </w:p>
        </w:tc>
        <w:tc>
          <w:tcPr>
            <w:tcW w:w="1563" w:type="dxa"/>
            <w:tcBorders>
              <w:top w:val="nil"/>
              <w:left w:val="nil"/>
              <w:bottom w:val="single" w:sz="4" w:space="0" w:color="auto"/>
              <w:right w:val="single" w:sz="4" w:space="0" w:color="auto"/>
            </w:tcBorders>
            <w:shd w:val="clear" w:color="auto" w:fill="auto"/>
            <w:noWrap/>
            <w:vAlign w:val="bottom"/>
            <w:hideMark/>
          </w:tcPr>
          <w:p w14:paraId="32FEB92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7112FD3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176,00 </w:t>
            </w:r>
          </w:p>
        </w:tc>
        <w:tc>
          <w:tcPr>
            <w:tcW w:w="1233" w:type="dxa"/>
            <w:tcBorders>
              <w:top w:val="nil"/>
              <w:left w:val="nil"/>
              <w:bottom w:val="single" w:sz="4" w:space="0" w:color="auto"/>
              <w:right w:val="single" w:sz="4" w:space="0" w:color="auto"/>
            </w:tcBorders>
            <w:shd w:val="clear" w:color="auto" w:fill="auto"/>
            <w:noWrap/>
            <w:vAlign w:val="bottom"/>
            <w:hideMark/>
          </w:tcPr>
          <w:p w14:paraId="0089093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24333B8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5C806F6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463DDBCE"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178,00 </w:t>
            </w:r>
          </w:p>
        </w:tc>
        <w:tc>
          <w:tcPr>
            <w:tcW w:w="1294" w:type="dxa"/>
            <w:tcBorders>
              <w:top w:val="nil"/>
              <w:left w:val="nil"/>
              <w:bottom w:val="single" w:sz="4" w:space="0" w:color="auto"/>
              <w:right w:val="single" w:sz="4" w:space="0" w:color="auto"/>
            </w:tcBorders>
            <w:shd w:val="clear" w:color="auto" w:fill="auto"/>
            <w:noWrap/>
            <w:vAlign w:val="bottom"/>
            <w:hideMark/>
          </w:tcPr>
          <w:p w14:paraId="4E263DDC"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4.450,00 </w:t>
            </w:r>
          </w:p>
        </w:tc>
      </w:tr>
      <w:tr w:rsidR="00B307DB" w:rsidRPr="00977C8B" w14:paraId="3699C906" w14:textId="77777777" w:rsidTr="00B307DB">
        <w:trPr>
          <w:trHeight w:val="276"/>
        </w:trPr>
        <w:tc>
          <w:tcPr>
            <w:tcW w:w="690" w:type="dxa"/>
            <w:tcBorders>
              <w:top w:val="nil"/>
              <w:left w:val="single" w:sz="4" w:space="0" w:color="auto"/>
              <w:bottom w:val="single" w:sz="4" w:space="0" w:color="auto"/>
              <w:right w:val="single" w:sz="4" w:space="0" w:color="auto"/>
            </w:tcBorders>
            <w:shd w:val="clear" w:color="FFFFCC" w:fill="FFFFFF"/>
            <w:vAlign w:val="center"/>
            <w:hideMark/>
          </w:tcPr>
          <w:p w14:paraId="61D85D07"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3.5</w:t>
            </w:r>
          </w:p>
        </w:tc>
        <w:tc>
          <w:tcPr>
            <w:tcW w:w="1809" w:type="dxa"/>
            <w:tcBorders>
              <w:top w:val="nil"/>
              <w:left w:val="nil"/>
              <w:bottom w:val="single" w:sz="4" w:space="0" w:color="auto"/>
              <w:right w:val="single" w:sz="4" w:space="0" w:color="auto"/>
            </w:tcBorders>
            <w:shd w:val="clear" w:color="auto" w:fill="auto"/>
            <w:vAlign w:val="center"/>
            <w:hideMark/>
          </w:tcPr>
          <w:p w14:paraId="4475BF6B"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Customizações</w:t>
            </w:r>
          </w:p>
        </w:tc>
        <w:tc>
          <w:tcPr>
            <w:tcW w:w="529" w:type="dxa"/>
            <w:tcBorders>
              <w:top w:val="nil"/>
              <w:left w:val="nil"/>
              <w:bottom w:val="single" w:sz="4" w:space="0" w:color="auto"/>
              <w:right w:val="single" w:sz="4" w:space="0" w:color="auto"/>
            </w:tcBorders>
            <w:shd w:val="clear" w:color="auto" w:fill="auto"/>
            <w:vAlign w:val="center"/>
            <w:hideMark/>
          </w:tcPr>
          <w:p w14:paraId="743D3898"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6BB11F6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auto" w:fill="auto"/>
            <w:noWrap/>
            <w:vAlign w:val="bottom"/>
            <w:hideMark/>
          </w:tcPr>
          <w:p w14:paraId="050F43FC"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385,00 </w:t>
            </w:r>
          </w:p>
        </w:tc>
        <w:tc>
          <w:tcPr>
            <w:tcW w:w="1563" w:type="dxa"/>
            <w:tcBorders>
              <w:top w:val="nil"/>
              <w:left w:val="nil"/>
              <w:bottom w:val="single" w:sz="4" w:space="0" w:color="auto"/>
              <w:right w:val="single" w:sz="4" w:space="0" w:color="auto"/>
            </w:tcBorders>
            <w:shd w:val="clear" w:color="auto" w:fill="auto"/>
            <w:noWrap/>
            <w:vAlign w:val="bottom"/>
            <w:hideMark/>
          </w:tcPr>
          <w:p w14:paraId="35AFD49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357C827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377,00 </w:t>
            </w:r>
          </w:p>
        </w:tc>
        <w:tc>
          <w:tcPr>
            <w:tcW w:w="1233" w:type="dxa"/>
            <w:tcBorders>
              <w:top w:val="nil"/>
              <w:left w:val="nil"/>
              <w:bottom w:val="single" w:sz="4" w:space="0" w:color="auto"/>
              <w:right w:val="single" w:sz="4" w:space="0" w:color="auto"/>
            </w:tcBorders>
            <w:shd w:val="clear" w:color="auto" w:fill="auto"/>
            <w:noWrap/>
            <w:vAlign w:val="bottom"/>
            <w:hideMark/>
          </w:tcPr>
          <w:p w14:paraId="04A623F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4BE838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297,60 </w:t>
            </w:r>
          </w:p>
        </w:tc>
        <w:tc>
          <w:tcPr>
            <w:tcW w:w="1058" w:type="dxa"/>
            <w:tcBorders>
              <w:top w:val="nil"/>
              <w:left w:val="nil"/>
              <w:bottom w:val="single" w:sz="4" w:space="0" w:color="auto"/>
              <w:right w:val="single" w:sz="4" w:space="0" w:color="auto"/>
            </w:tcBorders>
            <w:shd w:val="clear" w:color="auto" w:fill="auto"/>
            <w:noWrap/>
            <w:vAlign w:val="bottom"/>
            <w:hideMark/>
          </w:tcPr>
          <w:p w14:paraId="4BC9F411"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DA51867"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353,20 </w:t>
            </w:r>
          </w:p>
        </w:tc>
        <w:tc>
          <w:tcPr>
            <w:tcW w:w="1294" w:type="dxa"/>
            <w:tcBorders>
              <w:top w:val="nil"/>
              <w:left w:val="nil"/>
              <w:bottom w:val="single" w:sz="4" w:space="0" w:color="auto"/>
              <w:right w:val="single" w:sz="4" w:space="0" w:color="auto"/>
            </w:tcBorders>
            <w:shd w:val="clear" w:color="auto" w:fill="auto"/>
            <w:noWrap/>
            <w:vAlign w:val="bottom"/>
            <w:hideMark/>
          </w:tcPr>
          <w:p w14:paraId="61A5F44B"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8.830,00 </w:t>
            </w:r>
          </w:p>
        </w:tc>
      </w:tr>
      <w:tr w:rsidR="00B307DB" w:rsidRPr="00977C8B" w14:paraId="70A4D450" w14:textId="77777777" w:rsidTr="00B307DB">
        <w:trPr>
          <w:trHeight w:val="276"/>
        </w:trPr>
        <w:tc>
          <w:tcPr>
            <w:tcW w:w="690" w:type="dxa"/>
            <w:tcBorders>
              <w:top w:val="nil"/>
              <w:left w:val="single" w:sz="4" w:space="0" w:color="auto"/>
              <w:bottom w:val="nil"/>
              <w:right w:val="single" w:sz="4" w:space="0" w:color="auto"/>
            </w:tcBorders>
            <w:shd w:val="clear" w:color="FFFFCC" w:fill="FFFFFF"/>
            <w:vAlign w:val="center"/>
            <w:hideMark/>
          </w:tcPr>
          <w:p w14:paraId="44C1B49C"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3.6</w:t>
            </w:r>
          </w:p>
        </w:tc>
        <w:tc>
          <w:tcPr>
            <w:tcW w:w="1809" w:type="dxa"/>
            <w:tcBorders>
              <w:top w:val="nil"/>
              <w:left w:val="nil"/>
              <w:bottom w:val="nil"/>
              <w:right w:val="single" w:sz="4" w:space="0" w:color="auto"/>
            </w:tcBorders>
            <w:shd w:val="clear" w:color="auto" w:fill="auto"/>
            <w:vAlign w:val="center"/>
            <w:hideMark/>
          </w:tcPr>
          <w:p w14:paraId="563A9ECF"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Consultorias Complexas</w:t>
            </w:r>
          </w:p>
        </w:tc>
        <w:tc>
          <w:tcPr>
            <w:tcW w:w="529" w:type="dxa"/>
            <w:tcBorders>
              <w:top w:val="nil"/>
              <w:left w:val="nil"/>
              <w:bottom w:val="nil"/>
              <w:right w:val="single" w:sz="4" w:space="0" w:color="auto"/>
            </w:tcBorders>
            <w:shd w:val="clear" w:color="auto" w:fill="auto"/>
            <w:vAlign w:val="center"/>
            <w:hideMark/>
          </w:tcPr>
          <w:p w14:paraId="21EB58BF"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5CB8604A"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nil"/>
              <w:right w:val="single" w:sz="4" w:space="0" w:color="auto"/>
            </w:tcBorders>
            <w:shd w:val="clear" w:color="auto" w:fill="auto"/>
            <w:noWrap/>
            <w:vAlign w:val="bottom"/>
            <w:hideMark/>
          </w:tcPr>
          <w:p w14:paraId="2852ECF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235,00 </w:t>
            </w:r>
          </w:p>
        </w:tc>
        <w:tc>
          <w:tcPr>
            <w:tcW w:w="1563" w:type="dxa"/>
            <w:tcBorders>
              <w:top w:val="nil"/>
              <w:left w:val="nil"/>
              <w:bottom w:val="single" w:sz="4" w:space="0" w:color="auto"/>
              <w:right w:val="single" w:sz="4" w:space="0" w:color="auto"/>
            </w:tcBorders>
            <w:shd w:val="clear" w:color="auto" w:fill="auto"/>
            <w:noWrap/>
            <w:vAlign w:val="bottom"/>
            <w:hideMark/>
          </w:tcPr>
          <w:p w14:paraId="1059CA2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5FABF3E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230,00 </w:t>
            </w:r>
          </w:p>
        </w:tc>
        <w:tc>
          <w:tcPr>
            <w:tcW w:w="1233" w:type="dxa"/>
            <w:tcBorders>
              <w:top w:val="nil"/>
              <w:left w:val="nil"/>
              <w:bottom w:val="single" w:sz="4" w:space="0" w:color="auto"/>
              <w:right w:val="single" w:sz="4" w:space="0" w:color="auto"/>
            </w:tcBorders>
            <w:shd w:val="clear" w:color="auto" w:fill="auto"/>
            <w:noWrap/>
            <w:vAlign w:val="bottom"/>
            <w:hideMark/>
          </w:tcPr>
          <w:p w14:paraId="62B8F3A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6C684ED8"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78A5940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032BB49F"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232,50 </w:t>
            </w:r>
          </w:p>
        </w:tc>
        <w:tc>
          <w:tcPr>
            <w:tcW w:w="1294" w:type="dxa"/>
            <w:tcBorders>
              <w:top w:val="nil"/>
              <w:left w:val="nil"/>
              <w:bottom w:val="single" w:sz="4" w:space="0" w:color="auto"/>
              <w:right w:val="single" w:sz="4" w:space="0" w:color="auto"/>
            </w:tcBorders>
            <w:shd w:val="clear" w:color="auto" w:fill="auto"/>
            <w:noWrap/>
            <w:vAlign w:val="bottom"/>
            <w:hideMark/>
          </w:tcPr>
          <w:p w14:paraId="3EBCEB8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5.812,50 </w:t>
            </w:r>
          </w:p>
        </w:tc>
      </w:tr>
      <w:tr w:rsidR="00B307DB" w:rsidRPr="00977C8B" w14:paraId="741807F4" w14:textId="77777777" w:rsidTr="00B307DB">
        <w:trPr>
          <w:trHeight w:val="276"/>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075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lastRenderedPageBreak/>
              <w:t>3.7</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779034E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Mapeamento de Processos</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724A407B"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2598A24D"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14:paraId="6B9721F0"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251,00 </w:t>
            </w:r>
          </w:p>
        </w:tc>
        <w:tc>
          <w:tcPr>
            <w:tcW w:w="1563" w:type="dxa"/>
            <w:tcBorders>
              <w:top w:val="nil"/>
              <w:left w:val="nil"/>
              <w:bottom w:val="single" w:sz="4" w:space="0" w:color="auto"/>
              <w:right w:val="single" w:sz="4" w:space="0" w:color="auto"/>
            </w:tcBorders>
            <w:shd w:val="clear" w:color="auto" w:fill="auto"/>
            <w:noWrap/>
            <w:vAlign w:val="bottom"/>
            <w:hideMark/>
          </w:tcPr>
          <w:p w14:paraId="1FFDD65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6814C60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xml:space="preserve">        246,00 </w:t>
            </w:r>
          </w:p>
        </w:tc>
        <w:tc>
          <w:tcPr>
            <w:tcW w:w="1233" w:type="dxa"/>
            <w:tcBorders>
              <w:top w:val="nil"/>
              <w:left w:val="nil"/>
              <w:bottom w:val="single" w:sz="4" w:space="0" w:color="auto"/>
              <w:right w:val="single" w:sz="4" w:space="0" w:color="auto"/>
            </w:tcBorders>
            <w:shd w:val="clear" w:color="auto" w:fill="auto"/>
            <w:noWrap/>
            <w:vAlign w:val="bottom"/>
            <w:hideMark/>
          </w:tcPr>
          <w:p w14:paraId="7FFD24F9"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2D805407"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2F2455D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1FFE66B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248,50 </w:t>
            </w:r>
          </w:p>
        </w:tc>
        <w:tc>
          <w:tcPr>
            <w:tcW w:w="1294" w:type="dxa"/>
            <w:tcBorders>
              <w:top w:val="nil"/>
              <w:left w:val="nil"/>
              <w:bottom w:val="single" w:sz="4" w:space="0" w:color="auto"/>
              <w:right w:val="single" w:sz="4" w:space="0" w:color="auto"/>
            </w:tcBorders>
            <w:shd w:val="clear" w:color="auto" w:fill="auto"/>
            <w:noWrap/>
            <w:vAlign w:val="bottom"/>
            <w:hideMark/>
          </w:tcPr>
          <w:p w14:paraId="7DB717C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6.212,50 </w:t>
            </w:r>
          </w:p>
        </w:tc>
      </w:tr>
      <w:tr w:rsidR="00B307DB" w:rsidRPr="00977C8B" w14:paraId="45475CC8" w14:textId="77777777" w:rsidTr="00B307DB">
        <w:trPr>
          <w:trHeight w:val="276"/>
        </w:trPr>
        <w:tc>
          <w:tcPr>
            <w:tcW w:w="690" w:type="dxa"/>
            <w:tcBorders>
              <w:top w:val="nil"/>
              <w:left w:val="single" w:sz="4" w:space="0" w:color="auto"/>
              <w:bottom w:val="single" w:sz="4" w:space="0" w:color="auto"/>
              <w:right w:val="single" w:sz="4" w:space="0" w:color="auto"/>
            </w:tcBorders>
            <w:shd w:val="clear" w:color="auto" w:fill="auto"/>
            <w:vAlign w:val="center"/>
            <w:hideMark/>
          </w:tcPr>
          <w:p w14:paraId="58F613C0"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3.8</w:t>
            </w:r>
          </w:p>
        </w:tc>
        <w:tc>
          <w:tcPr>
            <w:tcW w:w="1809" w:type="dxa"/>
            <w:tcBorders>
              <w:top w:val="nil"/>
              <w:left w:val="nil"/>
              <w:bottom w:val="single" w:sz="4" w:space="0" w:color="auto"/>
              <w:right w:val="single" w:sz="4" w:space="0" w:color="auto"/>
            </w:tcBorders>
            <w:shd w:val="clear" w:color="FFFFCC" w:fill="FFFFFF"/>
            <w:vAlign w:val="center"/>
            <w:hideMark/>
          </w:tcPr>
          <w:p w14:paraId="73608D2E" w14:textId="77777777" w:rsidR="00B307DB" w:rsidRPr="00977C8B" w:rsidRDefault="00B307DB" w:rsidP="00B307DB">
            <w:pPr>
              <w:spacing w:after="0" w:line="240" w:lineRule="auto"/>
              <w:jc w:val="both"/>
              <w:rPr>
                <w:rFonts w:ascii="Times New Roman" w:hAnsi="Times New Roman" w:cs="Times New Roman"/>
                <w:color w:val="000000"/>
              </w:rPr>
            </w:pPr>
            <w:r w:rsidRPr="00977C8B">
              <w:rPr>
                <w:rFonts w:ascii="Times New Roman" w:hAnsi="Times New Roman" w:cs="Times New Roman"/>
                <w:color w:val="000000"/>
              </w:rPr>
              <w:t>Técnico Residente</w:t>
            </w:r>
          </w:p>
        </w:tc>
        <w:tc>
          <w:tcPr>
            <w:tcW w:w="529" w:type="dxa"/>
            <w:tcBorders>
              <w:top w:val="nil"/>
              <w:left w:val="nil"/>
              <w:bottom w:val="single" w:sz="4" w:space="0" w:color="auto"/>
              <w:right w:val="single" w:sz="4" w:space="0" w:color="auto"/>
            </w:tcBorders>
            <w:shd w:val="clear" w:color="FFFFCC" w:fill="FFFFFF"/>
            <w:vAlign w:val="center"/>
            <w:hideMark/>
          </w:tcPr>
          <w:p w14:paraId="5A151525" w14:textId="77777777" w:rsidR="00B307DB" w:rsidRPr="00977C8B" w:rsidRDefault="00B307DB" w:rsidP="00B307DB">
            <w:pPr>
              <w:spacing w:after="0" w:line="240" w:lineRule="auto"/>
              <w:jc w:val="center"/>
              <w:rPr>
                <w:rFonts w:ascii="Times New Roman" w:hAnsi="Times New Roman" w:cs="Times New Roman"/>
                <w:bCs/>
                <w:color w:val="000000"/>
              </w:rPr>
            </w:pPr>
            <w:r w:rsidRPr="00977C8B">
              <w:rPr>
                <w:rFonts w:ascii="Times New Roman" w:hAnsi="Times New Roman" w:cs="Times New Roman"/>
                <w:bCs/>
                <w:color w:val="000000"/>
              </w:rPr>
              <w:t>25</w:t>
            </w:r>
          </w:p>
        </w:tc>
        <w:tc>
          <w:tcPr>
            <w:tcW w:w="818" w:type="dxa"/>
            <w:tcBorders>
              <w:top w:val="nil"/>
              <w:left w:val="nil"/>
              <w:bottom w:val="single" w:sz="4" w:space="0" w:color="auto"/>
              <w:right w:val="single" w:sz="4" w:space="0" w:color="auto"/>
            </w:tcBorders>
            <w:shd w:val="clear" w:color="auto" w:fill="auto"/>
            <w:vAlign w:val="center"/>
            <w:hideMark/>
          </w:tcPr>
          <w:p w14:paraId="75D91AF5" w14:textId="77777777" w:rsidR="00B307DB" w:rsidRPr="00977C8B" w:rsidRDefault="00B307DB" w:rsidP="00B307DB">
            <w:pPr>
              <w:spacing w:after="0" w:line="240" w:lineRule="auto"/>
              <w:jc w:val="center"/>
              <w:rPr>
                <w:rFonts w:ascii="Times New Roman" w:hAnsi="Times New Roman" w:cs="Times New Roman"/>
                <w:color w:val="000000"/>
              </w:rPr>
            </w:pPr>
            <w:r w:rsidRPr="00977C8B">
              <w:rPr>
                <w:rFonts w:ascii="Times New Roman" w:hAnsi="Times New Roman" w:cs="Times New Roman"/>
                <w:color w:val="000000"/>
              </w:rPr>
              <w:t>Hora</w:t>
            </w:r>
          </w:p>
        </w:tc>
        <w:tc>
          <w:tcPr>
            <w:tcW w:w="1563" w:type="dxa"/>
            <w:tcBorders>
              <w:top w:val="nil"/>
              <w:left w:val="nil"/>
              <w:bottom w:val="single" w:sz="4" w:space="0" w:color="auto"/>
              <w:right w:val="single" w:sz="4" w:space="0" w:color="auto"/>
            </w:tcBorders>
            <w:shd w:val="clear" w:color="FFFFCC" w:fill="FFFFFF"/>
            <w:noWrap/>
            <w:vAlign w:val="center"/>
            <w:hideMark/>
          </w:tcPr>
          <w:p w14:paraId="24EC2623" w14:textId="77777777" w:rsidR="00B307DB" w:rsidRPr="00977C8B" w:rsidRDefault="00B307DB" w:rsidP="00B307DB">
            <w:pPr>
              <w:spacing w:after="0" w:line="240" w:lineRule="auto"/>
              <w:jc w:val="center"/>
              <w:rPr>
                <w:rFonts w:ascii="Times New Roman" w:hAnsi="Times New Roman" w:cs="Times New Roman"/>
              </w:rPr>
            </w:pPr>
            <w:r w:rsidRPr="00977C8B">
              <w:rPr>
                <w:rFonts w:ascii="Times New Roman" w:hAnsi="Times New Roman" w:cs="Times New Roman"/>
              </w:rPr>
              <w:t xml:space="preserve">               85,00 </w:t>
            </w:r>
          </w:p>
        </w:tc>
        <w:tc>
          <w:tcPr>
            <w:tcW w:w="1563" w:type="dxa"/>
            <w:tcBorders>
              <w:top w:val="nil"/>
              <w:left w:val="nil"/>
              <w:bottom w:val="single" w:sz="4" w:space="0" w:color="auto"/>
              <w:right w:val="single" w:sz="4" w:space="0" w:color="auto"/>
            </w:tcBorders>
            <w:shd w:val="clear" w:color="auto" w:fill="auto"/>
            <w:noWrap/>
            <w:vAlign w:val="bottom"/>
            <w:hideMark/>
          </w:tcPr>
          <w:p w14:paraId="127FCD62"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11" w:type="dxa"/>
            <w:tcBorders>
              <w:top w:val="nil"/>
              <w:left w:val="nil"/>
              <w:bottom w:val="single" w:sz="4" w:space="0" w:color="auto"/>
              <w:right w:val="single" w:sz="4" w:space="0" w:color="auto"/>
            </w:tcBorders>
            <w:shd w:val="clear" w:color="auto" w:fill="auto"/>
            <w:noWrap/>
            <w:vAlign w:val="bottom"/>
            <w:hideMark/>
          </w:tcPr>
          <w:p w14:paraId="4BF6D2B6"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233" w:type="dxa"/>
            <w:tcBorders>
              <w:top w:val="nil"/>
              <w:left w:val="nil"/>
              <w:bottom w:val="single" w:sz="4" w:space="0" w:color="auto"/>
              <w:right w:val="single" w:sz="4" w:space="0" w:color="auto"/>
            </w:tcBorders>
            <w:shd w:val="clear" w:color="auto" w:fill="auto"/>
            <w:noWrap/>
            <w:vAlign w:val="bottom"/>
            <w:hideMark/>
          </w:tcPr>
          <w:p w14:paraId="56FE6D1A"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185" w:type="dxa"/>
            <w:tcBorders>
              <w:top w:val="nil"/>
              <w:left w:val="nil"/>
              <w:bottom w:val="single" w:sz="4" w:space="0" w:color="auto"/>
              <w:right w:val="single" w:sz="4" w:space="0" w:color="auto"/>
            </w:tcBorders>
            <w:shd w:val="clear" w:color="auto" w:fill="auto"/>
            <w:noWrap/>
            <w:vAlign w:val="bottom"/>
            <w:hideMark/>
          </w:tcPr>
          <w:p w14:paraId="79AC683E"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1058" w:type="dxa"/>
            <w:tcBorders>
              <w:top w:val="nil"/>
              <w:left w:val="nil"/>
              <w:bottom w:val="single" w:sz="4" w:space="0" w:color="auto"/>
              <w:right w:val="single" w:sz="4" w:space="0" w:color="auto"/>
            </w:tcBorders>
            <w:shd w:val="clear" w:color="auto" w:fill="auto"/>
            <w:noWrap/>
            <w:vAlign w:val="bottom"/>
            <w:hideMark/>
          </w:tcPr>
          <w:p w14:paraId="6627FEA5" w14:textId="77777777" w:rsidR="00B307DB" w:rsidRPr="00977C8B" w:rsidRDefault="00B307DB" w:rsidP="00B307DB">
            <w:pPr>
              <w:spacing w:after="0" w:line="240" w:lineRule="auto"/>
              <w:rPr>
                <w:rFonts w:ascii="Times New Roman" w:hAnsi="Times New Roman" w:cs="Times New Roman"/>
                <w:color w:val="000000"/>
              </w:rPr>
            </w:pPr>
            <w:r w:rsidRPr="00977C8B">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2760DDFA"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85,00 </w:t>
            </w:r>
          </w:p>
        </w:tc>
        <w:tc>
          <w:tcPr>
            <w:tcW w:w="1294" w:type="dxa"/>
            <w:tcBorders>
              <w:top w:val="nil"/>
              <w:left w:val="nil"/>
              <w:bottom w:val="single" w:sz="4" w:space="0" w:color="auto"/>
              <w:right w:val="single" w:sz="4" w:space="0" w:color="auto"/>
            </w:tcBorders>
            <w:shd w:val="clear" w:color="auto" w:fill="auto"/>
            <w:noWrap/>
            <w:vAlign w:val="bottom"/>
            <w:hideMark/>
          </w:tcPr>
          <w:p w14:paraId="4A309816" w14:textId="77777777" w:rsidR="00B307DB" w:rsidRPr="00977C8B" w:rsidRDefault="00B307DB" w:rsidP="00B307DB">
            <w:pPr>
              <w:spacing w:after="0" w:line="240" w:lineRule="auto"/>
              <w:rPr>
                <w:rFonts w:ascii="Times New Roman" w:hAnsi="Times New Roman" w:cs="Times New Roman"/>
                <w:color w:val="000000"/>
                <w:sz w:val="20"/>
              </w:rPr>
            </w:pPr>
            <w:r w:rsidRPr="00977C8B">
              <w:rPr>
                <w:rFonts w:ascii="Times New Roman" w:hAnsi="Times New Roman" w:cs="Times New Roman"/>
                <w:color w:val="000000"/>
                <w:sz w:val="20"/>
              </w:rPr>
              <w:t xml:space="preserve">           2.125,00 </w:t>
            </w:r>
          </w:p>
        </w:tc>
      </w:tr>
    </w:tbl>
    <w:p w14:paraId="5DBF47DC" w14:textId="77777777" w:rsidR="00B307DB" w:rsidRDefault="00B307DB" w:rsidP="00B307DB">
      <w:pPr>
        <w:spacing w:after="0" w:line="240" w:lineRule="auto"/>
        <w:ind w:right="-568"/>
        <w:rPr>
          <w:rFonts w:ascii="Times New Roman" w:hAnsi="Times New Roman" w:cs="Times New Roman"/>
          <w:b/>
        </w:rPr>
      </w:pPr>
    </w:p>
    <w:p w14:paraId="0E34AFA5" w14:textId="77777777" w:rsidR="00B307DB" w:rsidRPr="00977C8B" w:rsidRDefault="00B307DB" w:rsidP="00B307DB">
      <w:pPr>
        <w:tabs>
          <w:tab w:val="left" w:pos="2268"/>
        </w:tabs>
        <w:spacing w:after="0" w:line="240" w:lineRule="auto"/>
        <w:jc w:val="both"/>
        <w:rPr>
          <w:rFonts w:ascii="Times New Roman" w:hAnsi="Times New Roman" w:cs="Times New Roman"/>
          <w:color w:val="000009"/>
          <w:spacing w:val="1"/>
        </w:rPr>
      </w:pPr>
      <w:r w:rsidRPr="00977C8B">
        <w:rPr>
          <w:rFonts w:ascii="Times New Roman" w:hAnsi="Times New Roman" w:cs="Times New Roman"/>
          <w:color w:val="000009"/>
          <w:spacing w:val="1"/>
        </w:rPr>
        <w:t>Serviços de horas técnicas após a implantação é sob demanda variável: os serviços ofertados por hora técnica (sob demanda) serão pagos de acordo com o</w:t>
      </w:r>
    </w:p>
    <w:p w14:paraId="164315ED" w14:textId="77777777" w:rsidR="00B307DB" w:rsidRPr="00977C8B" w:rsidRDefault="00B307DB" w:rsidP="00B307DB">
      <w:pPr>
        <w:tabs>
          <w:tab w:val="left" w:pos="2268"/>
        </w:tabs>
        <w:spacing w:after="0" w:line="240" w:lineRule="auto"/>
        <w:jc w:val="both"/>
        <w:rPr>
          <w:rFonts w:ascii="Times New Roman" w:hAnsi="Times New Roman" w:cs="Times New Roman"/>
          <w:color w:val="000009"/>
          <w:spacing w:val="1"/>
        </w:rPr>
      </w:pPr>
      <w:r w:rsidRPr="00977C8B">
        <w:rPr>
          <w:rFonts w:ascii="Times New Roman" w:hAnsi="Times New Roman" w:cs="Times New Roman"/>
          <w:color w:val="000009"/>
          <w:spacing w:val="1"/>
        </w:rPr>
        <w:t>número de horas técnicas utilizadas no mês anterior ao mês do pagamento, em conjunto com as parcelas mensais.</w:t>
      </w:r>
    </w:p>
    <w:p w14:paraId="26ACD56E" w14:textId="77777777" w:rsidR="00B307DB" w:rsidRPr="00977C8B" w:rsidRDefault="00B307DB" w:rsidP="00B307DB">
      <w:pPr>
        <w:spacing w:after="0" w:line="240" w:lineRule="auto"/>
        <w:rPr>
          <w:rFonts w:ascii="Times New Roman" w:hAnsi="Times New Roman" w:cs="Times New Roman"/>
          <w:b/>
          <w:i/>
          <w:spacing w:val="-3"/>
        </w:rPr>
      </w:pPr>
      <w:r w:rsidRPr="00977C8B">
        <w:rPr>
          <w:rFonts w:ascii="Times New Roman" w:hAnsi="Times New Roman" w:cs="Times New Roman"/>
          <w:b/>
          <w:i/>
        </w:rPr>
        <w:t>6 ANEXOS:</w:t>
      </w:r>
    </w:p>
    <w:p w14:paraId="4F849681" w14:textId="77777777" w:rsidR="00B307DB" w:rsidRPr="00977C8B" w:rsidRDefault="00B307DB" w:rsidP="00B307DB">
      <w:pPr>
        <w:spacing w:after="0" w:line="240" w:lineRule="auto"/>
        <w:rPr>
          <w:rFonts w:ascii="Times New Roman" w:hAnsi="Times New Roman" w:cs="Times New Roman"/>
        </w:rPr>
      </w:pPr>
      <w:r w:rsidRPr="00977C8B">
        <w:rPr>
          <w:rFonts w:ascii="Times New Roman" w:hAnsi="Times New Roman" w:cs="Times New Roman"/>
        </w:rPr>
        <w:t>A</w:t>
      </w:r>
      <w:r w:rsidRPr="00977C8B">
        <w:rPr>
          <w:rFonts w:ascii="Times New Roman" w:hAnsi="Times New Roman" w:cs="Times New Roman"/>
          <w:spacing w:val="-5"/>
        </w:rPr>
        <w:t xml:space="preserve"> </w:t>
      </w:r>
      <w:r w:rsidRPr="00977C8B">
        <w:rPr>
          <w:rFonts w:ascii="Times New Roman" w:hAnsi="Times New Roman" w:cs="Times New Roman"/>
        </w:rPr>
        <w:t>documentação</w:t>
      </w:r>
      <w:r w:rsidRPr="00977C8B">
        <w:rPr>
          <w:rFonts w:ascii="Times New Roman" w:hAnsi="Times New Roman" w:cs="Times New Roman"/>
          <w:spacing w:val="-2"/>
        </w:rPr>
        <w:t xml:space="preserve"> </w:t>
      </w:r>
      <w:r w:rsidRPr="00977C8B">
        <w:rPr>
          <w:rFonts w:ascii="Times New Roman" w:hAnsi="Times New Roman" w:cs="Times New Roman"/>
        </w:rPr>
        <w:t>comprobatória</w:t>
      </w:r>
      <w:r w:rsidRPr="00977C8B">
        <w:rPr>
          <w:rFonts w:ascii="Times New Roman" w:hAnsi="Times New Roman" w:cs="Times New Roman"/>
          <w:spacing w:val="-2"/>
        </w:rPr>
        <w:t xml:space="preserve"> </w:t>
      </w:r>
      <w:r w:rsidRPr="00977C8B">
        <w:rPr>
          <w:rFonts w:ascii="Times New Roman" w:hAnsi="Times New Roman" w:cs="Times New Roman"/>
        </w:rPr>
        <w:t xml:space="preserve">contendo </w:t>
      </w:r>
      <w:r w:rsidRPr="00977C8B">
        <w:rPr>
          <w:rFonts w:ascii="Times New Roman" w:hAnsi="Times New Roman" w:cs="Times New Roman"/>
          <w:spacing w:val="-5"/>
        </w:rPr>
        <w:t xml:space="preserve">90 </w:t>
      </w:r>
      <w:r w:rsidRPr="00977C8B">
        <w:rPr>
          <w:rFonts w:ascii="Times New Roman" w:hAnsi="Times New Roman" w:cs="Times New Roman"/>
        </w:rPr>
        <w:t>(noventa)</w:t>
      </w:r>
      <w:r w:rsidRPr="00977C8B">
        <w:rPr>
          <w:rFonts w:ascii="Times New Roman" w:hAnsi="Times New Roman" w:cs="Times New Roman"/>
          <w:spacing w:val="-4"/>
        </w:rPr>
        <w:t xml:space="preserve"> </w:t>
      </w:r>
      <w:r w:rsidRPr="00977C8B">
        <w:rPr>
          <w:rFonts w:ascii="Times New Roman" w:hAnsi="Times New Roman" w:cs="Times New Roman"/>
        </w:rPr>
        <w:t>folhas</w:t>
      </w:r>
      <w:r w:rsidRPr="00977C8B">
        <w:rPr>
          <w:rFonts w:ascii="Times New Roman" w:hAnsi="Times New Roman" w:cs="Times New Roman"/>
          <w:spacing w:val="-3"/>
        </w:rPr>
        <w:t xml:space="preserve"> </w:t>
      </w:r>
      <w:r w:rsidRPr="00977C8B">
        <w:rPr>
          <w:rFonts w:ascii="Times New Roman" w:hAnsi="Times New Roman" w:cs="Times New Roman"/>
        </w:rPr>
        <w:t>que</w:t>
      </w:r>
      <w:r w:rsidRPr="00977C8B">
        <w:rPr>
          <w:rFonts w:ascii="Times New Roman" w:hAnsi="Times New Roman" w:cs="Times New Roman"/>
          <w:spacing w:val="-5"/>
        </w:rPr>
        <w:t xml:space="preserve"> </w:t>
      </w:r>
      <w:r w:rsidRPr="00977C8B">
        <w:rPr>
          <w:rFonts w:ascii="Times New Roman" w:hAnsi="Times New Roman" w:cs="Times New Roman"/>
        </w:rPr>
        <w:t>compõem</w:t>
      </w:r>
      <w:r w:rsidRPr="00977C8B">
        <w:rPr>
          <w:rFonts w:ascii="Times New Roman" w:hAnsi="Times New Roman" w:cs="Times New Roman"/>
          <w:spacing w:val="-2"/>
        </w:rPr>
        <w:t xml:space="preserve"> </w:t>
      </w:r>
      <w:r w:rsidRPr="00977C8B">
        <w:rPr>
          <w:rFonts w:ascii="Times New Roman" w:hAnsi="Times New Roman" w:cs="Times New Roman"/>
        </w:rPr>
        <w:t>a pesquisa de</w:t>
      </w:r>
      <w:r w:rsidRPr="00977C8B">
        <w:rPr>
          <w:rFonts w:ascii="Times New Roman" w:hAnsi="Times New Roman" w:cs="Times New Roman"/>
          <w:spacing w:val="1"/>
        </w:rPr>
        <w:t xml:space="preserve"> </w:t>
      </w:r>
      <w:r w:rsidRPr="00977C8B">
        <w:rPr>
          <w:rFonts w:ascii="Times New Roman" w:hAnsi="Times New Roman" w:cs="Times New Roman"/>
        </w:rPr>
        <w:t>preços,</w:t>
      </w:r>
      <w:r w:rsidRPr="00977C8B">
        <w:rPr>
          <w:rFonts w:ascii="Times New Roman" w:hAnsi="Times New Roman" w:cs="Times New Roman"/>
          <w:spacing w:val="1"/>
        </w:rPr>
        <w:t xml:space="preserve"> </w:t>
      </w:r>
      <w:r w:rsidRPr="00977C8B">
        <w:rPr>
          <w:rFonts w:ascii="Times New Roman" w:hAnsi="Times New Roman" w:cs="Times New Roman"/>
        </w:rPr>
        <w:t>segue anexa</w:t>
      </w:r>
      <w:r w:rsidRPr="00977C8B">
        <w:rPr>
          <w:rFonts w:ascii="Times New Roman" w:hAnsi="Times New Roman" w:cs="Times New Roman"/>
          <w:spacing w:val="-2"/>
        </w:rPr>
        <w:t xml:space="preserve"> </w:t>
      </w:r>
      <w:r w:rsidRPr="00977C8B">
        <w:rPr>
          <w:rFonts w:ascii="Times New Roman" w:hAnsi="Times New Roman" w:cs="Times New Roman"/>
        </w:rPr>
        <w:t>ao processo licitatório de forma física.</w:t>
      </w:r>
    </w:p>
    <w:p w14:paraId="2C8EBFE3" w14:textId="77777777" w:rsidR="00B307DB" w:rsidRPr="00977C8B" w:rsidRDefault="00B307DB" w:rsidP="00B307DB">
      <w:pPr>
        <w:rPr>
          <w:rFonts w:ascii="Times New Roman" w:hAnsi="Times New Roman" w:cs="Times New Roman"/>
        </w:rPr>
      </w:pPr>
    </w:p>
    <w:p w14:paraId="7B6425F4" w14:textId="77777777" w:rsidR="00B307DB" w:rsidRPr="00977C8B" w:rsidRDefault="00B307DB" w:rsidP="00B307DB">
      <w:pPr>
        <w:jc w:val="right"/>
        <w:rPr>
          <w:rFonts w:ascii="Times New Roman" w:hAnsi="Times New Roman" w:cs="Times New Roman"/>
        </w:rPr>
      </w:pPr>
      <w:r w:rsidRPr="00977C8B">
        <w:rPr>
          <w:rFonts w:ascii="Times New Roman" w:hAnsi="Times New Roman" w:cs="Times New Roman"/>
        </w:rPr>
        <w:t>Riqueza/SC, 11 de novembro de 2024.</w:t>
      </w:r>
    </w:p>
    <w:p w14:paraId="4C10EE36" w14:textId="77777777" w:rsidR="00B307DB" w:rsidRPr="00977C8B" w:rsidRDefault="00B307DB" w:rsidP="00B307DB">
      <w:pPr>
        <w:rPr>
          <w:rFonts w:ascii="Times New Roman" w:hAnsi="Times New Roman" w:cs="Times New Roman"/>
        </w:rPr>
      </w:pPr>
    </w:p>
    <w:p w14:paraId="408F6F19" w14:textId="77777777" w:rsidR="00B307DB" w:rsidRPr="00977C8B" w:rsidRDefault="00B307DB" w:rsidP="00B307DB">
      <w:pPr>
        <w:rPr>
          <w:rFonts w:ascii="Times New Roman" w:hAnsi="Times New Roman" w:cs="Times New Roman"/>
        </w:rPr>
      </w:pPr>
    </w:p>
    <w:p w14:paraId="59A5F7FC" w14:textId="77777777" w:rsidR="00B307DB" w:rsidRPr="00977C8B" w:rsidRDefault="00B307DB" w:rsidP="00B307DB">
      <w:pPr>
        <w:rPr>
          <w:rFonts w:ascii="Times New Roman" w:hAnsi="Times New Roman" w:cs="Times New Roman"/>
        </w:rPr>
      </w:pPr>
    </w:p>
    <w:p w14:paraId="4F275996" w14:textId="77777777" w:rsidR="00B307DB" w:rsidRPr="00977C8B" w:rsidRDefault="00B307DB" w:rsidP="00B307DB">
      <w:pPr>
        <w:jc w:val="center"/>
        <w:rPr>
          <w:rFonts w:ascii="Times New Roman" w:hAnsi="Times New Roman" w:cs="Times New Roman"/>
          <w:b/>
        </w:rPr>
      </w:pPr>
      <w:r w:rsidRPr="00977C8B">
        <w:rPr>
          <w:rFonts w:ascii="Times New Roman" w:hAnsi="Times New Roman" w:cs="Times New Roman"/>
          <w:b/>
        </w:rPr>
        <w:t>_________________________________</w:t>
      </w:r>
    </w:p>
    <w:p w14:paraId="33A49D92" w14:textId="77777777" w:rsidR="00B307DB" w:rsidRPr="00977C8B" w:rsidRDefault="00B307DB" w:rsidP="00B307DB">
      <w:pPr>
        <w:pStyle w:val="TextosemFormatao"/>
        <w:jc w:val="center"/>
        <w:rPr>
          <w:rFonts w:ascii="Times New Roman" w:hAnsi="Times New Roman"/>
          <w:b/>
          <w:sz w:val="22"/>
          <w:szCs w:val="22"/>
        </w:rPr>
      </w:pPr>
      <w:r w:rsidRPr="00977C8B">
        <w:rPr>
          <w:rFonts w:ascii="Times New Roman" w:hAnsi="Times New Roman"/>
          <w:b/>
          <w:sz w:val="22"/>
          <w:szCs w:val="22"/>
        </w:rPr>
        <w:t>ADEMAR ANTÔNIO PIGNAT</w:t>
      </w:r>
    </w:p>
    <w:p w14:paraId="4D3DA7DB" w14:textId="77777777" w:rsidR="00B307DB" w:rsidRPr="00977C8B" w:rsidRDefault="00B307DB" w:rsidP="00B307DB">
      <w:pPr>
        <w:pStyle w:val="TextosemFormatao"/>
        <w:jc w:val="center"/>
        <w:rPr>
          <w:rFonts w:ascii="Times New Roman" w:hAnsi="Times New Roman"/>
          <w:sz w:val="22"/>
          <w:szCs w:val="22"/>
        </w:rPr>
      </w:pPr>
      <w:r w:rsidRPr="00977C8B">
        <w:rPr>
          <w:rFonts w:ascii="Times New Roman" w:hAnsi="Times New Roman"/>
          <w:sz w:val="22"/>
          <w:szCs w:val="22"/>
        </w:rPr>
        <w:t>Secretário de Administração e Finanças</w:t>
      </w:r>
    </w:p>
    <w:p w14:paraId="515D50C7" w14:textId="77777777" w:rsidR="00B307DB" w:rsidRPr="00977C8B" w:rsidRDefault="00B307DB" w:rsidP="00B307DB">
      <w:pPr>
        <w:spacing w:after="0" w:line="240" w:lineRule="auto"/>
        <w:ind w:right="-568"/>
        <w:jc w:val="center"/>
        <w:rPr>
          <w:rFonts w:ascii="Times New Roman" w:hAnsi="Times New Roman" w:cs="Times New Roman"/>
          <w:b/>
        </w:rPr>
      </w:pPr>
    </w:p>
    <w:p w14:paraId="03F0C26E" w14:textId="77777777" w:rsidR="00B307DB" w:rsidRPr="00977C8B" w:rsidRDefault="00B307DB" w:rsidP="00B307DB">
      <w:pPr>
        <w:spacing w:after="0" w:line="240" w:lineRule="auto"/>
        <w:ind w:right="-568"/>
        <w:jc w:val="center"/>
        <w:rPr>
          <w:rFonts w:ascii="Times New Roman" w:hAnsi="Times New Roman" w:cs="Times New Roman"/>
          <w:b/>
        </w:rPr>
      </w:pPr>
    </w:p>
    <w:p w14:paraId="465FAB29" w14:textId="77777777" w:rsidR="00B307DB" w:rsidRPr="00977C8B" w:rsidRDefault="00B307DB" w:rsidP="00B307DB">
      <w:pPr>
        <w:spacing w:after="0" w:line="240" w:lineRule="auto"/>
        <w:ind w:right="-568"/>
        <w:jc w:val="center"/>
        <w:rPr>
          <w:rFonts w:ascii="Times New Roman" w:hAnsi="Times New Roman" w:cs="Times New Roman"/>
          <w:b/>
        </w:rPr>
      </w:pPr>
    </w:p>
    <w:p w14:paraId="5F361C62" w14:textId="77777777" w:rsidR="00B307DB" w:rsidRPr="00977C8B" w:rsidRDefault="00B307DB" w:rsidP="00B307DB">
      <w:pPr>
        <w:spacing w:after="0" w:line="240" w:lineRule="auto"/>
        <w:ind w:right="-568"/>
        <w:jc w:val="center"/>
        <w:rPr>
          <w:rFonts w:ascii="Times New Roman" w:hAnsi="Times New Roman" w:cs="Times New Roman"/>
          <w:b/>
        </w:rPr>
      </w:pPr>
    </w:p>
    <w:p w14:paraId="39EBC94C" w14:textId="77777777" w:rsidR="00B307DB" w:rsidRPr="00977C8B" w:rsidRDefault="00B307DB" w:rsidP="00B307DB">
      <w:pPr>
        <w:spacing w:after="0" w:line="240" w:lineRule="auto"/>
        <w:ind w:right="-568"/>
        <w:jc w:val="center"/>
        <w:rPr>
          <w:rFonts w:ascii="Times New Roman" w:hAnsi="Times New Roman" w:cs="Times New Roman"/>
          <w:b/>
        </w:rPr>
      </w:pPr>
    </w:p>
    <w:p w14:paraId="25963F74" w14:textId="77777777" w:rsidR="00B307DB" w:rsidRPr="00977C8B" w:rsidRDefault="00B307DB" w:rsidP="00B307DB">
      <w:pPr>
        <w:spacing w:after="0" w:line="240" w:lineRule="auto"/>
        <w:ind w:right="-568"/>
        <w:jc w:val="center"/>
        <w:rPr>
          <w:rFonts w:ascii="Times New Roman" w:hAnsi="Times New Roman" w:cs="Times New Roman"/>
          <w:b/>
        </w:rPr>
      </w:pPr>
    </w:p>
    <w:p w14:paraId="100D0CA0" w14:textId="77777777" w:rsidR="00B307DB" w:rsidRPr="00977C8B" w:rsidRDefault="00B307DB" w:rsidP="00B307DB">
      <w:pPr>
        <w:spacing w:after="0" w:line="240" w:lineRule="auto"/>
        <w:ind w:right="-568"/>
        <w:jc w:val="center"/>
        <w:rPr>
          <w:rFonts w:ascii="Times New Roman" w:hAnsi="Times New Roman" w:cs="Times New Roman"/>
          <w:b/>
        </w:rPr>
      </w:pPr>
    </w:p>
    <w:p w14:paraId="5FAA148A" w14:textId="77777777" w:rsidR="00B307DB" w:rsidRPr="00977C8B" w:rsidRDefault="00B307DB" w:rsidP="00B307DB">
      <w:pPr>
        <w:spacing w:after="0" w:line="240" w:lineRule="auto"/>
        <w:ind w:right="-568"/>
        <w:jc w:val="center"/>
        <w:rPr>
          <w:rFonts w:ascii="Times New Roman" w:hAnsi="Times New Roman" w:cs="Times New Roman"/>
          <w:b/>
        </w:rPr>
      </w:pPr>
    </w:p>
    <w:p w14:paraId="1AE2D7BD" w14:textId="77777777" w:rsidR="00B307DB" w:rsidRPr="00977C8B" w:rsidRDefault="00B307DB" w:rsidP="00B307DB">
      <w:pPr>
        <w:spacing w:after="0" w:line="240" w:lineRule="auto"/>
        <w:ind w:right="-568"/>
        <w:jc w:val="center"/>
        <w:rPr>
          <w:rFonts w:ascii="Times New Roman" w:hAnsi="Times New Roman" w:cs="Times New Roman"/>
          <w:b/>
        </w:rPr>
      </w:pPr>
    </w:p>
    <w:p w14:paraId="0B7B2CD4" w14:textId="77777777" w:rsidR="00B307DB" w:rsidRPr="00977C8B" w:rsidRDefault="00B307DB" w:rsidP="00B307DB">
      <w:pPr>
        <w:spacing w:after="0" w:line="240" w:lineRule="auto"/>
        <w:ind w:right="-568"/>
        <w:jc w:val="center"/>
        <w:rPr>
          <w:rFonts w:ascii="Times New Roman" w:hAnsi="Times New Roman" w:cs="Times New Roman"/>
          <w:b/>
        </w:rPr>
      </w:pPr>
    </w:p>
    <w:p w14:paraId="0F737937" w14:textId="77777777" w:rsidR="00B307DB" w:rsidRDefault="00B307DB" w:rsidP="00B307DB">
      <w:pPr>
        <w:spacing w:after="0" w:line="240" w:lineRule="auto"/>
        <w:ind w:right="-568"/>
        <w:jc w:val="center"/>
        <w:rPr>
          <w:rFonts w:ascii="Times New Roman" w:hAnsi="Times New Roman" w:cs="Times New Roman"/>
          <w:b/>
        </w:rPr>
      </w:pPr>
    </w:p>
    <w:p w14:paraId="5BFDEF4C" w14:textId="77777777" w:rsidR="00B307DB" w:rsidRDefault="00B307DB" w:rsidP="00B307DB">
      <w:pPr>
        <w:spacing w:after="0" w:line="240" w:lineRule="auto"/>
        <w:ind w:right="-568"/>
        <w:jc w:val="center"/>
        <w:rPr>
          <w:rFonts w:ascii="Times New Roman" w:hAnsi="Times New Roman" w:cs="Times New Roman"/>
          <w:b/>
        </w:rPr>
      </w:pPr>
    </w:p>
    <w:p w14:paraId="37D218EB" w14:textId="77777777" w:rsidR="00B307DB" w:rsidRDefault="00B307DB" w:rsidP="00B307DB">
      <w:pPr>
        <w:spacing w:after="0" w:line="240" w:lineRule="auto"/>
        <w:ind w:right="-568"/>
        <w:jc w:val="center"/>
        <w:rPr>
          <w:rFonts w:ascii="Times New Roman" w:hAnsi="Times New Roman" w:cs="Times New Roman"/>
          <w:b/>
        </w:rPr>
        <w:sectPr w:rsidR="00B307DB" w:rsidSect="00977C8B">
          <w:pgSz w:w="16838" w:h="11906" w:orient="landscape"/>
          <w:pgMar w:top="1701" w:right="1190" w:bottom="1701" w:left="1276" w:header="142" w:footer="0" w:gutter="0"/>
          <w:cols w:space="708"/>
          <w:docGrid w:linePitch="360"/>
        </w:sectPr>
      </w:pPr>
    </w:p>
    <w:p w14:paraId="1212AED7" w14:textId="77777777" w:rsidR="00B307DB" w:rsidRDefault="00B307DB" w:rsidP="00B307DB">
      <w:pPr>
        <w:spacing w:after="0" w:line="240" w:lineRule="auto"/>
        <w:ind w:right="-568"/>
        <w:jc w:val="center"/>
        <w:rPr>
          <w:rFonts w:ascii="Times New Roman" w:hAnsi="Times New Roman" w:cs="Times New Roman"/>
          <w:b/>
        </w:rPr>
      </w:pPr>
    </w:p>
    <w:p w14:paraId="71CA1BCF"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7199CCC2" w14:textId="77777777" w:rsidR="00B307DB" w:rsidRPr="005A1084" w:rsidRDefault="00B307DB" w:rsidP="00B307D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3451125B"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3A0BD8" w14:textId="77777777" w:rsidR="00B307DB" w:rsidRPr="00D84571" w:rsidRDefault="00B307DB" w:rsidP="00B307DB">
      <w:pPr>
        <w:pStyle w:val="Ttulo1"/>
        <w:shd w:val="clear" w:color="auto" w:fill="A5A5A5" w:themeFill="accent3"/>
        <w:spacing w:before="0" w:line="240" w:lineRule="auto"/>
        <w:ind w:right="-568"/>
        <w:jc w:val="center"/>
        <w:rPr>
          <w:rFonts w:ascii="Times New Roman" w:hAnsi="Times New Roman" w:cs="Times New Roman"/>
          <w:sz w:val="22"/>
          <w:szCs w:val="22"/>
        </w:rPr>
      </w:pPr>
      <w:r>
        <w:rPr>
          <w:rFonts w:ascii="Times New Roman" w:hAnsi="Times New Roman" w:cs="Times New Roman"/>
          <w:sz w:val="22"/>
          <w:szCs w:val="22"/>
        </w:rPr>
        <w:t>ANEXO IV</w:t>
      </w:r>
      <w:r w:rsidRPr="00D84571">
        <w:rPr>
          <w:rFonts w:ascii="Times New Roman" w:hAnsi="Times New Roman" w:cs="Times New Roman"/>
          <w:sz w:val="22"/>
          <w:szCs w:val="22"/>
        </w:rPr>
        <w:t xml:space="preserve"> – DECLARAÇÃO DE INEXISTÊNCIA DE IMPEDIMENTOS</w:t>
      </w:r>
    </w:p>
    <w:p w14:paraId="3EE52EB1" w14:textId="77777777" w:rsidR="00B307DB" w:rsidRDefault="00B307DB" w:rsidP="00B307DB">
      <w:pPr>
        <w:spacing w:after="0" w:line="240" w:lineRule="auto"/>
        <w:ind w:right="-568"/>
        <w:jc w:val="center"/>
        <w:rPr>
          <w:rFonts w:ascii="Times New Roman" w:hAnsi="Times New Roman" w:cs="Times New Roman"/>
          <w:b/>
        </w:rPr>
      </w:pPr>
    </w:p>
    <w:p w14:paraId="793D123E" w14:textId="77777777" w:rsidR="00B307DB" w:rsidRPr="00D84571" w:rsidRDefault="00B307DB" w:rsidP="00B307DB">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INEXISTÊNCIA DE IMPEDIMENTOS PARA DISPUTAR O CERTAME E/OU PARTICIPAR DA EXECUÇÃO DO CONTRATO</w:t>
      </w:r>
    </w:p>
    <w:p w14:paraId="36F1BB7A" w14:textId="77777777" w:rsidR="00B307DB" w:rsidRPr="00D84571" w:rsidRDefault="00B307DB" w:rsidP="00B307DB">
      <w:pPr>
        <w:spacing w:after="0" w:line="240" w:lineRule="auto"/>
        <w:ind w:right="-568"/>
        <w:jc w:val="both"/>
        <w:rPr>
          <w:rFonts w:ascii="Times New Roman" w:hAnsi="Times New Roman" w:cs="Times New Roman"/>
          <w:b/>
        </w:rPr>
      </w:pPr>
    </w:p>
    <w:p w14:paraId="72B200F9"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___________________________, inscrito no CPF/CNPJ nº ______________, DECLARA que não incorre nas vedações previstas na </w:t>
      </w:r>
      <w:hyperlink r:id="rId277" w:history="1">
        <w:r w:rsidRPr="00D84571">
          <w:rPr>
            <w:rStyle w:val="Hyperlink"/>
            <w:rFonts w:ascii="Times New Roman" w:hAnsi="Times New Roman" w:cs="Times New Roman"/>
          </w:rPr>
          <w:t>Lei nº 14.133/2021</w:t>
        </w:r>
      </w:hyperlink>
      <w:r w:rsidRPr="00D84571">
        <w:rPr>
          <w:rFonts w:ascii="Times New Roman" w:hAnsi="Times New Roman" w:cs="Times New Roman"/>
        </w:rPr>
        <w:t>, assumindo a responsabilidade de comunicar imediatamente a Administração Pública no caso de incorrer:</w:t>
      </w:r>
    </w:p>
    <w:p w14:paraId="31DC3F81"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78" w:anchor="art9%C2%A71" w:history="1">
        <w:r w:rsidRPr="00D84571">
          <w:rPr>
            <w:rStyle w:val="Hyperlink"/>
            <w:rFonts w:ascii="Times New Roman" w:hAnsi="Times New Roman" w:cs="Times New Roman"/>
          </w:rPr>
          <w:t>art. 9º, § 1º</w:t>
        </w:r>
      </w:hyperlink>
      <w:r w:rsidRPr="00D84571">
        <w:rPr>
          <w:rStyle w:val="Hyperlink"/>
          <w:rFonts w:ascii="Times New Roman" w:hAnsi="Times New Roman" w:cs="Times New Roman"/>
        </w:rPr>
        <w:t xml:space="preserve"> a Art. 89 e Parágrafo Único da Lei Orgânica do Município de Riqueza</w:t>
      </w:r>
      <w:r w:rsidRPr="00D84571">
        <w:rPr>
          <w:rFonts w:ascii="Times New Roman" w:hAnsi="Times New Roman" w:cs="Times New Roman"/>
        </w:rPr>
        <w:t>);</w:t>
      </w:r>
    </w:p>
    <w:p w14:paraId="697CF2D4"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9" w:anchor="art14i" w:history="1">
        <w:r w:rsidRPr="00D84571">
          <w:rPr>
            <w:rStyle w:val="Hyperlink"/>
            <w:rFonts w:ascii="Times New Roman" w:hAnsi="Times New Roman" w:cs="Times New Roman"/>
          </w:rPr>
          <w:t>art. 14, I</w:t>
        </w:r>
      </w:hyperlink>
      <w:r w:rsidRPr="00D84571">
        <w:rPr>
          <w:rFonts w:ascii="Times New Roman" w:hAnsi="Times New Roman" w:cs="Times New Roman"/>
        </w:rPr>
        <w:t xml:space="preserve"> c/c </w:t>
      </w:r>
      <w:hyperlink r:id="rId280" w:anchor="art14%C2%A73" w:history="1">
        <w:r w:rsidRPr="00D84571">
          <w:rPr>
            <w:rStyle w:val="Hyperlink"/>
            <w:rFonts w:ascii="Times New Roman" w:hAnsi="Times New Roman" w:cs="Times New Roman"/>
          </w:rPr>
          <w:t>§ 3º</w:t>
        </w:r>
      </w:hyperlink>
      <w:r w:rsidRPr="00D84571">
        <w:rPr>
          <w:rFonts w:ascii="Times New Roman" w:hAnsi="Times New Roman" w:cs="Times New Roman"/>
        </w:rPr>
        <w:t>);</w:t>
      </w:r>
    </w:p>
    <w:p w14:paraId="797CAD57"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81" w:anchor="art14ii" w:history="1">
        <w:r w:rsidRPr="00D84571">
          <w:rPr>
            <w:rStyle w:val="Hyperlink"/>
            <w:rFonts w:ascii="Times New Roman" w:hAnsi="Times New Roman" w:cs="Times New Roman"/>
          </w:rPr>
          <w:t>art. 14, II</w:t>
        </w:r>
      </w:hyperlink>
      <w:r w:rsidRPr="00D84571">
        <w:rPr>
          <w:rFonts w:ascii="Times New Roman" w:hAnsi="Times New Roman" w:cs="Times New Roman"/>
        </w:rPr>
        <w:t>). Equiparam-se aos autores do projeto as empresas integrantes do mesmo grupo econômico (</w:t>
      </w:r>
      <w:hyperlink r:id="rId282"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3F12EC40"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Pessoa física ou jurídica que se encontre, ao tempo da licitação, impossibilitada de participar da licitação em decorrência de sanção que lhe foi imposta (</w:t>
      </w:r>
      <w:hyperlink r:id="rId283" w:anchor="art14iii" w:history="1">
        <w:r w:rsidRPr="00D84571">
          <w:rPr>
            <w:rStyle w:val="Hyperlink"/>
            <w:rFonts w:ascii="Times New Roman" w:hAnsi="Times New Roman" w:cs="Times New Roman"/>
          </w:rPr>
          <w:t>art. 14, III</w:t>
        </w:r>
      </w:hyperlink>
      <w:r w:rsidRPr="00D84571">
        <w:rPr>
          <w:rFonts w:ascii="Times New Roman" w:hAnsi="Times New Roman" w:cs="Times New Roman"/>
        </w:rPr>
        <w:t>);</w:t>
      </w:r>
    </w:p>
    <w:p w14:paraId="53FE20A6" w14:textId="77777777" w:rsidR="00B307DB" w:rsidRPr="00D84571" w:rsidRDefault="00B307DB" w:rsidP="00B307DB">
      <w:pPr>
        <w:pStyle w:val="PargrafodaLista"/>
        <w:tabs>
          <w:tab w:val="left" w:pos="426"/>
          <w:tab w:val="left" w:pos="1701"/>
        </w:tabs>
        <w:spacing w:after="0" w:line="240" w:lineRule="auto"/>
        <w:ind w:left="0" w:right="-568"/>
        <w:contextualSpacing w:val="0"/>
        <w:jc w:val="both"/>
        <w:rPr>
          <w:rFonts w:ascii="Times New Roman" w:hAnsi="Times New Roman" w:cs="Times New Roman"/>
        </w:rPr>
      </w:pPr>
      <w:r w:rsidRPr="00D84571">
        <w:rPr>
          <w:rFonts w:ascii="Times New Roman" w:hAnsi="Times New Roman" w:cs="Times New Roman"/>
          <w:b/>
        </w:rPr>
        <w:t>Obs. 1:</w:t>
      </w:r>
      <w:r w:rsidRPr="00D84571">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84" w:anchor="art14%C2%A73" w:history="1">
        <w:r w:rsidRPr="00D84571">
          <w:rPr>
            <w:rStyle w:val="Hyperlink"/>
            <w:rFonts w:ascii="Times New Roman" w:hAnsi="Times New Roman" w:cs="Times New Roman"/>
          </w:rPr>
          <w:t>art. 14, § 3º</w:t>
        </w:r>
      </w:hyperlink>
      <w:r w:rsidRPr="00D84571">
        <w:rPr>
          <w:rFonts w:ascii="Times New Roman" w:hAnsi="Times New Roman" w:cs="Times New Roman"/>
        </w:rPr>
        <w:t>).</w:t>
      </w:r>
    </w:p>
    <w:p w14:paraId="5737727F"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85" w:anchor="art14iv" w:history="1">
        <w:r w:rsidRPr="00D84571">
          <w:rPr>
            <w:rStyle w:val="Hyperlink"/>
            <w:rFonts w:ascii="Times New Roman" w:hAnsi="Times New Roman" w:cs="Times New Roman"/>
          </w:rPr>
          <w:t>art. 14, IV</w:t>
        </w:r>
      </w:hyperlink>
      <w:r w:rsidRPr="00D84571">
        <w:rPr>
          <w:rFonts w:ascii="Times New Roman" w:hAnsi="Times New Roman" w:cs="Times New Roman"/>
        </w:rPr>
        <w:t>);</w:t>
      </w:r>
    </w:p>
    <w:p w14:paraId="05304516"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Empresas controladoras, controladas ou coligadas, nos termos da </w:t>
      </w:r>
      <w:hyperlink r:id="rId286" w:history="1">
        <w:r w:rsidRPr="00D84571">
          <w:rPr>
            <w:rStyle w:val="Hyperlink"/>
            <w:rFonts w:ascii="Times New Roman" w:hAnsi="Times New Roman" w:cs="Times New Roman"/>
          </w:rPr>
          <w:t>Lei nº 6.404, de 15 de dezembro de 1976 – Dispõe sobre as Sociedades por Ações</w:t>
        </w:r>
      </w:hyperlink>
      <w:r w:rsidRPr="00D84571">
        <w:rPr>
          <w:rFonts w:ascii="Times New Roman" w:hAnsi="Times New Roman" w:cs="Times New Roman"/>
        </w:rPr>
        <w:t>, concorrendo entre si (</w:t>
      </w:r>
      <w:hyperlink r:id="rId287" w:anchor="art14v" w:history="1">
        <w:r w:rsidRPr="00D84571">
          <w:rPr>
            <w:rStyle w:val="Hyperlink"/>
            <w:rFonts w:ascii="Times New Roman" w:hAnsi="Times New Roman" w:cs="Times New Roman"/>
          </w:rPr>
          <w:t>art. 14, V</w:t>
        </w:r>
      </w:hyperlink>
      <w:r w:rsidRPr="00D84571">
        <w:rPr>
          <w:rFonts w:ascii="Times New Roman" w:hAnsi="Times New Roman" w:cs="Times New Roman"/>
        </w:rPr>
        <w:t>);</w:t>
      </w:r>
    </w:p>
    <w:p w14:paraId="27D71364"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g)</w:t>
      </w:r>
      <w:r>
        <w:rPr>
          <w:rFonts w:ascii="Times New Roman" w:hAnsi="Times New Roman" w:cs="Times New Roman"/>
        </w:rPr>
        <w:t xml:space="preserve"> </w:t>
      </w:r>
      <w:r w:rsidRPr="00D84571">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8" w:anchor="art14vi" w:history="1">
        <w:r w:rsidRPr="00D84571">
          <w:rPr>
            <w:rStyle w:val="Hyperlink"/>
            <w:rFonts w:ascii="Times New Roman" w:hAnsi="Times New Roman" w:cs="Times New Roman"/>
          </w:rPr>
          <w:t>art. 14, VI</w:t>
        </w:r>
      </w:hyperlink>
      <w:r w:rsidRPr="00D84571">
        <w:rPr>
          <w:rFonts w:ascii="Times New Roman" w:hAnsi="Times New Roman" w:cs="Times New Roman"/>
        </w:rPr>
        <w:t>);</w:t>
      </w:r>
    </w:p>
    <w:p w14:paraId="010FB83A"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h)</w:t>
      </w:r>
      <w:r>
        <w:rPr>
          <w:rFonts w:ascii="Times New Roman" w:hAnsi="Times New Roman" w:cs="Times New Roman"/>
        </w:rPr>
        <w:t xml:space="preserve"> </w:t>
      </w:r>
      <w:r w:rsidRPr="00D84571">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9" w:anchor="art14%C2%A75" w:history="1">
        <w:r w:rsidRPr="00D84571">
          <w:rPr>
            <w:rStyle w:val="Hyperlink"/>
            <w:rFonts w:ascii="Times New Roman" w:hAnsi="Times New Roman" w:cs="Times New Roman"/>
          </w:rPr>
          <w:t>art. 14, § 5º</w:t>
        </w:r>
      </w:hyperlink>
      <w:r w:rsidRPr="00D84571">
        <w:rPr>
          <w:rFonts w:ascii="Times New Roman" w:hAnsi="Times New Roman" w:cs="Times New Roman"/>
        </w:rPr>
        <w:t>);</w:t>
      </w:r>
    </w:p>
    <w:p w14:paraId="531B34D4"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i)</w:t>
      </w:r>
      <w:r>
        <w:rPr>
          <w:rFonts w:ascii="Times New Roman" w:hAnsi="Times New Roman" w:cs="Times New Roman"/>
        </w:rPr>
        <w:t xml:space="preserve"> </w:t>
      </w:r>
      <w:r w:rsidRPr="00D84571">
        <w:rPr>
          <w:rFonts w:ascii="Times New Roman" w:hAnsi="Times New Roman" w:cs="Times New Roman"/>
        </w:rPr>
        <w:t>É impedida a empresa consorciada participar, na mesma licitação, de mais de um consórcio ou de forma isolada (</w:t>
      </w:r>
      <w:hyperlink r:id="rId290" w:anchor="art15iv" w:history="1">
        <w:r w:rsidRPr="00D84571">
          <w:rPr>
            <w:rStyle w:val="Hyperlink"/>
            <w:rFonts w:ascii="Times New Roman" w:hAnsi="Times New Roman" w:cs="Times New Roman"/>
          </w:rPr>
          <w:t>art. 15, IV</w:t>
        </w:r>
      </w:hyperlink>
      <w:r w:rsidRPr="00D84571">
        <w:rPr>
          <w:rFonts w:ascii="Times New Roman" w:hAnsi="Times New Roman" w:cs="Times New Roman"/>
        </w:rPr>
        <w:t>);</w:t>
      </w:r>
    </w:p>
    <w:p w14:paraId="55C685DA"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j)</w:t>
      </w:r>
      <w:r>
        <w:rPr>
          <w:rFonts w:ascii="Times New Roman" w:hAnsi="Times New Roman" w:cs="Times New Roman"/>
        </w:rPr>
        <w:t xml:space="preserve"> </w:t>
      </w:r>
      <w:r w:rsidRPr="00D84571">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291" w:anchor="art48" w:history="1">
        <w:r w:rsidRPr="00D84571">
          <w:rPr>
            <w:rStyle w:val="Hyperlink"/>
            <w:rFonts w:ascii="Times New Roman" w:hAnsi="Times New Roman" w:cs="Times New Roman"/>
          </w:rPr>
          <w:t>art. 48, p. ú.</w:t>
        </w:r>
      </w:hyperlink>
      <w:r w:rsidRPr="00D84571">
        <w:rPr>
          <w:rFonts w:ascii="Times New Roman" w:hAnsi="Times New Roman" w:cs="Times New Roman"/>
        </w:rPr>
        <w:t>);</w:t>
      </w:r>
    </w:p>
    <w:p w14:paraId="3C09E386" w14:textId="77777777" w:rsidR="00B307DB" w:rsidRPr="00D84571" w:rsidRDefault="00B307DB" w:rsidP="00B307DB">
      <w:pPr>
        <w:pStyle w:val="PargrafodaLista"/>
        <w:widowControl w:val="0"/>
        <w:tabs>
          <w:tab w:val="left" w:pos="426"/>
        </w:tabs>
        <w:adjustRightInd w:val="0"/>
        <w:spacing w:after="0" w:line="240" w:lineRule="auto"/>
        <w:ind w:left="0" w:right="-568"/>
        <w:contextualSpacing w:val="0"/>
        <w:jc w:val="both"/>
        <w:textAlignment w:val="baseline"/>
        <w:rPr>
          <w:rFonts w:ascii="Times New Roman" w:hAnsi="Times New Roman" w:cs="Times New Roman"/>
        </w:rPr>
      </w:pPr>
      <w:r w:rsidRPr="007038A2">
        <w:rPr>
          <w:rFonts w:ascii="Times New Roman" w:hAnsi="Times New Roman" w:cs="Times New Roman"/>
          <w:b/>
        </w:rPr>
        <w:t>k)</w:t>
      </w:r>
      <w:r>
        <w:rPr>
          <w:rFonts w:ascii="Times New Roman" w:hAnsi="Times New Roman" w:cs="Times New Roman"/>
        </w:rPr>
        <w:t xml:space="preserve"> </w:t>
      </w:r>
      <w:r w:rsidRPr="00D84571">
        <w:rPr>
          <w:rFonts w:ascii="Times New Roman" w:hAnsi="Times New Roman" w:cs="Times New Roman"/>
        </w:rPr>
        <w:t xml:space="preserve">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w:t>
      </w:r>
      <w:r w:rsidRPr="00D84571">
        <w:rPr>
          <w:rFonts w:ascii="Times New Roman" w:hAnsi="Times New Roman" w:cs="Times New Roman"/>
        </w:rPr>
        <w:lastRenderedPageBreak/>
        <w:t>colateral, ou por afinidade, até o terceiro grau (</w:t>
      </w:r>
      <w:hyperlink r:id="rId292" w:anchor="art122%C2%A73" w:history="1">
        <w:r w:rsidRPr="00D84571">
          <w:rPr>
            <w:rStyle w:val="Hyperlink"/>
            <w:rFonts w:ascii="Times New Roman" w:hAnsi="Times New Roman" w:cs="Times New Roman"/>
          </w:rPr>
          <w:t>art. 122, § 3º</w:t>
        </w:r>
      </w:hyperlink>
      <w:r w:rsidRPr="00D84571">
        <w:rPr>
          <w:rFonts w:ascii="Times New Roman" w:hAnsi="Times New Roman" w:cs="Times New Roman"/>
        </w:rPr>
        <w:t>).</w:t>
      </w:r>
    </w:p>
    <w:p w14:paraId="626A51A9" w14:textId="77777777" w:rsidR="00B307DB" w:rsidRPr="00D84571" w:rsidRDefault="00B307DB" w:rsidP="00B307DB">
      <w:pPr>
        <w:tabs>
          <w:tab w:val="left" w:pos="426"/>
        </w:tabs>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293"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23CBB343" w14:textId="77777777" w:rsidR="00B307DB" w:rsidRPr="00D84571" w:rsidRDefault="00B307DB" w:rsidP="00B307DB">
      <w:pPr>
        <w:spacing w:after="0" w:line="240" w:lineRule="auto"/>
        <w:ind w:right="-568"/>
        <w:jc w:val="both"/>
        <w:rPr>
          <w:rFonts w:ascii="Times New Roman" w:hAnsi="Times New Roman" w:cs="Times New Roman"/>
        </w:rPr>
      </w:pPr>
    </w:p>
    <w:p w14:paraId="58A8D646"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60311977" w14:textId="77777777" w:rsidR="00B307DB" w:rsidRPr="00D84571" w:rsidRDefault="00B307DB" w:rsidP="00B307DB">
      <w:pPr>
        <w:spacing w:after="0" w:line="240" w:lineRule="auto"/>
        <w:ind w:right="-568"/>
        <w:jc w:val="center"/>
        <w:rPr>
          <w:rFonts w:ascii="Times New Roman" w:hAnsi="Times New Roman" w:cs="Times New Roman"/>
        </w:rPr>
      </w:pPr>
    </w:p>
    <w:p w14:paraId="56AAC27F"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6FF45AED"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(NOME COMPLETO – CNPJ/CPF)</w:t>
      </w:r>
    </w:p>
    <w:p w14:paraId="0C51194E"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E448BB2"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6AFF4A5"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74934A2"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750AC2"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B2AA17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D826A10"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F2BDB6D"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8DC8D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5F2E88"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089015C"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05DF3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351350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6CCEC6"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454B5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768E28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DC87592"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5331E9"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AEA99C"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FADAA14"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628408"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6FD451"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730DDC0"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8B7DCAC"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099AF16"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2DEE1D1"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B89EE75"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8DEF0D"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187275"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EBB6D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D222C2"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8C3F5A"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670F20"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9BC17A4"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FE3C054"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F561082"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C43BB2"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32E7CB"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DF31F33"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300DA2B"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BE7A03"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05BAF7D"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68258E"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757593"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B2C8310"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ACBDA0"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EF38189"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BD3983"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C544123"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53C0CB"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431806DC"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Pr>
          <w:rFonts w:ascii="Times New Roman" w:hAnsi="Times New Roman" w:cs="Times New Roman"/>
          <w:b/>
        </w:rPr>
        <w:t>36/2024</w:t>
      </w:r>
      <w:r w:rsidRPr="00D84571">
        <w:rPr>
          <w:rFonts w:ascii="Times New Roman" w:hAnsi="Times New Roman" w:cs="Times New Roman"/>
          <w:b/>
        </w:rPr>
        <w:t xml:space="preserve"> </w:t>
      </w:r>
    </w:p>
    <w:p w14:paraId="0BCBFAF8"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B67B5CA" w14:textId="77777777" w:rsidR="00B307DB" w:rsidRPr="00D84571" w:rsidRDefault="00B307DB" w:rsidP="00B307DB">
      <w:pPr>
        <w:pStyle w:val="Ttulo1"/>
        <w:shd w:val="clear" w:color="auto" w:fill="A5A5A5" w:themeFill="accent3"/>
        <w:spacing w:before="0" w:line="240" w:lineRule="auto"/>
        <w:ind w:right="-568"/>
        <w:jc w:val="center"/>
        <w:rPr>
          <w:rFonts w:ascii="Times New Roman" w:hAnsi="Times New Roman" w:cs="Times New Roman"/>
          <w:sz w:val="22"/>
          <w:szCs w:val="22"/>
        </w:rPr>
      </w:pPr>
      <w:r>
        <w:rPr>
          <w:rFonts w:ascii="Times New Roman" w:hAnsi="Times New Roman" w:cs="Times New Roman"/>
          <w:sz w:val="22"/>
          <w:szCs w:val="22"/>
        </w:rPr>
        <w:t xml:space="preserve">ANEXO </w:t>
      </w:r>
      <w:r w:rsidRPr="00D84571">
        <w:rPr>
          <w:rFonts w:ascii="Times New Roman" w:hAnsi="Times New Roman" w:cs="Times New Roman"/>
          <w:sz w:val="22"/>
          <w:szCs w:val="22"/>
        </w:rPr>
        <w:t>V – DECLARAÇÃO LGPD</w:t>
      </w:r>
    </w:p>
    <w:p w14:paraId="44B5DAFA" w14:textId="77777777" w:rsidR="00B307DB" w:rsidRPr="00D84571" w:rsidRDefault="00B307DB" w:rsidP="00B307DB">
      <w:pPr>
        <w:spacing w:after="0" w:line="240" w:lineRule="auto"/>
        <w:ind w:right="-568"/>
        <w:jc w:val="center"/>
        <w:rPr>
          <w:rFonts w:ascii="Times New Roman" w:hAnsi="Times New Roman" w:cs="Times New Roman"/>
          <w:b/>
        </w:rPr>
      </w:pPr>
    </w:p>
    <w:p w14:paraId="0F9E856F" w14:textId="77777777" w:rsidR="00B307DB" w:rsidRPr="00D84571" w:rsidRDefault="00B307DB" w:rsidP="00B307DB">
      <w:pPr>
        <w:spacing w:after="0" w:line="240" w:lineRule="auto"/>
        <w:ind w:right="-568"/>
        <w:jc w:val="center"/>
        <w:rPr>
          <w:rFonts w:ascii="Times New Roman" w:hAnsi="Times New Roman" w:cs="Times New Roman"/>
          <w:b/>
        </w:rPr>
      </w:pPr>
      <w:r w:rsidRPr="00D84571">
        <w:rPr>
          <w:rFonts w:ascii="Times New Roman" w:hAnsi="Times New Roman" w:cs="Times New Roman"/>
          <w:b/>
          <w:bCs/>
          <w:spacing w:val="2"/>
        </w:rPr>
        <w:t>INSTRUMENTO PARTICULAR DE CONFIDENCIALIDADE E OUTRAS AVENÇAS</w:t>
      </w:r>
    </w:p>
    <w:p w14:paraId="4F71BA48" w14:textId="77777777" w:rsidR="00B307DB" w:rsidRPr="00D84571" w:rsidRDefault="00B307DB" w:rsidP="00B307DB">
      <w:pPr>
        <w:spacing w:after="0" w:line="240" w:lineRule="auto"/>
        <w:ind w:right="-568"/>
        <w:jc w:val="both"/>
        <w:rPr>
          <w:rFonts w:ascii="Times New Roman" w:hAnsi="Times New Roman" w:cs="Times New Roman"/>
          <w:b/>
        </w:rPr>
      </w:pPr>
    </w:p>
    <w:p w14:paraId="59043685" w14:textId="77777777" w:rsidR="00B307DB" w:rsidRPr="00D84571" w:rsidRDefault="00B307DB" w:rsidP="00B307DB">
      <w:pPr>
        <w:pStyle w:val="NormalWeb"/>
        <w:shd w:val="clear" w:color="auto" w:fill="FFFFFF"/>
        <w:spacing w:after="0" w:line="240" w:lineRule="auto"/>
        <w:ind w:right="-567"/>
        <w:jc w:val="both"/>
        <w:rPr>
          <w:spacing w:val="2"/>
          <w:sz w:val="22"/>
          <w:szCs w:val="22"/>
        </w:rPr>
      </w:pPr>
      <w:r w:rsidRPr="00D84571">
        <w:rPr>
          <w:spacing w:val="2"/>
          <w:sz w:val="22"/>
          <w:szCs w:val="22"/>
        </w:rPr>
        <w:t>Por este instrumento, de um lado, </w:t>
      </w:r>
      <w:r w:rsidRPr="00D84571">
        <w:rPr>
          <w:b/>
          <w:bCs/>
          <w:spacing w:val="2"/>
          <w:sz w:val="22"/>
          <w:szCs w:val="22"/>
        </w:rPr>
        <w:t>Município de Riqueza</w:t>
      </w:r>
      <w:r w:rsidRPr="00D84571">
        <w:rPr>
          <w:spacing w:val="2"/>
          <w:sz w:val="22"/>
          <w:szCs w:val="22"/>
        </w:rPr>
        <w:t>, neste ato representado pelo conforme estabelecido em seu contrato social (“</w:t>
      </w:r>
      <w:r w:rsidRPr="00D84571">
        <w:rPr>
          <w:b/>
          <w:spacing w:val="2"/>
          <w:sz w:val="22"/>
          <w:szCs w:val="22"/>
        </w:rPr>
        <w:t>Parte Reveladora</w:t>
      </w:r>
      <w:r w:rsidRPr="00D84571">
        <w:rPr>
          <w:spacing w:val="2"/>
          <w:sz w:val="22"/>
          <w:szCs w:val="22"/>
        </w:rPr>
        <w:t>”) e, de outro lado, </w:t>
      </w:r>
      <w:r w:rsidRPr="00D84571">
        <w:rPr>
          <w:b/>
          <w:spacing w:val="2"/>
          <w:sz w:val="22"/>
          <w:szCs w:val="22"/>
        </w:rPr>
        <w:t>XXX</w:t>
      </w:r>
      <w:r w:rsidRPr="00D84571">
        <w:rPr>
          <w:spacing w:val="2"/>
          <w:sz w:val="22"/>
          <w:szCs w:val="22"/>
        </w:rPr>
        <w:t xml:space="preserve">, com CNPJ/CPF nº 000, com endereço em XXX, neste ato representada pelo seu representante legal (se for CNPJ) </w:t>
      </w:r>
      <w:r w:rsidRPr="00D84571">
        <w:rPr>
          <w:b/>
          <w:spacing w:val="2"/>
          <w:sz w:val="22"/>
          <w:szCs w:val="22"/>
        </w:rPr>
        <w:t>XXX</w:t>
      </w:r>
      <w:r w:rsidRPr="00D84571">
        <w:rPr>
          <w:spacing w:val="2"/>
          <w:sz w:val="22"/>
          <w:szCs w:val="22"/>
        </w:rPr>
        <w:t xml:space="preserve"> (“</w:t>
      </w:r>
      <w:r w:rsidRPr="00D84571">
        <w:rPr>
          <w:b/>
          <w:spacing w:val="2"/>
          <w:sz w:val="22"/>
          <w:szCs w:val="22"/>
        </w:rPr>
        <w:t>Parte Receptora</w:t>
      </w:r>
      <w:r w:rsidRPr="00D84571">
        <w:rPr>
          <w:spacing w:val="2"/>
          <w:sz w:val="22"/>
          <w:szCs w:val="22"/>
        </w:rPr>
        <w:t>”), resolvem, em comum acordo e na melhor forma de direito, celebrar o </w:t>
      </w:r>
      <w:r w:rsidRPr="00D84571">
        <w:rPr>
          <w:b/>
          <w:bCs/>
          <w:spacing w:val="2"/>
          <w:sz w:val="22"/>
          <w:szCs w:val="22"/>
        </w:rPr>
        <w:t>Instrumento Particular de Confidencialidade e Outras Avenças</w:t>
      </w:r>
      <w:r w:rsidRPr="00D84571">
        <w:rPr>
          <w:spacing w:val="2"/>
          <w:sz w:val="22"/>
          <w:szCs w:val="22"/>
        </w:rPr>
        <w:t>, mediante as cláusulas e condições que seguem:</w:t>
      </w:r>
    </w:p>
    <w:p w14:paraId="11AC6868" w14:textId="77777777" w:rsidR="00B307DB" w:rsidRPr="00D84571" w:rsidRDefault="00B307DB" w:rsidP="00B307DB">
      <w:pPr>
        <w:pStyle w:val="NormalWeb"/>
        <w:shd w:val="clear" w:color="auto" w:fill="FFFFFF"/>
        <w:spacing w:after="0" w:line="240" w:lineRule="auto"/>
        <w:ind w:right="-567"/>
        <w:jc w:val="both"/>
        <w:rPr>
          <w:spacing w:val="2"/>
          <w:sz w:val="22"/>
          <w:szCs w:val="22"/>
        </w:rPr>
      </w:pPr>
    </w:p>
    <w:p w14:paraId="1E2E1A53" w14:textId="77777777" w:rsidR="00B307DB" w:rsidRPr="00D84571" w:rsidRDefault="00B307DB" w:rsidP="00B307DB">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PRIMEIRA </w:t>
      </w:r>
      <w:r w:rsidRPr="00D84571">
        <w:rPr>
          <w:spacing w:val="2"/>
          <w:sz w:val="22"/>
          <w:szCs w:val="22"/>
        </w:rPr>
        <w:t>– </w:t>
      </w:r>
      <w:r w:rsidRPr="00D84571">
        <w:rPr>
          <w:b/>
          <w:bCs/>
          <w:spacing w:val="2"/>
          <w:sz w:val="22"/>
          <w:szCs w:val="22"/>
        </w:rPr>
        <w:t>DO OBJETO</w:t>
      </w:r>
    </w:p>
    <w:p w14:paraId="69B4B2FF" w14:textId="77777777" w:rsidR="00B307DB" w:rsidRPr="008C4DAB" w:rsidRDefault="00B307DB" w:rsidP="00B307D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spacing w:val="2"/>
        </w:rPr>
      </w:pPr>
      <w:r w:rsidRPr="00D84571">
        <w:rPr>
          <w:rFonts w:ascii="Times New Roman" w:hAnsi="Times New Roman" w:cs="Times New Roman"/>
          <w:b/>
          <w:spacing w:val="2"/>
        </w:rPr>
        <w:t>1.1</w:t>
      </w:r>
      <w:r w:rsidRPr="00D84571">
        <w:rPr>
          <w:rFonts w:ascii="Times New Roman" w:hAnsi="Times New Roman" w:cs="Times New Roman"/>
          <w:spacing w:val="2"/>
        </w:rPr>
        <w:t xml:space="preserve"> É objeto deste instrumento a manutenção do mais absoluto sigilo em relação a toda e qualquer informação relacionada à</w:t>
      </w:r>
      <w:r w:rsidRPr="00D84571">
        <w:rPr>
          <w:rFonts w:ascii="Times New Roman" w:hAnsi="Times New Roman" w:cs="Times New Roman"/>
          <w:color w:val="FF0000"/>
          <w:spacing w:val="2"/>
        </w:rPr>
        <w:t> </w:t>
      </w:r>
      <w:r w:rsidRPr="00D84571">
        <w:rPr>
          <w:rFonts w:ascii="Times New Roman" w:hAnsi="Times New Roman" w:cs="Times New Roman"/>
          <w:bCs/>
          <w:color w:val="000000" w:themeColor="text1"/>
          <w:spacing w:val="2"/>
        </w:rPr>
        <w:t>dados pessoais e dados pessoais sensíveis</w:t>
      </w:r>
      <w:r w:rsidRPr="00D84571">
        <w:rPr>
          <w:rFonts w:ascii="Times New Roman" w:hAnsi="Times New Roman" w:cs="Times New Roman"/>
          <w:spacing w:val="2"/>
        </w:rPr>
        <w:t xml:space="preserve">, inscrita na </w:t>
      </w:r>
      <w:r w:rsidRPr="00D84571">
        <w:rPr>
          <w:rFonts w:ascii="Times New Roman" w:hAnsi="Times New Roman" w:cs="Times New Roman"/>
          <w:b/>
          <w:spacing w:val="2"/>
        </w:rPr>
        <w:t>Cláusula Primeira do Contrato Administrativo</w:t>
      </w:r>
      <w:r w:rsidRPr="00D84571">
        <w:rPr>
          <w:rFonts w:ascii="Times New Roman" w:hAnsi="Times New Roman" w:cs="Times New Roman"/>
          <w:spacing w:val="2"/>
        </w:rPr>
        <w:t xml:space="preserve"> que a PARTE RECEPTORA vier a ter acesso em decorrência da </w:t>
      </w:r>
      <w:r w:rsidRPr="008C4DAB">
        <w:rPr>
          <w:rFonts w:ascii="Times New Roman" w:hAnsi="Times New Roman" w:cs="Times New Roman"/>
          <w:spacing w:val="2"/>
        </w:rPr>
        <w:t>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atendimento das necessidades da administração municipal e do Poder Legislativo, conforme especificações constantes no edital e seus anexos.</w:t>
      </w:r>
    </w:p>
    <w:p w14:paraId="5443E077" w14:textId="77777777" w:rsidR="00B307DB" w:rsidRPr="00D84571" w:rsidRDefault="00B307DB" w:rsidP="00B307DB">
      <w:pPr>
        <w:widowControl w:val="0"/>
        <w:tabs>
          <w:tab w:val="left" w:pos="1701"/>
          <w:tab w:val="right" w:pos="8080"/>
        </w:tabs>
        <w:adjustRightInd w:val="0"/>
        <w:spacing w:after="0" w:line="240" w:lineRule="auto"/>
        <w:ind w:right="-568"/>
        <w:jc w:val="both"/>
        <w:textAlignment w:val="baseline"/>
        <w:rPr>
          <w:spacing w:val="2"/>
        </w:rPr>
      </w:pPr>
    </w:p>
    <w:p w14:paraId="4B070A6C" w14:textId="77777777" w:rsidR="00B307DB" w:rsidRPr="00D84571" w:rsidRDefault="00B307DB" w:rsidP="00B307DB">
      <w:pPr>
        <w:pStyle w:val="NormalWeb"/>
        <w:shd w:val="clear" w:color="auto" w:fill="FFFFFF"/>
        <w:spacing w:after="0" w:line="240" w:lineRule="auto"/>
        <w:ind w:right="-567"/>
        <w:jc w:val="both"/>
        <w:rPr>
          <w:b/>
          <w:bCs/>
          <w:spacing w:val="2"/>
          <w:sz w:val="22"/>
          <w:szCs w:val="22"/>
        </w:rPr>
      </w:pPr>
      <w:r w:rsidRPr="00D84571">
        <w:rPr>
          <w:b/>
          <w:bCs/>
          <w:spacing w:val="2"/>
          <w:sz w:val="22"/>
          <w:szCs w:val="22"/>
        </w:rPr>
        <w:t>CLÁUSULA SEGUNDA </w:t>
      </w:r>
      <w:r w:rsidRPr="00D84571">
        <w:rPr>
          <w:spacing w:val="2"/>
          <w:sz w:val="22"/>
          <w:szCs w:val="22"/>
        </w:rPr>
        <w:t>– </w:t>
      </w:r>
      <w:r w:rsidRPr="00D84571">
        <w:rPr>
          <w:b/>
          <w:bCs/>
          <w:spacing w:val="2"/>
          <w:sz w:val="22"/>
          <w:szCs w:val="22"/>
        </w:rPr>
        <w:t>DAS INFORMAÇÕES CONFIDENCIAIS</w:t>
      </w:r>
    </w:p>
    <w:p w14:paraId="6827BF3A" w14:textId="77777777" w:rsidR="00B307DB" w:rsidRPr="00D84571" w:rsidRDefault="00B307DB" w:rsidP="00B307DB">
      <w:pPr>
        <w:pStyle w:val="NormalWeb"/>
        <w:shd w:val="clear" w:color="auto" w:fill="FFFFFF"/>
        <w:spacing w:after="0" w:line="240" w:lineRule="auto"/>
        <w:ind w:right="-567"/>
        <w:jc w:val="both"/>
        <w:rPr>
          <w:spacing w:val="2"/>
          <w:sz w:val="22"/>
          <w:szCs w:val="22"/>
        </w:rPr>
      </w:pPr>
      <w:r w:rsidRPr="00D84571">
        <w:rPr>
          <w:b/>
          <w:spacing w:val="2"/>
          <w:sz w:val="22"/>
          <w:szCs w:val="22"/>
        </w:rPr>
        <w:t>2.1</w:t>
      </w:r>
      <w:r w:rsidRPr="00D84571">
        <w:rPr>
          <w:spacing w:val="2"/>
          <w:sz w:val="22"/>
          <w:szCs w:val="22"/>
        </w:rPr>
        <w:t xml:space="preserve"> Para todos os efeitos deste instrumento, serão consideradas confidenciais, todas as informações relacionadas à </w:t>
      </w:r>
      <w:r w:rsidRPr="00D84571">
        <w:rPr>
          <w:bCs/>
          <w:color w:val="000000" w:themeColor="text1"/>
          <w:spacing w:val="2"/>
          <w:sz w:val="22"/>
          <w:szCs w:val="22"/>
        </w:rPr>
        <w:t>dados pessoais e dados pessoais sensíveis</w:t>
      </w:r>
      <w:r w:rsidRPr="00D84571">
        <w:rPr>
          <w:spacing w:val="2"/>
          <w:sz w:val="22"/>
          <w:szCs w:val="22"/>
        </w:rPr>
        <w:t xml:space="preserve"> a que a PARTE RECEPTORA vier a ter acesso em decorrência dos serviços prestados à PARTE REVELADORA (“Informações Confidenciais”).</w:t>
      </w:r>
    </w:p>
    <w:p w14:paraId="57E006C9"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2.1.1</w:t>
      </w:r>
      <w:r w:rsidRPr="00D84571">
        <w:rPr>
          <w:spacing w:val="2"/>
          <w:sz w:val="22"/>
          <w:szCs w:val="22"/>
        </w:rPr>
        <w:t xml:space="preserve"> Serão, ainda, consideradas Informações Confidenciais todas as informações que assim forem identificadas pelo</w:t>
      </w:r>
      <w:r w:rsidRPr="00D84571">
        <w:rPr>
          <w:b/>
          <w:color w:val="FF0000"/>
          <w:spacing w:val="2"/>
          <w:sz w:val="22"/>
          <w:szCs w:val="22"/>
        </w:rPr>
        <w:t xml:space="preserve"> </w:t>
      </w:r>
      <w:r w:rsidRPr="00D84571">
        <w:rPr>
          <w:spacing w:val="2"/>
          <w:sz w:val="22"/>
          <w:szCs w:val="22"/>
        </w:rPr>
        <w:t xml:space="preserve">Município de Riqueza, PARTE REVELADORA, pelas legislações aplicáveis (inclusive a </w:t>
      </w:r>
      <w:hyperlink r:id="rId294" w:history="1">
        <w:r w:rsidRPr="00D84571">
          <w:rPr>
            <w:rStyle w:val="Hyperlink"/>
            <w:spacing w:val="2"/>
            <w:sz w:val="22"/>
            <w:szCs w:val="22"/>
          </w:rPr>
          <w:t>Lei nº 13.709/2018</w:t>
        </w:r>
      </w:hyperlink>
      <w:r w:rsidRPr="00D84571">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48712A61"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2.2</w:t>
      </w:r>
      <w:r w:rsidRPr="00D84571">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3873B184"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3E361F">
        <w:rPr>
          <w:b/>
          <w:spacing w:val="2"/>
          <w:sz w:val="22"/>
          <w:szCs w:val="22"/>
        </w:rPr>
        <w:t>2.3</w:t>
      </w:r>
      <w:r>
        <w:rPr>
          <w:spacing w:val="2"/>
          <w:sz w:val="22"/>
          <w:szCs w:val="22"/>
        </w:rPr>
        <w:t xml:space="preserve"> </w:t>
      </w:r>
      <w:r w:rsidRPr="00D84571">
        <w:rPr>
          <w:spacing w:val="2"/>
          <w:sz w:val="22"/>
          <w:szCs w:val="22"/>
        </w:rPr>
        <w:t>A PARTE RECEPTORA se compromete a:</w:t>
      </w:r>
    </w:p>
    <w:p w14:paraId="496DEC78" w14:textId="77777777" w:rsidR="00B307DB" w:rsidRPr="00D84571" w:rsidRDefault="00B307DB" w:rsidP="00B307DB">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a)</w:t>
      </w:r>
      <w:r>
        <w:rPr>
          <w:spacing w:val="2"/>
          <w:sz w:val="22"/>
          <w:szCs w:val="22"/>
        </w:rPr>
        <w:t xml:space="preserve"> </w:t>
      </w:r>
      <w:r w:rsidRPr="00D84571">
        <w:rPr>
          <w:spacing w:val="2"/>
          <w:sz w:val="22"/>
          <w:szCs w:val="22"/>
        </w:rPr>
        <w:t>Utilizar as Informações Confidenciais com o propósito restrito de desempenhar suas atividades junto à PARTE REVELADORA;</w:t>
      </w:r>
    </w:p>
    <w:p w14:paraId="1915976E" w14:textId="77777777" w:rsidR="00B307DB" w:rsidRPr="00D84571" w:rsidRDefault="00B307DB" w:rsidP="00B307DB">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b)</w:t>
      </w:r>
      <w:r>
        <w:rPr>
          <w:spacing w:val="2"/>
          <w:sz w:val="22"/>
          <w:szCs w:val="22"/>
        </w:rPr>
        <w:t xml:space="preserve"> </w:t>
      </w:r>
      <w:r w:rsidRPr="00D84571">
        <w:rPr>
          <w:spacing w:val="2"/>
          <w:sz w:val="22"/>
          <w:szCs w:val="22"/>
        </w:rPr>
        <w:t>Não utilizar tais informações em seu próprio benefício e/ou para qualquer propósito que não aquele para o qual foram reveladas, abstendo-se de divulgar, publicar, fazer circular, produzir cópia ou efetuar </w:t>
      </w:r>
      <w:r w:rsidRPr="00D84571">
        <w:rPr>
          <w:i/>
          <w:iCs/>
          <w:spacing w:val="2"/>
          <w:sz w:val="22"/>
          <w:szCs w:val="22"/>
        </w:rPr>
        <w:t>backup</w:t>
      </w:r>
      <w:r w:rsidRPr="00D84571">
        <w:rPr>
          <w:spacing w:val="2"/>
          <w:sz w:val="22"/>
          <w:szCs w:val="22"/>
        </w:rPr>
        <w:t>, por qualquer meio ou forma, de qualquer documento ou informação confidencial;</w:t>
      </w:r>
    </w:p>
    <w:p w14:paraId="6C5F16A6" w14:textId="77777777" w:rsidR="00B307DB" w:rsidRPr="00D84571" w:rsidRDefault="00B307DB" w:rsidP="00B307DB">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c)</w:t>
      </w:r>
      <w:r>
        <w:rPr>
          <w:spacing w:val="2"/>
          <w:sz w:val="22"/>
          <w:szCs w:val="22"/>
        </w:rPr>
        <w:t xml:space="preserve"> </w:t>
      </w:r>
      <w:r w:rsidRPr="00D84571">
        <w:rPr>
          <w:spacing w:val="2"/>
          <w:sz w:val="22"/>
          <w:szCs w:val="22"/>
        </w:rPr>
        <w:t>Zelar para que referidas informações não sejam divulgadas ou reveladas a terceiros, utilizando-se, no mínimo do mesmo zelo e cuidado que dispensa às suas próprias Informações Confidenciais;</w:t>
      </w:r>
    </w:p>
    <w:p w14:paraId="16F4C748" w14:textId="77777777" w:rsidR="00B307DB" w:rsidRPr="00D84571" w:rsidRDefault="00B307DB" w:rsidP="00B307DB">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d)</w:t>
      </w:r>
      <w:r>
        <w:rPr>
          <w:spacing w:val="2"/>
          <w:sz w:val="22"/>
          <w:szCs w:val="22"/>
        </w:rPr>
        <w:t xml:space="preserve"> </w:t>
      </w:r>
      <w:r w:rsidRPr="00D84571">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478DDB10" w14:textId="77777777" w:rsidR="00B307DB" w:rsidRPr="00D84571" w:rsidRDefault="00B307DB" w:rsidP="00B307DB">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e)</w:t>
      </w:r>
      <w:r>
        <w:rPr>
          <w:spacing w:val="2"/>
          <w:sz w:val="22"/>
          <w:szCs w:val="22"/>
        </w:rPr>
        <w:t xml:space="preserve"> </w:t>
      </w:r>
      <w:r w:rsidRPr="00D84571">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2819E0B6"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lastRenderedPageBreak/>
        <w:t>2.4</w:t>
      </w:r>
      <w:r w:rsidRPr="00D84571">
        <w:rPr>
          <w:spacing w:val="2"/>
          <w:sz w:val="22"/>
          <w:szCs w:val="22"/>
        </w:rPr>
        <w:t xml:space="preserve"> As obrigações estabelecidas neste instrumento não serão aplicáveis a quaisquer Informações Confidenciais que:</w:t>
      </w:r>
    </w:p>
    <w:p w14:paraId="03CE6F2D" w14:textId="77777777" w:rsidR="00B307DB" w:rsidRPr="00D84571" w:rsidRDefault="00B307DB" w:rsidP="00B307DB">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a)</w:t>
      </w:r>
      <w:r>
        <w:rPr>
          <w:spacing w:val="2"/>
          <w:sz w:val="22"/>
          <w:szCs w:val="22"/>
        </w:rPr>
        <w:t xml:space="preserve"> </w:t>
      </w:r>
      <w:r w:rsidRPr="00D84571">
        <w:rPr>
          <w:spacing w:val="2"/>
          <w:sz w:val="22"/>
          <w:szCs w:val="22"/>
        </w:rPr>
        <w:t>Anteriormente ao seu recebimento pela PARTE RECEPTORA tenham tornado-se públicas ou chegado ao poder da PARTE RECEPTORA por uma fonte que não a PARTE REVELADORA; ou</w:t>
      </w:r>
    </w:p>
    <w:p w14:paraId="218BC8A6" w14:textId="77777777" w:rsidR="00B307DB" w:rsidRPr="00D84571" w:rsidRDefault="00B307DB" w:rsidP="00B307DB">
      <w:pPr>
        <w:pStyle w:val="NormalWeb"/>
        <w:widowControl w:val="0"/>
        <w:shd w:val="clear" w:color="auto" w:fill="FFFFFF"/>
        <w:tabs>
          <w:tab w:val="left" w:pos="426"/>
        </w:tabs>
        <w:adjustRightInd w:val="0"/>
        <w:spacing w:after="0" w:line="240" w:lineRule="auto"/>
        <w:ind w:left="142" w:right="-568"/>
        <w:jc w:val="both"/>
        <w:textAlignment w:val="baseline"/>
        <w:rPr>
          <w:spacing w:val="2"/>
          <w:sz w:val="22"/>
          <w:szCs w:val="22"/>
        </w:rPr>
      </w:pPr>
      <w:r w:rsidRPr="0044475D">
        <w:rPr>
          <w:b/>
          <w:spacing w:val="2"/>
          <w:sz w:val="22"/>
          <w:szCs w:val="22"/>
        </w:rPr>
        <w:t>b)</w:t>
      </w:r>
      <w:r>
        <w:rPr>
          <w:spacing w:val="2"/>
          <w:sz w:val="22"/>
          <w:szCs w:val="22"/>
        </w:rPr>
        <w:t xml:space="preserve"> </w:t>
      </w:r>
      <w:r w:rsidRPr="00D84571">
        <w:rPr>
          <w:spacing w:val="2"/>
          <w:sz w:val="22"/>
          <w:szCs w:val="22"/>
        </w:rPr>
        <w:t>Após o recebimento pela PARTE RECEPTORA, tenham sido públicas por qualquer meio que não como consequência de uma violação de sua obrigação aqui prevista.</w:t>
      </w:r>
    </w:p>
    <w:p w14:paraId="0A9D3DBB" w14:textId="77777777" w:rsidR="00B307DB" w:rsidRPr="00D84571" w:rsidRDefault="00B307DB" w:rsidP="00B307DB">
      <w:pPr>
        <w:pStyle w:val="NormalWeb"/>
        <w:shd w:val="clear" w:color="auto" w:fill="FFFFFF"/>
        <w:spacing w:after="0" w:line="240" w:lineRule="auto"/>
        <w:ind w:right="-568"/>
        <w:jc w:val="both"/>
        <w:rPr>
          <w:spacing w:val="2"/>
          <w:sz w:val="22"/>
          <w:szCs w:val="22"/>
        </w:rPr>
      </w:pPr>
    </w:p>
    <w:p w14:paraId="4D55F5F7" w14:textId="77777777" w:rsidR="00B307DB" w:rsidRPr="00D84571" w:rsidRDefault="00B307DB" w:rsidP="00B307DB">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TERCEIRA – DA PROTEÇÃO DE DADOS</w:t>
      </w:r>
    </w:p>
    <w:p w14:paraId="75C9E60F"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3.1</w:t>
      </w:r>
      <w:r w:rsidRPr="00D84571">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95" w:history="1">
        <w:r w:rsidRPr="00D84571">
          <w:rPr>
            <w:rStyle w:val="Hyperlink"/>
            <w:spacing w:val="2"/>
            <w:sz w:val="22"/>
            <w:szCs w:val="22"/>
          </w:rPr>
          <w:t>Lei nº 13.709/2018</w:t>
        </w:r>
      </w:hyperlink>
      <w:r w:rsidRPr="00D84571">
        <w:rPr>
          <w:spacing w:val="2"/>
          <w:sz w:val="22"/>
          <w:szCs w:val="22"/>
        </w:rPr>
        <w:t xml:space="preserve"> – LGPD, além das normas e dos regulamentos adotados pelas competentes autoridades de proteção de dados.</w:t>
      </w:r>
    </w:p>
    <w:p w14:paraId="5D8BCBC7"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3.2</w:t>
      </w:r>
      <w:r w:rsidRPr="00D84571">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571574B9"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3.3</w:t>
      </w:r>
      <w:r w:rsidRPr="00D84571">
        <w:rPr>
          <w:spacing w:val="2"/>
          <w:sz w:val="22"/>
          <w:szCs w:val="22"/>
        </w:rPr>
        <w:t xml:space="preserve"> As partes declaram-se cientes dos direitos, obrigações e penalidades aplicáveis constantes da </w:t>
      </w:r>
      <w:hyperlink r:id="rId296" w:history="1">
        <w:r w:rsidRPr="00D84571">
          <w:rPr>
            <w:rStyle w:val="Hyperlink"/>
            <w:spacing w:val="2"/>
            <w:sz w:val="22"/>
            <w:szCs w:val="22"/>
          </w:rPr>
          <w:t>Lei nº 13.709/2018</w:t>
        </w:r>
      </w:hyperlink>
      <w:r w:rsidRPr="00D84571">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6D2BB878"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3.4</w:t>
      </w:r>
      <w:r w:rsidRPr="00D84571">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4150B693"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3.5</w:t>
      </w:r>
      <w:r w:rsidRPr="00D84571">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5078FD4B"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3.6</w:t>
      </w:r>
      <w:r w:rsidRPr="00D84571">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4C9A028F"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3.7</w:t>
      </w:r>
      <w:r w:rsidRPr="00D84571">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B60F965" w14:textId="77777777" w:rsidR="00B307DB" w:rsidRPr="00D84571" w:rsidRDefault="00B307DB" w:rsidP="00B307DB">
      <w:pPr>
        <w:pStyle w:val="NormalWeb"/>
        <w:shd w:val="clear" w:color="auto" w:fill="FFFFFF"/>
        <w:spacing w:after="0" w:line="240" w:lineRule="auto"/>
        <w:ind w:right="-568"/>
        <w:jc w:val="both"/>
        <w:rPr>
          <w:spacing w:val="2"/>
          <w:sz w:val="22"/>
          <w:szCs w:val="22"/>
        </w:rPr>
      </w:pPr>
    </w:p>
    <w:p w14:paraId="624C828A" w14:textId="77777777" w:rsidR="00B307DB" w:rsidRPr="00D84571" w:rsidRDefault="00B307DB" w:rsidP="00B307DB">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QUARTA – DAS DISPOSIÇÕES GERAIS</w:t>
      </w:r>
    </w:p>
    <w:p w14:paraId="2C38C2B9"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4.1</w:t>
      </w:r>
      <w:r w:rsidRPr="00D84571">
        <w:rPr>
          <w:spacing w:val="2"/>
          <w:sz w:val="22"/>
          <w:szCs w:val="22"/>
        </w:rPr>
        <w:t xml:space="preserve"> Este instrumento poderá ser alterado somente mediante a celebração de Termo Aditivo.</w:t>
      </w:r>
    </w:p>
    <w:p w14:paraId="1892FDD7"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4.2</w:t>
      </w:r>
      <w:r w:rsidRPr="00D84571">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5A20D148"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4.3</w:t>
      </w:r>
      <w:r w:rsidRPr="00D84571">
        <w:rPr>
          <w:spacing w:val="2"/>
          <w:sz w:val="22"/>
          <w:szCs w:val="22"/>
        </w:rPr>
        <w:t xml:space="preserve"> O não exercício pelas partes de quaisquer dos direitos ou prerrogativas previstas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3809AF7E"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4.4</w:t>
      </w:r>
      <w:r w:rsidRPr="00D84571">
        <w:rPr>
          <w:spacing w:val="2"/>
          <w:sz w:val="22"/>
          <w:szCs w:val="22"/>
        </w:rPr>
        <w:t xml:space="preserve"> O presente instrumento é celebrado em caráter irrevogável e irretratável, obrigando as partes e seus sucessores, a qualquer título e tempo.</w:t>
      </w:r>
    </w:p>
    <w:p w14:paraId="669E43AC" w14:textId="77777777" w:rsidR="00B307DB" w:rsidRPr="008C4DAB" w:rsidRDefault="00B307DB" w:rsidP="00B307DB">
      <w:pPr>
        <w:pStyle w:val="NormalWeb"/>
        <w:shd w:val="clear" w:color="auto" w:fill="FFFFFF"/>
        <w:spacing w:after="0" w:line="240" w:lineRule="auto"/>
        <w:ind w:right="-567"/>
        <w:jc w:val="both"/>
        <w:rPr>
          <w:spacing w:val="2"/>
          <w:sz w:val="22"/>
          <w:szCs w:val="22"/>
        </w:rPr>
      </w:pPr>
      <w:r w:rsidRPr="00D84571">
        <w:rPr>
          <w:b/>
          <w:spacing w:val="2"/>
          <w:sz w:val="22"/>
          <w:szCs w:val="22"/>
        </w:rPr>
        <w:t>4.5</w:t>
      </w:r>
      <w:r w:rsidRPr="00D84571">
        <w:rPr>
          <w:spacing w:val="2"/>
          <w:sz w:val="22"/>
          <w:szCs w:val="22"/>
        </w:rPr>
        <w:t xml:space="preserve"> A </w:t>
      </w:r>
      <w:r w:rsidRPr="008C4DAB">
        <w:rPr>
          <w:spacing w:val="2"/>
          <w:sz w:val="22"/>
          <w:szCs w:val="22"/>
        </w:rPr>
        <w:t xml:space="preserve">PARTE RECEPTORA declara que os serviços serão prestados de acordo com todas as legislações, princípios e normas aplicáveis, inclusive a </w:t>
      </w:r>
      <w:hyperlink r:id="rId297" w:history="1">
        <w:r w:rsidRPr="008C4DAB">
          <w:rPr>
            <w:rStyle w:val="Hyperlink"/>
            <w:spacing w:val="2"/>
            <w:sz w:val="22"/>
            <w:szCs w:val="22"/>
          </w:rPr>
          <w:t>Lei nº 13.709/2018</w:t>
        </w:r>
      </w:hyperlink>
      <w:r w:rsidRPr="008C4DAB">
        <w:rPr>
          <w:spacing w:val="2"/>
          <w:sz w:val="22"/>
          <w:szCs w:val="22"/>
        </w:rPr>
        <w:t xml:space="preserve"> – LGPD.</w:t>
      </w:r>
    </w:p>
    <w:p w14:paraId="60970196" w14:textId="77777777" w:rsidR="00B307DB" w:rsidRPr="008C4DAB" w:rsidRDefault="00B307DB" w:rsidP="00B307DB">
      <w:pPr>
        <w:widowControl w:val="0"/>
        <w:tabs>
          <w:tab w:val="left" w:pos="1701"/>
          <w:tab w:val="right" w:pos="8080"/>
        </w:tabs>
        <w:adjustRightInd w:val="0"/>
        <w:spacing w:after="0" w:line="240" w:lineRule="auto"/>
        <w:ind w:right="-568"/>
        <w:jc w:val="both"/>
        <w:textAlignment w:val="baseline"/>
        <w:rPr>
          <w:rFonts w:ascii="Times New Roman" w:eastAsia="Times New Roman" w:hAnsi="Times New Roman" w:cs="Times New Roman"/>
          <w:b/>
          <w:lang w:eastAsia="pt-BR"/>
        </w:rPr>
      </w:pPr>
      <w:r w:rsidRPr="008C4DAB">
        <w:rPr>
          <w:rFonts w:ascii="Times New Roman" w:hAnsi="Times New Roman" w:cs="Times New Roman"/>
          <w:b/>
          <w:spacing w:val="2"/>
        </w:rPr>
        <w:t>4.6</w:t>
      </w:r>
      <w:r w:rsidRPr="008C4DAB">
        <w:rPr>
          <w:rFonts w:ascii="Times New Roman" w:hAnsi="Times New Roman" w:cs="Times New Roman"/>
          <w:spacing w:val="2"/>
        </w:rPr>
        <w:t xml:space="preserve"> Os efeitos deste instrumento retroagem à data que a PARTE RECEPTORA teve acesso à primeira informação confidencial relacionada à </w:t>
      </w:r>
      <w:r w:rsidRPr="008C4DAB">
        <w:rPr>
          <w:rFonts w:ascii="Times New Roman" w:eastAsia="Times New Roman" w:hAnsi="Times New Roman" w:cs="Times New Roman"/>
          <w:color w:val="000000"/>
          <w:lang w:eastAsia="pt-BR"/>
        </w:rPr>
        <w:t xml:space="preserve">locação de sistema web integrado de gestão pública municipal, em nuvem, incluindo serviços complementares implantação, manutenção (corretiva, adaptativa e </w:t>
      </w:r>
      <w:r w:rsidRPr="008C4DAB">
        <w:rPr>
          <w:rFonts w:ascii="Times New Roman" w:eastAsia="Times New Roman" w:hAnsi="Times New Roman" w:cs="Times New Roman"/>
          <w:color w:val="000000"/>
          <w:lang w:eastAsia="pt-BR"/>
        </w:rPr>
        <w:lastRenderedPageBreak/>
        <w:t>evolutiva), suporte técnico e treinamento de servidores públicos municipais, armazenamento e segurança da informação, para atendimento das necessidades da administração municipal e do Poder</w:t>
      </w:r>
      <w:r w:rsidRPr="008C4DAB">
        <w:rPr>
          <w:rStyle w:val="Refdecomentrio"/>
          <w:rFonts w:ascii="Times New Roman" w:hAnsi="Times New Roman" w:cs="Times New Roman"/>
          <w:sz w:val="22"/>
          <w:szCs w:val="22"/>
        </w:rPr>
        <w:t xml:space="preserve"> Legislativo</w:t>
      </w:r>
      <w:r w:rsidRPr="008C4DAB">
        <w:rPr>
          <w:rFonts w:ascii="Times New Roman" w:eastAsia="Times New Roman" w:hAnsi="Times New Roman" w:cs="Times New Roman"/>
          <w:color w:val="000000"/>
          <w:lang w:eastAsia="pt-BR"/>
        </w:rPr>
        <w:t>, conforme especificações constantes no edital e seus anexos,</w:t>
      </w:r>
      <w:r w:rsidRPr="008C4DAB">
        <w:rPr>
          <w:rFonts w:ascii="Times New Roman" w:hAnsi="Times New Roman" w:cs="Times New Roman"/>
        </w:rPr>
        <w:t xml:space="preserve"> </w:t>
      </w:r>
      <w:r w:rsidRPr="008C4DAB">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98" w:history="1">
        <w:r w:rsidRPr="008C4DAB">
          <w:rPr>
            <w:rStyle w:val="Hyperlink"/>
            <w:rFonts w:ascii="Times New Roman" w:hAnsi="Times New Roman" w:cs="Times New Roman"/>
            <w:spacing w:val="2"/>
          </w:rPr>
          <w:t>Lei nº 13.709/2018</w:t>
        </w:r>
      </w:hyperlink>
      <w:r w:rsidRPr="008C4DAB">
        <w:rPr>
          <w:rFonts w:ascii="Times New Roman" w:hAnsi="Times New Roman" w:cs="Times New Roman"/>
          <w:spacing w:val="2"/>
        </w:rPr>
        <w:t xml:space="preserve"> – LGPD).</w:t>
      </w:r>
    </w:p>
    <w:p w14:paraId="1C24CB1C"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8C4DAB">
        <w:rPr>
          <w:b/>
          <w:spacing w:val="2"/>
          <w:sz w:val="22"/>
          <w:szCs w:val="22"/>
        </w:rPr>
        <w:t>4.7</w:t>
      </w:r>
      <w:r w:rsidRPr="008C4DAB">
        <w:rPr>
          <w:spacing w:val="2"/>
          <w:sz w:val="22"/>
          <w:szCs w:val="22"/>
        </w:rPr>
        <w:t xml:space="preserve"> As partes declaram e reconhecem que</w:t>
      </w:r>
      <w:r w:rsidRPr="00D84571">
        <w:rPr>
          <w:spacing w:val="2"/>
          <w:sz w:val="22"/>
          <w:szCs w:val="22"/>
        </w:rPr>
        <w:t xml:space="preserve"> são</w:t>
      </w:r>
      <w:r w:rsidRPr="00D84571">
        <w:rPr>
          <w:b/>
          <w:spacing w:val="2"/>
          <w:sz w:val="22"/>
          <w:szCs w:val="22"/>
        </w:rPr>
        <w:t xml:space="preserve"> </w:t>
      </w:r>
      <w:r w:rsidRPr="00D84571">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4A90AF10"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4.8</w:t>
      </w:r>
      <w:r w:rsidRPr="00D84571">
        <w:rPr>
          <w:spacing w:val="2"/>
          <w:sz w:val="22"/>
          <w:szCs w:val="22"/>
        </w:rPr>
        <w:t xml:space="preserve"> Através deste instrumento, a PARTE RECEPTORA cede à PARTE REVELADORA todos os direitos patrimoniais de autor a ela pertencente, decorrentes dos serviços prestados.</w:t>
      </w:r>
    </w:p>
    <w:p w14:paraId="2B98D400"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4.9</w:t>
      </w:r>
      <w:r w:rsidRPr="00D84571">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2109E004" w14:textId="77777777" w:rsidR="00B307DB" w:rsidRPr="00D84571" w:rsidRDefault="00B307DB" w:rsidP="00B307DB">
      <w:pPr>
        <w:pStyle w:val="NormalWeb"/>
        <w:shd w:val="clear" w:color="auto" w:fill="FFFFFF"/>
        <w:spacing w:after="0" w:line="240" w:lineRule="auto"/>
        <w:ind w:right="-568"/>
        <w:jc w:val="both"/>
        <w:rPr>
          <w:spacing w:val="2"/>
          <w:sz w:val="22"/>
          <w:szCs w:val="22"/>
        </w:rPr>
      </w:pPr>
    </w:p>
    <w:p w14:paraId="12E3AF08" w14:textId="77777777" w:rsidR="00B307DB" w:rsidRPr="00D84571" w:rsidRDefault="00B307DB" w:rsidP="00B307DB">
      <w:pPr>
        <w:pStyle w:val="NormalWeb"/>
        <w:shd w:val="clear" w:color="auto" w:fill="FFFFFF"/>
        <w:spacing w:after="0" w:line="240" w:lineRule="auto"/>
        <w:ind w:right="-568"/>
        <w:jc w:val="both"/>
        <w:rPr>
          <w:b/>
          <w:bCs/>
          <w:spacing w:val="2"/>
          <w:sz w:val="22"/>
          <w:szCs w:val="22"/>
        </w:rPr>
      </w:pPr>
      <w:r w:rsidRPr="00D84571">
        <w:rPr>
          <w:b/>
          <w:bCs/>
          <w:spacing w:val="2"/>
          <w:sz w:val="22"/>
          <w:szCs w:val="22"/>
        </w:rPr>
        <w:t>CLÁUSULA QUINTA – DO FORO</w:t>
      </w:r>
    </w:p>
    <w:p w14:paraId="43BE7483"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b/>
          <w:spacing w:val="2"/>
          <w:sz w:val="22"/>
          <w:szCs w:val="22"/>
        </w:rPr>
        <w:t>5.1</w:t>
      </w:r>
      <w:r w:rsidRPr="00D84571">
        <w:rPr>
          <w:spacing w:val="2"/>
          <w:sz w:val="22"/>
          <w:szCs w:val="22"/>
        </w:rPr>
        <w:t xml:space="preserve"> Fica eleito o Foro da Comarca de Mondai/SC, Estado de Santa Catarina, como único competente para dirimir as controvérsias resultantes deste instrumento, renunciando as partes a qualquer outro, por mais privilegiado que seja ou venha a ser.</w:t>
      </w:r>
    </w:p>
    <w:p w14:paraId="7C889EAD" w14:textId="77777777" w:rsidR="00B307DB" w:rsidRPr="00D84571" w:rsidRDefault="00B307DB" w:rsidP="00B307DB">
      <w:pPr>
        <w:pStyle w:val="NormalWeb"/>
        <w:shd w:val="clear" w:color="auto" w:fill="FFFFFF"/>
        <w:spacing w:after="0" w:line="240" w:lineRule="auto"/>
        <w:ind w:right="-568"/>
        <w:jc w:val="both"/>
        <w:rPr>
          <w:spacing w:val="2"/>
          <w:sz w:val="22"/>
          <w:szCs w:val="22"/>
        </w:rPr>
      </w:pPr>
      <w:r w:rsidRPr="00D84571">
        <w:rPr>
          <w:spacing w:val="2"/>
          <w:sz w:val="22"/>
          <w:szCs w:val="22"/>
        </w:rPr>
        <w:t>E, por estarem justas e contratadas, as partes assinam este o </w:t>
      </w:r>
      <w:r w:rsidRPr="00D84571">
        <w:rPr>
          <w:b/>
          <w:bCs/>
          <w:spacing w:val="2"/>
          <w:sz w:val="22"/>
          <w:szCs w:val="22"/>
        </w:rPr>
        <w:t>Instrumento Particular de Confidencialidade e Outras Avenças</w:t>
      </w:r>
      <w:r w:rsidRPr="00D84571">
        <w:rPr>
          <w:spacing w:val="2"/>
          <w:sz w:val="22"/>
          <w:szCs w:val="22"/>
        </w:rPr>
        <w:t>, em 02 (duas) vias de igual teor e forma, na presença das 02 (duas) testemunhas abaixo nomeadas, para que produza todos os efeitos.</w:t>
      </w:r>
    </w:p>
    <w:p w14:paraId="203C51EE" w14:textId="77777777" w:rsidR="00B307DB" w:rsidRPr="00D84571" w:rsidRDefault="00B307DB" w:rsidP="00B307DB">
      <w:pPr>
        <w:pStyle w:val="NormalWeb"/>
        <w:shd w:val="clear" w:color="auto" w:fill="FFFFFF"/>
        <w:spacing w:after="0" w:line="240" w:lineRule="auto"/>
        <w:ind w:right="-568"/>
        <w:jc w:val="both"/>
        <w:rPr>
          <w:spacing w:val="2"/>
          <w:sz w:val="22"/>
          <w:szCs w:val="22"/>
        </w:rPr>
      </w:pPr>
    </w:p>
    <w:p w14:paraId="451FCD56" w14:textId="77777777" w:rsidR="00B307DB" w:rsidRPr="00D84571" w:rsidRDefault="00B307DB" w:rsidP="00B307DB">
      <w:pPr>
        <w:pStyle w:val="NormalWeb"/>
        <w:shd w:val="clear" w:color="auto" w:fill="FFFFFF"/>
        <w:spacing w:after="0" w:line="240" w:lineRule="auto"/>
        <w:ind w:right="-568"/>
        <w:jc w:val="center"/>
        <w:rPr>
          <w:spacing w:val="2"/>
          <w:sz w:val="22"/>
          <w:szCs w:val="22"/>
        </w:rPr>
      </w:pPr>
      <w:r w:rsidRPr="00D84571">
        <w:rPr>
          <w:spacing w:val="2"/>
          <w:sz w:val="22"/>
          <w:szCs w:val="22"/>
        </w:rPr>
        <w:t>(LOCAL), (DATA).</w:t>
      </w:r>
    </w:p>
    <w:p w14:paraId="701526B8" w14:textId="77777777" w:rsidR="00B307DB" w:rsidRPr="00D84571" w:rsidRDefault="00B307DB" w:rsidP="00B307DB">
      <w:pPr>
        <w:pStyle w:val="NormalWeb"/>
        <w:shd w:val="clear" w:color="auto" w:fill="FFFFFF"/>
        <w:spacing w:after="0" w:line="240" w:lineRule="auto"/>
        <w:ind w:right="-568"/>
        <w:jc w:val="center"/>
        <w:rPr>
          <w:spacing w:val="2"/>
          <w:sz w:val="22"/>
          <w:szCs w:val="22"/>
        </w:rPr>
      </w:pPr>
    </w:p>
    <w:tbl>
      <w:tblPr>
        <w:tblStyle w:val="TabelaSimples4"/>
        <w:tblW w:w="9084" w:type="dxa"/>
        <w:shd w:val="clear" w:color="auto" w:fill="FFFFFF" w:themeFill="background1"/>
        <w:tblLook w:val="04A0" w:firstRow="1" w:lastRow="0" w:firstColumn="1" w:lastColumn="0" w:noHBand="0" w:noVBand="1"/>
      </w:tblPr>
      <w:tblGrid>
        <w:gridCol w:w="4578"/>
        <w:gridCol w:w="4506"/>
      </w:tblGrid>
      <w:tr w:rsidR="00B307DB" w:rsidRPr="00D84571" w14:paraId="17551219" w14:textId="77777777" w:rsidTr="00B307DB">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767B4FCF" w14:textId="77777777" w:rsidR="00B307DB" w:rsidRPr="00D84571" w:rsidRDefault="00B307DB" w:rsidP="00B307DB">
            <w:pPr>
              <w:pStyle w:val="NormalWeb"/>
              <w:pBdr>
                <w:bottom w:val="single" w:sz="12" w:space="1" w:color="auto"/>
              </w:pBdr>
              <w:shd w:val="clear" w:color="auto" w:fill="FFFFFF"/>
              <w:ind w:right="-568"/>
              <w:jc w:val="center"/>
              <w:rPr>
                <w:spacing w:val="2"/>
                <w:sz w:val="22"/>
                <w:szCs w:val="22"/>
              </w:rPr>
            </w:pPr>
          </w:p>
          <w:p w14:paraId="73B1B8D9" w14:textId="77777777" w:rsidR="00B307DB" w:rsidRPr="00D84571" w:rsidRDefault="00B307DB" w:rsidP="00B307DB">
            <w:pPr>
              <w:pStyle w:val="NormalWeb"/>
              <w:shd w:val="clear" w:color="auto" w:fill="FFFFFF"/>
              <w:ind w:right="-366"/>
              <w:jc w:val="center"/>
              <w:rPr>
                <w:b w:val="0"/>
                <w:bCs w:val="0"/>
                <w:spacing w:val="2"/>
                <w:sz w:val="22"/>
                <w:szCs w:val="22"/>
              </w:rPr>
            </w:pPr>
            <w:r w:rsidRPr="00D84571">
              <w:rPr>
                <w:spacing w:val="2"/>
                <w:sz w:val="22"/>
                <w:szCs w:val="22"/>
              </w:rPr>
              <w:t>Responsável pelo Município de Riqueza</w:t>
            </w:r>
          </w:p>
        </w:tc>
        <w:tc>
          <w:tcPr>
            <w:tcW w:w="4506" w:type="dxa"/>
            <w:shd w:val="clear" w:color="auto" w:fill="FFFFFF" w:themeFill="background1"/>
          </w:tcPr>
          <w:p w14:paraId="040D5865" w14:textId="77777777" w:rsidR="00B307DB" w:rsidRPr="00D84571" w:rsidRDefault="00B307DB" w:rsidP="00B307DB">
            <w:pPr>
              <w:pStyle w:val="NormalWeb"/>
              <w:pBdr>
                <w:bottom w:val="single" w:sz="12" w:space="1" w:color="auto"/>
              </w:pBdr>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0F04BC0A" w14:textId="77777777" w:rsidR="00B307DB" w:rsidRPr="00D84571" w:rsidRDefault="00B307DB" w:rsidP="00B307DB">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D84571">
              <w:rPr>
                <w:spacing w:val="2"/>
                <w:sz w:val="22"/>
                <w:szCs w:val="22"/>
              </w:rPr>
              <w:t>Razão Social do Contratado</w:t>
            </w:r>
          </w:p>
          <w:p w14:paraId="43AE7897" w14:textId="77777777" w:rsidR="00B307DB" w:rsidRPr="00D84571" w:rsidRDefault="00B307DB" w:rsidP="00B307DB">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B307DB" w:rsidRPr="00D84571" w14:paraId="07323CA0" w14:textId="77777777" w:rsidTr="00B307DB">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578" w:type="dxa"/>
            <w:shd w:val="clear" w:color="auto" w:fill="FFFFFF" w:themeFill="background1"/>
          </w:tcPr>
          <w:p w14:paraId="35A4095F" w14:textId="77777777" w:rsidR="00B307DB" w:rsidRPr="00D84571" w:rsidRDefault="00B307DB" w:rsidP="00B307DB">
            <w:pPr>
              <w:pStyle w:val="NormalWeb"/>
              <w:shd w:val="clear" w:color="auto" w:fill="FFFFFF"/>
              <w:ind w:right="-568"/>
              <w:jc w:val="both"/>
              <w:rPr>
                <w:spacing w:val="2"/>
                <w:sz w:val="22"/>
                <w:szCs w:val="22"/>
              </w:rPr>
            </w:pPr>
            <w:r w:rsidRPr="00D84571">
              <w:rPr>
                <w:spacing w:val="2"/>
                <w:sz w:val="22"/>
                <w:szCs w:val="22"/>
              </w:rPr>
              <w:t>Testemunha 1:</w:t>
            </w:r>
          </w:p>
          <w:p w14:paraId="71085581" w14:textId="77777777" w:rsidR="00B307DB" w:rsidRPr="00D84571" w:rsidRDefault="00B307DB" w:rsidP="00B307DB">
            <w:pPr>
              <w:pStyle w:val="NormalWeb"/>
              <w:shd w:val="clear" w:color="auto" w:fill="FFFFFF"/>
              <w:ind w:right="-568"/>
              <w:jc w:val="both"/>
              <w:rPr>
                <w:spacing w:val="2"/>
                <w:sz w:val="22"/>
                <w:szCs w:val="22"/>
              </w:rPr>
            </w:pPr>
            <w:r w:rsidRPr="00D84571">
              <w:rPr>
                <w:spacing w:val="2"/>
                <w:sz w:val="22"/>
                <w:szCs w:val="22"/>
              </w:rPr>
              <w:t>Nome:</w:t>
            </w:r>
          </w:p>
          <w:p w14:paraId="67C52774" w14:textId="77777777" w:rsidR="00B307DB" w:rsidRPr="00D84571" w:rsidRDefault="00B307DB" w:rsidP="00B307DB">
            <w:pPr>
              <w:pStyle w:val="NormalWeb"/>
              <w:shd w:val="clear" w:color="auto" w:fill="FFFFFF"/>
              <w:ind w:right="-568"/>
              <w:jc w:val="both"/>
              <w:rPr>
                <w:bCs w:val="0"/>
                <w:spacing w:val="2"/>
                <w:sz w:val="22"/>
                <w:szCs w:val="22"/>
              </w:rPr>
            </w:pPr>
            <w:r w:rsidRPr="00D84571">
              <w:rPr>
                <w:spacing w:val="2"/>
                <w:sz w:val="22"/>
                <w:szCs w:val="22"/>
              </w:rPr>
              <w:t>CPF:</w:t>
            </w:r>
          </w:p>
        </w:tc>
        <w:tc>
          <w:tcPr>
            <w:tcW w:w="4506" w:type="dxa"/>
            <w:shd w:val="clear" w:color="auto" w:fill="FFFFFF" w:themeFill="background1"/>
          </w:tcPr>
          <w:p w14:paraId="11877512" w14:textId="77777777" w:rsidR="00B307DB" w:rsidRPr="00D84571" w:rsidRDefault="00B307DB" w:rsidP="00B307DB">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Testemunha 2:</w:t>
            </w:r>
          </w:p>
          <w:p w14:paraId="14A2E48C" w14:textId="77777777" w:rsidR="00B307DB" w:rsidRPr="00D84571" w:rsidRDefault="00B307DB" w:rsidP="00B307DB">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D84571">
              <w:rPr>
                <w:spacing w:val="2"/>
                <w:sz w:val="22"/>
                <w:szCs w:val="22"/>
              </w:rPr>
              <w:t>Nome:</w:t>
            </w:r>
          </w:p>
          <w:p w14:paraId="48267A64" w14:textId="77777777" w:rsidR="00B307DB" w:rsidRPr="00D84571" w:rsidRDefault="00B307DB" w:rsidP="00B307DB">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D84571">
              <w:rPr>
                <w:spacing w:val="2"/>
                <w:sz w:val="22"/>
                <w:szCs w:val="22"/>
              </w:rPr>
              <w:t>CPF:</w:t>
            </w:r>
          </w:p>
        </w:tc>
      </w:tr>
    </w:tbl>
    <w:p w14:paraId="2D4C87FD" w14:textId="77777777" w:rsidR="00B307DB" w:rsidRPr="00D84571" w:rsidRDefault="00B307DB" w:rsidP="00B307DB">
      <w:pPr>
        <w:pStyle w:val="Ttulo1"/>
        <w:shd w:val="clear" w:color="auto" w:fill="FFFFFF" w:themeFill="background1"/>
        <w:spacing w:before="0" w:line="240" w:lineRule="auto"/>
        <w:ind w:right="-568"/>
        <w:jc w:val="center"/>
        <w:rPr>
          <w:rFonts w:ascii="Times New Roman" w:hAnsi="Times New Roman" w:cs="Times New Roman"/>
          <w:sz w:val="22"/>
          <w:szCs w:val="22"/>
        </w:rPr>
      </w:pPr>
    </w:p>
    <w:p w14:paraId="6C09C1C9" w14:textId="77777777" w:rsidR="00B307DB" w:rsidRPr="00D84571" w:rsidRDefault="00B307DB" w:rsidP="00B307DB">
      <w:pPr>
        <w:spacing w:after="0" w:line="240" w:lineRule="auto"/>
        <w:rPr>
          <w:rFonts w:ascii="Times New Roman" w:hAnsi="Times New Roman" w:cs="Times New Roman"/>
        </w:rPr>
      </w:pPr>
    </w:p>
    <w:p w14:paraId="4D5C23CB" w14:textId="77777777" w:rsidR="00B307DB" w:rsidRPr="00D84571" w:rsidRDefault="00B307DB" w:rsidP="00B307DB">
      <w:pPr>
        <w:spacing w:after="0" w:line="240" w:lineRule="auto"/>
        <w:rPr>
          <w:rFonts w:ascii="Times New Roman" w:hAnsi="Times New Roman" w:cs="Times New Roman"/>
        </w:rPr>
      </w:pPr>
    </w:p>
    <w:p w14:paraId="62D6129D" w14:textId="77777777" w:rsidR="00B307DB" w:rsidRPr="00D84571" w:rsidRDefault="00B307DB" w:rsidP="00B307DB">
      <w:pPr>
        <w:spacing w:after="0" w:line="240" w:lineRule="auto"/>
        <w:rPr>
          <w:rFonts w:ascii="Times New Roman" w:hAnsi="Times New Roman" w:cs="Times New Roman"/>
        </w:rPr>
      </w:pPr>
    </w:p>
    <w:p w14:paraId="4994F224" w14:textId="77777777" w:rsidR="00B307DB" w:rsidRPr="00D84571" w:rsidRDefault="00B307DB" w:rsidP="00B307DB">
      <w:pPr>
        <w:spacing w:after="0" w:line="240" w:lineRule="auto"/>
        <w:rPr>
          <w:rFonts w:ascii="Times New Roman" w:hAnsi="Times New Roman" w:cs="Times New Roman"/>
        </w:rPr>
      </w:pPr>
    </w:p>
    <w:p w14:paraId="721A3880" w14:textId="77777777" w:rsidR="00B307DB" w:rsidRPr="00D84571" w:rsidRDefault="00B307DB" w:rsidP="00B307DB">
      <w:pPr>
        <w:spacing w:after="0" w:line="240" w:lineRule="auto"/>
        <w:rPr>
          <w:rFonts w:ascii="Times New Roman" w:hAnsi="Times New Roman" w:cs="Times New Roman"/>
        </w:rPr>
      </w:pPr>
    </w:p>
    <w:p w14:paraId="72F67624" w14:textId="77777777" w:rsidR="00B307DB" w:rsidRPr="00D84571" w:rsidRDefault="00B307DB" w:rsidP="00B307DB">
      <w:pPr>
        <w:spacing w:after="0" w:line="240" w:lineRule="auto"/>
        <w:rPr>
          <w:rFonts w:ascii="Times New Roman" w:hAnsi="Times New Roman" w:cs="Times New Roman"/>
        </w:rPr>
      </w:pPr>
    </w:p>
    <w:p w14:paraId="741F35CA" w14:textId="77777777" w:rsidR="00B307DB" w:rsidRDefault="00B307DB" w:rsidP="00B307DB">
      <w:pPr>
        <w:spacing w:after="0" w:line="240" w:lineRule="auto"/>
        <w:rPr>
          <w:rFonts w:ascii="Times New Roman" w:hAnsi="Times New Roman" w:cs="Times New Roman"/>
        </w:rPr>
      </w:pPr>
    </w:p>
    <w:p w14:paraId="6C5F8A2E" w14:textId="77777777" w:rsidR="00B307DB" w:rsidRDefault="00B307DB" w:rsidP="00B307DB">
      <w:pPr>
        <w:spacing w:after="0" w:line="240" w:lineRule="auto"/>
        <w:rPr>
          <w:rFonts w:ascii="Times New Roman" w:hAnsi="Times New Roman" w:cs="Times New Roman"/>
        </w:rPr>
      </w:pPr>
    </w:p>
    <w:p w14:paraId="2844F408" w14:textId="77777777" w:rsidR="00B307DB" w:rsidRDefault="00B307DB" w:rsidP="00B307DB">
      <w:pPr>
        <w:spacing w:after="0" w:line="240" w:lineRule="auto"/>
        <w:rPr>
          <w:rFonts w:ascii="Times New Roman" w:hAnsi="Times New Roman" w:cs="Times New Roman"/>
        </w:rPr>
      </w:pPr>
    </w:p>
    <w:p w14:paraId="7852B157" w14:textId="77777777" w:rsidR="00B307DB" w:rsidRDefault="00B307DB" w:rsidP="00B307DB">
      <w:pPr>
        <w:spacing w:after="0" w:line="240" w:lineRule="auto"/>
        <w:rPr>
          <w:rFonts w:ascii="Times New Roman" w:hAnsi="Times New Roman" w:cs="Times New Roman"/>
        </w:rPr>
      </w:pPr>
    </w:p>
    <w:p w14:paraId="176A6007" w14:textId="77777777" w:rsidR="00B307DB" w:rsidRDefault="00B307DB" w:rsidP="00B307DB">
      <w:pPr>
        <w:spacing w:after="0" w:line="240" w:lineRule="auto"/>
        <w:rPr>
          <w:rFonts w:ascii="Times New Roman" w:hAnsi="Times New Roman" w:cs="Times New Roman"/>
        </w:rPr>
      </w:pPr>
    </w:p>
    <w:p w14:paraId="66F2A51D" w14:textId="77777777" w:rsidR="00B307DB" w:rsidRDefault="00B307DB" w:rsidP="00B307DB">
      <w:pPr>
        <w:spacing w:after="0" w:line="240" w:lineRule="auto"/>
        <w:rPr>
          <w:rFonts w:ascii="Times New Roman" w:hAnsi="Times New Roman" w:cs="Times New Roman"/>
        </w:rPr>
      </w:pPr>
    </w:p>
    <w:p w14:paraId="05B528B3" w14:textId="77777777" w:rsidR="00B307DB" w:rsidRDefault="00B307DB" w:rsidP="00B307DB">
      <w:pPr>
        <w:spacing w:after="0" w:line="240" w:lineRule="auto"/>
        <w:rPr>
          <w:rFonts w:ascii="Times New Roman" w:hAnsi="Times New Roman" w:cs="Times New Roman"/>
        </w:rPr>
      </w:pPr>
    </w:p>
    <w:p w14:paraId="11E7025E" w14:textId="77777777" w:rsidR="00B307DB" w:rsidRDefault="00B307DB" w:rsidP="00B307DB">
      <w:pPr>
        <w:spacing w:after="0" w:line="240" w:lineRule="auto"/>
        <w:rPr>
          <w:rFonts w:ascii="Times New Roman" w:hAnsi="Times New Roman" w:cs="Times New Roman"/>
        </w:rPr>
      </w:pPr>
    </w:p>
    <w:p w14:paraId="6652917C" w14:textId="77777777" w:rsidR="00B307DB" w:rsidRDefault="00B307DB" w:rsidP="00B307DB">
      <w:pPr>
        <w:spacing w:after="0" w:line="240" w:lineRule="auto"/>
        <w:rPr>
          <w:rFonts w:ascii="Times New Roman" w:hAnsi="Times New Roman" w:cs="Times New Roman"/>
        </w:rPr>
      </w:pPr>
    </w:p>
    <w:p w14:paraId="08A42AE0" w14:textId="77777777" w:rsidR="00B307DB" w:rsidRDefault="00B307DB" w:rsidP="00B307DB">
      <w:pPr>
        <w:spacing w:after="0" w:line="240" w:lineRule="auto"/>
        <w:rPr>
          <w:rFonts w:ascii="Times New Roman" w:hAnsi="Times New Roman" w:cs="Times New Roman"/>
        </w:rPr>
      </w:pPr>
    </w:p>
    <w:p w14:paraId="1D0D8B46" w14:textId="77777777" w:rsidR="00B307DB" w:rsidRDefault="00B307DB" w:rsidP="00B307DB">
      <w:pPr>
        <w:spacing w:after="0" w:line="240" w:lineRule="auto"/>
        <w:rPr>
          <w:rFonts w:ascii="Times New Roman" w:hAnsi="Times New Roman" w:cs="Times New Roman"/>
        </w:rPr>
      </w:pPr>
    </w:p>
    <w:p w14:paraId="2BA4C33D" w14:textId="77777777" w:rsidR="00B307DB" w:rsidRDefault="00B307DB" w:rsidP="00B307DB">
      <w:pPr>
        <w:spacing w:after="0" w:line="240" w:lineRule="auto"/>
        <w:rPr>
          <w:rFonts w:ascii="Times New Roman" w:hAnsi="Times New Roman" w:cs="Times New Roman"/>
        </w:rPr>
      </w:pPr>
    </w:p>
    <w:p w14:paraId="6AE2C796" w14:textId="77777777" w:rsidR="00B307DB" w:rsidRDefault="00B307DB" w:rsidP="00B307DB">
      <w:pPr>
        <w:spacing w:after="0" w:line="240" w:lineRule="auto"/>
        <w:rPr>
          <w:rFonts w:ascii="Times New Roman" w:hAnsi="Times New Roman" w:cs="Times New Roman"/>
        </w:rPr>
      </w:pPr>
    </w:p>
    <w:p w14:paraId="190FA9D3" w14:textId="77777777" w:rsidR="00B307DB" w:rsidRDefault="00B307DB" w:rsidP="00B307DB">
      <w:pPr>
        <w:spacing w:after="0" w:line="240" w:lineRule="auto"/>
        <w:rPr>
          <w:rFonts w:ascii="Times New Roman" w:hAnsi="Times New Roman" w:cs="Times New Roman"/>
        </w:rPr>
      </w:pPr>
    </w:p>
    <w:p w14:paraId="08F2BF86" w14:textId="77777777" w:rsidR="00B307DB" w:rsidRDefault="00B307DB" w:rsidP="00B307DB">
      <w:pPr>
        <w:spacing w:after="0" w:line="240" w:lineRule="auto"/>
        <w:rPr>
          <w:rFonts w:ascii="Times New Roman" w:hAnsi="Times New Roman" w:cs="Times New Roman"/>
        </w:rPr>
      </w:pPr>
    </w:p>
    <w:p w14:paraId="63AA302C" w14:textId="77777777" w:rsidR="00B307DB" w:rsidRDefault="00B307DB" w:rsidP="00B307DB">
      <w:pPr>
        <w:spacing w:after="0" w:line="240" w:lineRule="auto"/>
        <w:rPr>
          <w:rFonts w:ascii="Times New Roman" w:hAnsi="Times New Roman" w:cs="Times New Roman"/>
        </w:rPr>
      </w:pPr>
    </w:p>
    <w:p w14:paraId="1307068B" w14:textId="77777777" w:rsidR="00B307DB" w:rsidRDefault="00B307DB" w:rsidP="00B307DB">
      <w:pPr>
        <w:spacing w:after="0" w:line="240" w:lineRule="auto"/>
        <w:rPr>
          <w:rFonts w:ascii="Times New Roman" w:hAnsi="Times New Roman" w:cs="Times New Roman"/>
        </w:rPr>
      </w:pPr>
    </w:p>
    <w:p w14:paraId="0F92ADF5" w14:textId="77777777" w:rsidR="00B307DB" w:rsidRDefault="00B307DB" w:rsidP="00B307DB">
      <w:pPr>
        <w:spacing w:after="0" w:line="240" w:lineRule="auto"/>
        <w:rPr>
          <w:rFonts w:ascii="Times New Roman" w:hAnsi="Times New Roman" w:cs="Times New Roman"/>
        </w:rPr>
      </w:pPr>
    </w:p>
    <w:p w14:paraId="092850F8"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6AB70013" w14:textId="77777777" w:rsidR="00B307DB" w:rsidRPr="00D84571" w:rsidRDefault="00B307DB" w:rsidP="00B307DB">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098ACBC5" w14:textId="77777777" w:rsidR="00B307DB" w:rsidRPr="00D84571" w:rsidRDefault="00B307DB" w:rsidP="00B307DB">
      <w:pPr>
        <w:pStyle w:val="Ttulo1"/>
        <w:shd w:val="clear" w:color="auto" w:fill="FFFFFF" w:themeFill="background1"/>
        <w:spacing w:before="0" w:line="240" w:lineRule="auto"/>
        <w:ind w:right="-568"/>
        <w:jc w:val="center"/>
        <w:rPr>
          <w:rFonts w:ascii="Times New Roman" w:hAnsi="Times New Roman" w:cs="Times New Roman"/>
          <w:sz w:val="22"/>
          <w:szCs w:val="22"/>
        </w:rPr>
      </w:pPr>
    </w:p>
    <w:p w14:paraId="2CB80980" w14:textId="77777777" w:rsidR="00B307DB" w:rsidRPr="00D84571" w:rsidRDefault="00B307DB" w:rsidP="00B307DB">
      <w:pPr>
        <w:pStyle w:val="Ttulo1"/>
        <w:shd w:val="clear" w:color="auto" w:fill="A5A5A5" w:themeFill="accent3"/>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V</w:t>
      </w:r>
      <w:r>
        <w:rPr>
          <w:rFonts w:ascii="Times New Roman" w:hAnsi="Times New Roman" w:cs="Times New Roman"/>
          <w:sz w:val="22"/>
          <w:szCs w:val="22"/>
        </w:rPr>
        <w:t>I</w:t>
      </w:r>
      <w:r w:rsidRPr="00D84571">
        <w:rPr>
          <w:rFonts w:ascii="Times New Roman" w:hAnsi="Times New Roman" w:cs="Times New Roman"/>
          <w:sz w:val="22"/>
          <w:szCs w:val="22"/>
        </w:rPr>
        <w:t xml:space="preserve"> – DECLARAÇÃO LC 123/2006</w:t>
      </w:r>
    </w:p>
    <w:p w14:paraId="2B515189" w14:textId="77777777" w:rsidR="00B307DB" w:rsidRPr="00D84571" w:rsidRDefault="00B307DB" w:rsidP="00B307DB">
      <w:pPr>
        <w:spacing w:after="0" w:line="240" w:lineRule="auto"/>
        <w:ind w:right="-568"/>
        <w:jc w:val="center"/>
        <w:rPr>
          <w:rFonts w:ascii="Times New Roman" w:hAnsi="Times New Roman" w:cs="Times New Roman"/>
          <w:b/>
        </w:rPr>
      </w:pPr>
    </w:p>
    <w:p w14:paraId="69B1CD08" w14:textId="77777777" w:rsidR="00B307DB" w:rsidRPr="00D84571" w:rsidRDefault="00B307DB" w:rsidP="00B307DB">
      <w:pPr>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APLICAÇÃO DOS </w:t>
      </w:r>
      <w:hyperlink r:id="rId299" w:anchor="art42" w:history="1">
        <w:r w:rsidRPr="00D84571">
          <w:rPr>
            <w:rStyle w:val="Hyperlink"/>
            <w:rFonts w:ascii="Times New Roman" w:hAnsi="Times New Roman" w:cs="Times New Roman"/>
            <w:b/>
          </w:rPr>
          <w:t>ARTS. 42 AO 49 DA LEI COMPLEMENTAR Nº 123/2006</w:t>
        </w:r>
      </w:hyperlink>
    </w:p>
    <w:p w14:paraId="6513AB0F" w14:textId="77777777" w:rsidR="00B307DB" w:rsidRPr="00D84571" w:rsidRDefault="00B307DB" w:rsidP="00B307DB">
      <w:pPr>
        <w:spacing w:after="0" w:line="240" w:lineRule="auto"/>
        <w:ind w:right="-568" w:firstLine="708"/>
        <w:jc w:val="both"/>
        <w:rPr>
          <w:rFonts w:ascii="Times New Roman" w:hAnsi="Times New Roman" w:cs="Times New Roman"/>
        </w:rPr>
      </w:pPr>
    </w:p>
    <w:p w14:paraId="3E9641A8" w14:textId="77777777" w:rsidR="00B307DB" w:rsidRPr="00D84571" w:rsidRDefault="00B307DB" w:rsidP="00B307DB">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___________________________, inscrito no CPF/CNPJ nº ______________, DECLARA, nos termos do </w:t>
      </w:r>
      <w:hyperlink r:id="rId300" w:anchor="art4%C2%A72" w:history="1">
        <w:r w:rsidRPr="00D84571">
          <w:rPr>
            <w:rStyle w:val="Hyperlink"/>
            <w:rFonts w:ascii="Times New Roman" w:hAnsi="Times New Roman" w:cs="Times New Roman"/>
          </w:rPr>
          <w:t>art. 4º, § 2º da Lei nº 14.133/2021</w:t>
        </w:r>
      </w:hyperlink>
      <w:r w:rsidRPr="00D84571">
        <w:rPr>
          <w:rFonts w:ascii="Times New Roman" w:hAnsi="Times New Roman" w:cs="Times New Roman"/>
        </w:rPr>
        <w:t xml:space="preserve">, que para obter os benefícios dos </w:t>
      </w:r>
      <w:hyperlink r:id="rId301" w:anchor="art42" w:history="1">
        <w:r w:rsidRPr="00D84571">
          <w:rPr>
            <w:rStyle w:val="Hyperlink"/>
            <w:rFonts w:ascii="Times New Roman" w:hAnsi="Times New Roman" w:cs="Times New Roman"/>
          </w:rPr>
          <w:t>arts. 42 a 49 da Lei Complementar nº 123/2006</w:t>
        </w:r>
      </w:hyperlink>
      <w:r w:rsidRPr="00D84571">
        <w:rPr>
          <w:rFonts w:ascii="Times New Roman" w:hAnsi="Times New Roman" w:cs="Times New Roman"/>
        </w:rPr>
        <w:t>,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w:t>
      </w:r>
      <w:r>
        <w:rPr>
          <w:rFonts w:ascii="Times New Roman" w:hAnsi="Times New Roman" w:cs="Times New Roman"/>
        </w:rPr>
        <w:t>es somados extrapolem</w:t>
      </w:r>
      <w:r w:rsidRPr="00D84571">
        <w:rPr>
          <w:rFonts w:ascii="Times New Roman" w:hAnsi="Times New Roman" w:cs="Times New Roman"/>
        </w:rPr>
        <w:t xml:space="preserve"> o previsto no </w:t>
      </w:r>
      <w:hyperlink r:id="rId302" w:anchor="art3ii" w:history="1">
        <w:r w:rsidRPr="00D84571">
          <w:rPr>
            <w:rStyle w:val="Hyperlink"/>
            <w:rFonts w:ascii="Times New Roman" w:hAnsi="Times New Roman" w:cs="Times New Roman"/>
          </w:rPr>
          <w:t>art. 3º, II da Lei Complementar nº 123/2006</w:t>
        </w:r>
      </w:hyperlink>
      <w:r w:rsidRPr="00D84571">
        <w:rPr>
          <w:rFonts w:ascii="Times New Roman" w:hAnsi="Times New Roman" w:cs="Times New Roman"/>
        </w:rPr>
        <w:t xml:space="preserve">, sendo que nas contratações com prazo de vigência superior a 1 (um) ano, será considerado o valor anual do contrato, conforme dispõe o </w:t>
      </w:r>
      <w:hyperlink r:id="rId303" w:anchor="art4%C2%A73" w:history="1">
        <w:r w:rsidRPr="00D84571">
          <w:rPr>
            <w:rStyle w:val="Hyperlink"/>
            <w:rFonts w:ascii="Times New Roman" w:hAnsi="Times New Roman" w:cs="Times New Roman"/>
          </w:rPr>
          <w:t>art. 4º, § 3º da Lei nº 14.133/2021</w:t>
        </w:r>
      </w:hyperlink>
      <w:r w:rsidRPr="00D84571">
        <w:rPr>
          <w:rFonts w:ascii="Times New Roman" w:hAnsi="Times New Roman" w:cs="Times New Roman"/>
        </w:rPr>
        <w:t>.</w:t>
      </w:r>
    </w:p>
    <w:p w14:paraId="25619064"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304"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2AED154F" w14:textId="77777777" w:rsidR="00B307DB" w:rsidRPr="00D84571" w:rsidRDefault="00B307DB" w:rsidP="00B307DB">
      <w:pPr>
        <w:spacing w:after="0" w:line="240" w:lineRule="auto"/>
        <w:ind w:right="-568"/>
        <w:jc w:val="both"/>
        <w:rPr>
          <w:rFonts w:ascii="Times New Roman" w:hAnsi="Times New Roman" w:cs="Times New Roman"/>
        </w:rPr>
      </w:pPr>
    </w:p>
    <w:p w14:paraId="64574E64"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0467323E" w14:textId="77777777" w:rsidR="00B307DB" w:rsidRPr="00D84571" w:rsidRDefault="00B307DB" w:rsidP="00B307DB">
      <w:pPr>
        <w:spacing w:after="0" w:line="240" w:lineRule="auto"/>
        <w:ind w:right="-568"/>
        <w:jc w:val="center"/>
        <w:rPr>
          <w:rFonts w:ascii="Times New Roman" w:hAnsi="Times New Roman" w:cs="Times New Roman"/>
        </w:rPr>
      </w:pPr>
    </w:p>
    <w:p w14:paraId="05FF14D2"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25CE7AC8" w14:textId="77777777" w:rsidR="00B307DB" w:rsidRPr="00D84571" w:rsidRDefault="00B307DB" w:rsidP="00B307DB">
      <w:pPr>
        <w:spacing w:after="0" w:line="240" w:lineRule="auto"/>
        <w:ind w:right="-568"/>
        <w:jc w:val="center"/>
        <w:rPr>
          <w:rFonts w:ascii="Times New Roman" w:hAnsi="Times New Roman" w:cs="Times New Roman"/>
          <w:b/>
        </w:rPr>
      </w:pPr>
      <w:r w:rsidRPr="00D84571">
        <w:rPr>
          <w:rFonts w:ascii="Times New Roman" w:hAnsi="Times New Roman" w:cs="Times New Roman"/>
        </w:rPr>
        <w:t>(NOME COMPLETO – CNPJ/CPF)</w:t>
      </w:r>
    </w:p>
    <w:p w14:paraId="7D4910DC" w14:textId="77777777" w:rsidR="00B307DB" w:rsidRPr="00D84571" w:rsidRDefault="00B307DB" w:rsidP="00B307DB">
      <w:pPr>
        <w:spacing w:after="0" w:line="240" w:lineRule="auto"/>
        <w:ind w:right="-568"/>
        <w:jc w:val="center"/>
        <w:rPr>
          <w:rFonts w:ascii="Times New Roman" w:hAnsi="Times New Roman" w:cs="Times New Roman"/>
          <w:b/>
        </w:rPr>
      </w:pPr>
    </w:p>
    <w:p w14:paraId="7718CFB0"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E4983D"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B11509"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80A893"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3CFF2F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BA97063"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493A56"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4FF42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8570A6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E3824F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EF9729"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86E1E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59524E0"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5B46391"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45C825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C02686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36C14D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468DC71"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5DDAE72"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7A2BA0"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DE8554B"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1CF29E"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2945F1C"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116222"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2EE653A"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AE5FB9"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29B2D80"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2D538E"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3EB3014"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0A0194D"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8F774FD"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4FFBD5"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7CDFC4"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A11D53"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03EEB8B2" w14:textId="77777777" w:rsidR="00B307DB" w:rsidRPr="00D84571" w:rsidRDefault="00B307DB" w:rsidP="00B307DB">
      <w:pPr>
        <w:shd w:val="clear" w:color="auto" w:fill="A6A6A6" w:themeFill="background1" w:themeFillShade="A6"/>
        <w:spacing w:after="0" w:line="240" w:lineRule="auto"/>
        <w:ind w:right="-567"/>
        <w:jc w:val="center"/>
        <w:rPr>
          <w:rFonts w:ascii="Times New Roman" w:hAnsi="Times New Roman" w:cs="Times New Roman"/>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78303956"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148CAE" w14:textId="77777777" w:rsidR="00B307DB" w:rsidRPr="00D84571" w:rsidRDefault="00B307DB" w:rsidP="00B307DB">
      <w:pPr>
        <w:pStyle w:val="Ttulo1"/>
        <w:shd w:val="clear" w:color="auto" w:fill="A5A5A5" w:themeFill="accent3"/>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VI</w:t>
      </w:r>
      <w:r>
        <w:rPr>
          <w:rFonts w:ascii="Times New Roman" w:hAnsi="Times New Roman" w:cs="Times New Roman"/>
          <w:sz w:val="22"/>
          <w:szCs w:val="22"/>
        </w:rPr>
        <w:t>I</w:t>
      </w:r>
      <w:r w:rsidRPr="00D84571">
        <w:rPr>
          <w:rFonts w:ascii="Times New Roman" w:hAnsi="Times New Roman" w:cs="Times New Roman"/>
          <w:sz w:val="22"/>
          <w:szCs w:val="22"/>
        </w:rPr>
        <w:t xml:space="preserve"> – PROPOSTA</w:t>
      </w:r>
    </w:p>
    <w:p w14:paraId="4865D38A" w14:textId="77777777" w:rsidR="00B307DB" w:rsidRPr="00D84571" w:rsidRDefault="00B307DB" w:rsidP="00B307DB">
      <w:pPr>
        <w:spacing w:after="0" w:line="240" w:lineRule="auto"/>
        <w:ind w:right="-568"/>
        <w:jc w:val="center"/>
        <w:rPr>
          <w:rFonts w:ascii="Times New Roman" w:hAnsi="Times New Roman" w:cs="Times New Roman"/>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52"/>
        <w:gridCol w:w="4468"/>
        <w:gridCol w:w="1012"/>
        <w:gridCol w:w="884"/>
        <w:gridCol w:w="959"/>
        <w:gridCol w:w="992"/>
      </w:tblGrid>
      <w:tr w:rsidR="00B307DB" w:rsidRPr="00D418E7" w14:paraId="52F59722" w14:textId="77777777" w:rsidTr="00B307DB">
        <w:trPr>
          <w:trHeight w:val="276"/>
        </w:trPr>
        <w:tc>
          <w:tcPr>
            <w:tcW w:w="7116" w:type="dxa"/>
            <w:gridSpan w:val="4"/>
            <w:vAlign w:val="bottom"/>
          </w:tcPr>
          <w:p w14:paraId="0571375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LOTE ÚNICO</w:t>
            </w:r>
          </w:p>
        </w:tc>
        <w:tc>
          <w:tcPr>
            <w:tcW w:w="1951" w:type="dxa"/>
            <w:gridSpan w:val="2"/>
            <w:vAlign w:val="bottom"/>
          </w:tcPr>
          <w:p w14:paraId="6365C9A4"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6AE29194" w14:textId="77777777" w:rsidTr="00B307DB">
        <w:trPr>
          <w:trHeight w:val="550"/>
        </w:trPr>
        <w:tc>
          <w:tcPr>
            <w:tcW w:w="0" w:type="auto"/>
            <w:vAlign w:val="center"/>
          </w:tcPr>
          <w:p w14:paraId="32B3C52D" w14:textId="77777777" w:rsidR="00B307DB" w:rsidRPr="00D418E7" w:rsidRDefault="00B307DB" w:rsidP="00B307DB">
            <w:pPr>
              <w:spacing w:after="0" w:line="240" w:lineRule="auto"/>
              <w:ind w:right="141"/>
              <w:jc w:val="center"/>
              <w:rPr>
                <w:rFonts w:ascii="Times New Roman" w:hAnsi="Times New Roman" w:cs="Times New Roman"/>
              </w:rPr>
            </w:pPr>
            <w:r w:rsidRPr="00D418E7">
              <w:rPr>
                <w:rFonts w:ascii="Times New Roman" w:hAnsi="Times New Roman" w:cs="Times New Roman"/>
                <w:b/>
              </w:rPr>
              <w:t>Item</w:t>
            </w:r>
          </w:p>
        </w:tc>
        <w:tc>
          <w:tcPr>
            <w:tcW w:w="0" w:type="auto"/>
            <w:vAlign w:val="center"/>
          </w:tcPr>
          <w:p w14:paraId="35A01050" w14:textId="77777777" w:rsidR="00B307DB" w:rsidRPr="00D418E7" w:rsidRDefault="00B307DB" w:rsidP="00B307DB">
            <w:pPr>
              <w:spacing w:after="0" w:line="240" w:lineRule="auto"/>
              <w:ind w:right="141"/>
              <w:jc w:val="center"/>
              <w:rPr>
                <w:rFonts w:ascii="Times New Roman" w:hAnsi="Times New Roman" w:cs="Times New Roman"/>
              </w:rPr>
            </w:pPr>
            <w:r w:rsidRPr="00D418E7">
              <w:rPr>
                <w:rFonts w:ascii="Times New Roman" w:hAnsi="Times New Roman" w:cs="Times New Roman"/>
                <w:b/>
              </w:rPr>
              <w:t>Descrição / Especificações mínimas</w:t>
            </w:r>
          </w:p>
        </w:tc>
        <w:tc>
          <w:tcPr>
            <w:tcW w:w="1012" w:type="dxa"/>
            <w:vAlign w:val="center"/>
          </w:tcPr>
          <w:p w14:paraId="589E930B" w14:textId="77777777" w:rsidR="00B307DB" w:rsidRPr="00D418E7" w:rsidRDefault="00B307DB" w:rsidP="00B307DB">
            <w:pPr>
              <w:spacing w:after="0" w:line="240" w:lineRule="auto"/>
              <w:ind w:right="141"/>
              <w:jc w:val="center"/>
              <w:rPr>
                <w:rFonts w:ascii="Times New Roman" w:hAnsi="Times New Roman" w:cs="Times New Roman"/>
              </w:rPr>
            </w:pPr>
            <w:r w:rsidRPr="00D418E7">
              <w:rPr>
                <w:rFonts w:ascii="Times New Roman" w:hAnsi="Times New Roman" w:cs="Times New Roman"/>
                <w:b/>
              </w:rPr>
              <w:t>Qtd</w:t>
            </w:r>
          </w:p>
        </w:tc>
        <w:tc>
          <w:tcPr>
            <w:tcW w:w="884" w:type="dxa"/>
            <w:vAlign w:val="center"/>
          </w:tcPr>
          <w:p w14:paraId="567BFFDC" w14:textId="77777777" w:rsidR="00B307DB" w:rsidRPr="00D418E7" w:rsidRDefault="00B307DB" w:rsidP="00B307DB">
            <w:pPr>
              <w:spacing w:after="0" w:line="240" w:lineRule="auto"/>
              <w:ind w:right="141"/>
              <w:jc w:val="center"/>
              <w:rPr>
                <w:rFonts w:ascii="Times New Roman" w:hAnsi="Times New Roman" w:cs="Times New Roman"/>
              </w:rPr>
            </w:pPr>
            <w:r w:rsidRPr="00D418E7">
              <w:rPr>
                <w:rFonts w:ascii="Times New Roman" w:hAnsi="Times New Roman" w:cs="Times New Roman"/>
                <w:b/>
              </w:rPr>
              <w:t>Un.</w:t>
            </w:r>
          </w:p>
        </w:tc>
        <w:tc>
          <w:tcPr>
            <w:tcW w:w="959" w:type="dxa"/>
            <w:vAlign w:val="center"/>
          </w:tcPr>
          <w:p w14:paraId="6E138637" w14:textId="77777777" w:rsidR="00B307DB" w:rsidRPr="00D418E7" w:rsidRDefault="00B307DB" w:rsidP="00B307DB">
            <w:pPr>
              <w:spacing w:after="0" w:line="240" w:lineRule="auto"/>
              <w:ind w:right="141"/>
              <w:jc w:val="center"/>
              <w:rPr>
                <w:rFonts w:ascii="Times New Roman" w:hAnsi="Times New Roman" w:cs="Times New Roman"/>
              </w:rPr>
            </w:pPr>
            <w:r w:rsidRPr="00D418E7">
              <w:rPr>
                <w:rFonts w:ascii="Times New Roman" w:hAnsi="Times New Roman" w:cs="Times New Roman"/>
                <w:b/>
              </w:rPr>
              <w:t>Valor unitário</w:t>
            </w:r>
          </w:p>
        </w:tc>
        <w:tc>
          <w:tcPr>
            <w:tcW w:w="992" w:type="dxa"/>
            <w:vAlign w:val="center"/>
          </w:tcPr>
          <w:p w14:paraId="7E10F060" w14:textId="77777777" w:rsidR="00B307DB" w:rsidRPr="00D418E7" w:rsidRDefault="00B307DB" w:rsidP="00B307DB">
            <w:pPr>
              <w:spacing w:after="0" w:line="240" w:lineRule="auto"/>
              <w:ind w:right="141"/>
              <w:jc w:val="center"/>
              <w:rPr>
                <w:rFonts w:ascii="Times New Roman" w:hAnsi="Times New Roman" w:cs="Times New Roman"/>
              </w:rPr>
            </w:pPr>
            <w:r w:rsidRPr="00D418E7">
              <w:rPr>
                <w:rFonts w:ascii="Times New Roman" w:hAnsi="Times New Roman" w:cs="Times New Roman"/>
                <w:b/>
              </w:rPr>
              <w:t>Valor total</w:t>
            </w:r>
          </w:p>
        </w:tc>
      </w:tr>
      <w:tr w:rsidR="00B307DB" w:rsidRPr="00D418E7" w14:paraId="0ABE65B6" w14:textId="77777777" w:rsidTr="00B307DB">
        <w:trPr>
          <w:trHeight w:val="292"/>
        </w:trPr>
        <w:tc>
          <w:tcPr>
            <w:tcW w:w="9067" w:type="dxa"/>
            <w:gridSpan w:val="6"/>
            <w:vAlign w:val="center"/>
          </w:tcPr>
          <w:p w14:paraId="10F7BA9A"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b/>
              </w:rPr>
              <w:t>1</w:t>
            </w:r>
            <w:r>
              <w:rPr>
                <w:rFonts w:ascii="Times New Roman" w:hAnsi="Times New Roman" w:cs="Times New Roman"/>
                <w:b/>
              </w:rPr>
              <w:t xml:space="preserve"> </w:t>
            </w:r>
            <w:r w:rsidRPr="00D418E7">
              <w:rPr>
                <w:rFonts w:ascii="Times New Roman" w:hAnsi="Times New Roman" w:cs="Times New Roman"/>
                <w:b/>
              </w:rPr>
              <w:t>LICENÇA DE USO DE SISTEMA WEB</w:t>
            </w:r>
          </w:p>
        </w:tc>
      </w:tr>
      <w:tr w:rsidR="00B307DB" w:rsidRPr="00D418E7" w14:paraId="45FD54BD" w14:textId="77777777" w:rsidTr="00B307DB">
        <w:trPr>
          <w:trHeight w:val="480"/>
        </w:trPr>
        <w:tc>
          <w:tcPr>
            <w:tcW w:w="9067" w:type="dxa"/>
            <w:gridSpan w:val="6"/>
            <w:vAlign w:val="center"/>
          </w:tcPr>
          <w:p w14:paraId="4550C0B2"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b/>
              </w:rPr>
              <w:t>1.1</w:t>
            </w:r>
            <w:r>
              <w:rPr>
                <w:rFonts w:ascii="Times New Roman" w:hAnsi="Times New Roman" w:cs="Times New Roman"/>
                <w:b/>
              </w:rPr>
              <w:t xml:space="preserve"> </w:t>
            </w:r>
            <w:r w:rsidRPr="00D418E7">
              <w:rPr>
                <w:rFonts w:ascii="Times New Roman" w:hAnsi="Times New Roman" w:cs="Times New Roman"/>
                <w:b/>
              </w:rPr>
              <w:t xml:space="preserve"> MÓDULOS PARA USO DO MUNICÍPIO DE RIQUEZA</w:t>
            </w:r>
          </w:p>
        </w:tc>
      </w:tr>
      <w:tr w:rsidR="00B307DB" w:rsidRPr="00D418E7" w14:paraId="5F9B1C60" w14:textId="77777777" w:rsidTr="00B307DB">
        <w:trPr>
          <w:trHeight w:val="292"/>
        </w:trPr>
        <w:tc>
          <w:tcPr>
            <w:tcW w:w="0" w:type="auto"/>
            <w:vAlign w:val="center"/>
          </w:tcPr>
          <w:p w14:paraId="22A8BBF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w:t>
            </w:r>
          </w:p>
        </w:tc>
        <w:tc>
          <w:tcPr>
            <w:tcW w:w="0" w:type="auto"/>
            <w:vAlign w:val="center"/>
          </w:tcPr>
          <w:p w14:paraId="3E3FBC6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Planejamento e Orçamento</w:t>
            </w:r>
          </w:p>
        </w:tc>
        <w:tc>
          <w:tcPr>
            <w:tcW w:w="1012" w:type="dxa"/>
            <w:vAlign w:val="center"/>
          </w:tcPr>
          <w:p w14:paraId="2E2AEAA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F789D2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1309EA8"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1435831"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46FFB46A" w14:textId="77777777" w:rsidTr="00B307DB">
        <w:trPr>
          <w:trHeight w:val="292"/>
        </w:trPr>
        <w:tc>
          <w:tcPr>
            <w:tcW w:w="0" w:type="auto"/>
            <w:vAlign w:val="center"/>
          </w:tcPr>
          <w:p w14:paraId="5C9C812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w:t>
            </w:r>
          </w:p>
        </w:tc>
        <w:tc>
          <w:tcPr>
            <w:tcW w:w="0" w:type="auto"/>
            <w:vAlign w:val="center"/>
          </w:tcPr>
          <w:p w14:paraId="7B131BF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Gestão Contábil e Financeira</w:t>
            </w:r>
          </w:p>
        </w:tc>
        <w:tc>
          <w:tcPr>
            <w:tcW w:w="1012" w:type="dxa"/>
            <w:vAlign w:val="center"/>
          </w:tcPr>
          <w:p w14:paraId="2725B7E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D0D615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355C8F44"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3AF0E7F7"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6757FB11" w14:textId="77777777" w:rsidTr="00B307DB">
        <w:trPr>
          <w:trHeight w:val="292"/>
        </w:trPr>
        <w:tc>
          <w:tcPr>
            <w:tcW w:w="0" w:type="auto"/>
            <w:vAlign w:val="center"/>
          </w:tcPr>
          <w:p w14:paraId="5AB91D8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1.1.3</w:t>
            </w:r>
          </w:p>
        </w:tc>
        <w:tc>
          <w:tcPr>
            <w:tcW w:w="0" w:type="auto"/>
            <w:vAlign w:val="center"/>
          </w:tcPr>
          <w:p w14:paraId="0AAD8CE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Controle interno</w:t>
            </w:r>
          </w:p>
        </w:tc>
        <w:tc>
          <w:tcPr>
            <w:tcW w:w="1012" w:type="dxa"/>
            <w:vAlign w:val="center"/>
          </w:tcPr>
          <w:p w14:paraId="3F03EFE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15177DA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13B8E56"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24D054F5"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29882DA7" w14:textId="77777777" w:rsidTr="00B307DB">
        <w:trPr>
          <w:trHeight w:val="292"/>
        </w:trPr>
        <w:tc>
          <w:tcPr>
            <w:tcW w:w="0" w:type="auto"/>
            <w:vAlign w:val="center"/>
          </w:tcPr>
          <w:p w14:paraId="3547A0A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1.1.4</w:t>
            </w:r>
          </w:p>
        </w:tc>
        <w:tc>
          <w:tcPr>
            <w:tcW w:w="0" w:type="auto"/>
            <w:vAlign w:val="center"/>
          </w:tcPr>
          <w:p w14:paraId="17EA181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Compras e licitações</w:t>
            </w:r>
          </w:p>
        </w:tc>
        <w:tc>
          <w:tcPr>
            <w:tcW w:w="1012" w:type="dxa"/>
            <w:vAlign w:val="center"/>
          </w:tcPr>
          <w:p w14:paraId="0AAA9E1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E7ED41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729BF928"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64B25C34"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2BAC67F5" w14:textId="77777777" w:rsidTr="00B307DB">
        <w:trPr>
          <w:trHeight w:val="292"/>
        </w:trPr>
        <w:tc>
          <w:tcPr>
            <w:tcW w:w="0" w:type="auto"/>
            <w:vAlign w:val="center"/>
          </w:tcPr>
          <w:p w14:paraId="684C35A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1.1.5</w:t>
            </w:r>
          </w:p>
        </w:tc>
        <w:tc>
          <w:tcPr>
            <w:tcW w:w="0" w:type="auto"/>
            <w:vAlign w:val="center"/>
          </w:tcPr>
          <w:p w14:paraId="4EB4687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Almoxarifado</w:t>
            </w:r>
          </w:p>
        </w:tc>
        <w:tc>
          <w:tcPr>
            <w:tcW w:w="1012" w:type="dxa"/>
            <w:vAlign w:val="center"/>
          </w:tcPr>
          <w:p w14:paraId="7A19958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289F0C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0E7A816"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2283600"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59962758" w14:textId="77777777" w:rsidTr="00B307DB">
        <w:trPr>
          <w:trHeight w:val="292"/>
        </w:trPr>
        <w:tc>
          <w:tcPr>
            <w:tcW w:w="0" w:type="auto"/>
            <w:vAlign w:val="center"/>
          </w:tcPr>
          <w:p w14:paraId="101CE03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1.1.6</w:t>
            </w:r>
          </w:p>
        </w:tc>
        <w:tc>
          <w:tcPr>
            <w:tcW w:w="0" w:type="auto"/>
            <w:vAlign w:val="center"/>
          </w:tcPr>
          <w:p w14:paraId="3ED1AED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Patrimônio</w:t>
            </w:r>
          </w:p>
        </w:tc>
        <w:tc>
          <w:tcPr>
            <w:tcW w:w="1012" w:type="dxa"/>
            <w:vAlign w:val="center"/>
          </w:tcPr>
          <w:p w14:paraId="0D2E1FD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D874C0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0A7B62E3"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3A8D4B7F"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07E700FD" w14:textId="77777777" w:rsidTr="00B307DB">
        <w:trPr>
          <w:trHeight w:val="292"/>
        </w:trPr>
        <w:tc>
          <w:tcPr>
            <w:tcW w:w="0" w:type="auto"/>
            <w:vAlign w:val="center"/>
          </w:tcPr>
          <w:p w14:paraId="70703D7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1.1.7</w:t>
            </w:r>
          </w:p>
        </w:tc>
        <w:tc>
          <w:tcPr>
            <w:tcW w:w="0" w:type="auto"/>
            <w:vAlign w:val="center"/>
          </w:tcPr>
          <w:p w14:paraId="1CF42BD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Frota</w:t>
            </w:r>
          </w:p>
        </w:tc>
        <w:tc>
          <w:tcPr>
            <w:tcW w:w="1012" w:type="dxa"/>
            <w:vAlign w:val="center"/>
          </w:tcPr>
          <w:p w14:paraId="5E43D1D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AD712E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7FD1F47"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24A5CE45"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3D2EF983" w14:textId="77777777" w:rsidTr="00B307DB">
        <w:trPr>
          <w:trHeight w:val="292"/>
        </w:trPr>
        <w:tc>
          <w:tcPr>
            <w:tcW w:w="0" w:type="auto"/>
            <w:vAlign w:val="center"/>
          </w:tcPr>
          <w:p w14:paraId="441DAE2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1.1.8</w:t>
            </w:r>
          </w:p>
        </w:tc>
        <w:tc>
          <w:tcPr>
            <w:tcW w:w="0" w:type="auto"/>
            <w:vAlign w:val="center"/>
          </w:tcPr>
          <w:p w14:paraId="41AF93A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Folha de Pagamento</w:t>
            </w:r>
          </w:p>
        </w:tc>
        <w:tc>
          <w:tcPr>
            <w:tcW w:w="1012" w:type="dxa"/>
            <w:vAlign w:val="center"/>
          </w:tcPr>
          <w:p w14:paraId="07C0DE1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D15D3F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971142E"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221FE8B4"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0726A6DA" w14:textId="77777777" w:rsidTr="00B307DB">
        <w:trPr>
          <w:trHeight w:val="292"/>
        </w:trPr>
        <w:tc>
          <w:tcPr>
            <w:tcW w:w="0" w:type="auto"/>
            <w:vAlign w:val="center"/>
          </w:tcPr>
          <w:p w14:paraId="4E26F24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1.1.9</w:t>
            </w:r>
          </w:p>
        </w:tc>
        <w:tc>
          <w:tcPr>
            <w:tcW w:w="0" w:type="auto"/>
            <w:vAlign w:val="center"/>
          </w:tcPr>
          <w:p w14:paraId="472A5A6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Avaliação de Desempenho</w:t>
            </w:r>
          </w:p>
        </w:tc>
        <w:tc>
          <w:tcPr>
            <w:tcW w:w="1012" w:type="dxa"/>
            <w:vAlign w:val="center"/>
          </w:tcPr>
          <w:p w14:paraId="3EDAE08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DE3B2D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34FE2BA"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3AB9DB81"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24FB43A0" w14:textId="77777777" w:rsidTr="00B307DB">
        <w:trPr>
          <w:trHeight w:val="292"/>
        </w:trPr>
        <w:tc>
          <w:tcPr>
            <w:tcW w:w="0" w:type="auto"/>
            <w:vAlign w:val="center"/>
          </w:tcPr>
          <w:p w14:paraId="70DBBB8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1.1.10</w:t>
            </w:r>
          </w:p>
        </w:tc>
        <w:tc>
          <w:tcPr>
            <w:tcW w:w="0" w:type="auto"/>
            <w:vAlign w:val="center"/>
          </w:tcPr>
          <w:p w14:paraId="38B53A8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Segurança e Medicina do Trabalho</w:t>
            </w:r>
          </w:p>
        </w:tc>
        <w:tc>
          <w:tcPr>
            <w:tcW w:w="1012" w:type="dxa"/>
            <w:vAlign w:val="center"/>
          </w:tcPr>
          <w:p w14:paraId="1B94024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1828031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20C0E2E"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3388DFB7"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708BE8B7" w14:textId="77777777" w:rsidTr="00B307DB">
        <w:trPr>
          <w:trHeight w:val="292"/>
        </w:trPr>
        <w:tc>
          <w:tcPr>
            <w:tcW w:w="0" w:type="auto"/>
            <w:vAlign w:val="center"/>
          </w:tcPr>
          <w:p w14:paraId="565E2A4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1.1.11</w:t>
            </w:r>
          </w:p>
        </w:tc>
        <w:tc>
          <w:tcPr>
            <w:tcW w:w="0" w:type="auto"/>
            <w:vAlign w:val="center"/>
          </w:tcPr>
          <w:p w14:paraId="7589389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Ponto Eletrônico</w:t>
            </w:r>
          </w:p>
        </w:tc>
        <w:tc>
          <w:tcPr>
            <w:tcW w:w="1012" w:type="dxa"/>
            <w:vAlign w:val="center"/>
          </w:tcPr>
          <w:p w14:paraId="2C4BEAC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77B389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D373107"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5960C5AA"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77398EA1" w14:textId="77777777" w:rsidTr="00B307DB">
        <w:trPr>
          <w:trHeight w:val="292"/>
        </w:trPr>
        <w:tc>
          <w:tcPr>
            <w:tcW w:w="0" w:type="auto"/>
            <w:vAlign w:val="center"/>
          </w:tcPr>
          <w:p w14:paraId="426BAC2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1.1.12</w:t>
            </w:r>
          </w:p>
        </w:tc>
        <w:tc>
          <w:tcPr>
            <w:tcW w:w="0" w:type="auto"/>
            <w:vAlign w:val="center"/>
          </w:tcPr>
          <w:p w14:paraId="37B7BE1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IPTU e Taxas</w:t>
            </w:r>
          </w:p>
        </w:tc>
        <w:tc>
          <w:tcPr>
            <w:tcW w:w="1012" w:type="dxa"/>
            <w:vAlign w:val="center"/>
          </w:tcPr>
          <w:p w14:paraId="1F03559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DF82DC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501A2B6"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7ACBCB0C"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6CD0B045" w14:textId="77777777" w:rsidTr="00B307DB">
        <w:trPr>
          <w:trHeight w:val="292"/>
        </w:trPr>
        <w:tc>
          <w:tcPr>
            <w:tcW w:w="0" w:type="auto"/>
            <w:vAlign w:val="center"/>
          </w:tcPr>
          <w:p w14:paraId="7621BFA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1.1.13</w:t>
            </w:r>
          </w:p>
        </w:tc>
        <w:tc>
          <w:tcPr>
            <w:tcW w:w="0" w:type="auto"/>
            <w:vAlign w:val="center"/>
          </w:tcPr>
          <w:p w14:paraId="07C3668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ISSQN e Taxas</w:t>
            </w:r>
          </w:p>
        </w:tc>
        <w:tc>
          <w:tcPr>
            <w:tcW w:w="1012" w:type="dxa"/>
            <w:vAlign w:val="center"/>
          </w:tcPr>
          <w:p w14:paraId="6E412DA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581F72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75F35AB9"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3EC56F5"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18FD2434" w14:textId="77777777" w:rsidTr="00B307DB">
        <w:trPr>
          <w:trHeight w:val="292"/>
        </w:trPr>
        <w:tc>
          <w:tcPr>
            <w:tcW w:w="0" w:type="auto"/>
            <w:vAlign w:val="center"/>
          </w:tcPr>
          <w:p w14:paraId="1D073AE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1.1.14</w:t>
            </w:r>
          </w:p>
        </w:tc>
        <w:tc>
          <w:tcPr>
            <w:tcW w:w="0" w:type="auto"/>
            <w:vAlign w:val="center"/>
          </w:tcPr>
          <w:p w14:paraId="396BA93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ITBI e Taxas</w:t>
            </w:r>
          </w:p>
        </w:tc>
        <w:tc>
          <w:tcPr>
            <w:tcW w:w="1012" w:type="dxa"/>
            <w:vAlign w:val="center"/>
          </w:tcPr>
          <w:p w14:paraId="7247F2D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D3BAA4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050011A1"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6EB10AED"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4663EB08" w14:textId="77777777" w:rsidTr="00B307DB">
        <w:trPr>
          <w:trHeight w:val="292"/>
        </w:trPr>
        <w:tc>
          <w:tcPr>
            <w:tcW w:w="0" w:type="auto"/>
            <w:vAlign w:val="center"/>
          </w:tcPr>
          <w:p w14:paraId="4262AD5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1.1.15</w:t>
            </w:r>
          </w:p>
        </w:tc>
        <w:tc>
          <w:tcPr>
            <w:tcW w:w="0" w:type="auto"/>
            <w:vAlign w:val="center"/>
          </w:tcPr>
          <w:p w14:paraId="5EA0C34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Receitas Diversas</w:t>
            </w:r>
          </w:p>
        </w:tc>
        <w:tc>
          <w:tcPr>
            <w:tcW w:w="1012" w:type="dxa"/>
            <w:vAlign w:val="center"/>
          </w:tcPr>
          <w:p w14:paraId="586FC75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33E506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8A07C48"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5FCC9458"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49888EA5" w14:textId="77777777" w:rsidTr="00B307DB">
        <w:trPr>
          <w:trHeight w:val="292"/>
        </w:trPr>
        <w:tc>
          <w:tcPr>
            <w:tcW w:w="0" w:type="auto"/>
            <w:vAlign w:val="center"/>
          </w:tcPr>
          <w:p w14:paraId="023C5D7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1.1.16</w:t>
            </w:r>
          </w:p>
        </w:tc>
        <w:tc>
          <w:tcPr>
            <w:tcW w:w="0" w:type="auto"/>
            <w:vAlign w:val="center"/>
          </w:tcPr>
          <w:p w14:paraId="60D948C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Dívida Ativa</w:t>
            </w:r>
          </w:p>
        </w:tc>
        <w:tc>
          <w:tcPr>
            <w:tcW w:w="1012" w:type="dxa"/>
            <w:vAlign w:val="center"/>
          </w:tcPr>
          <w:p w14:paraId="0AC927B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205CE9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3D3E774"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43630A22"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351DE202" w14:textId="77777777" w:rsidTr="00B307DB">
        <w:trPr>
          <w:trHeight w:val="292"/>
        </w:trPr>
        <w:tc>
          <w:tcPr>
            <w:tcW w:w="0" w:type="auto"/>
            <w:vAlign w:val="center"/>
          </w:tcPr>
          <w:p w14:paraId="16D5370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1.1.17</w:t>
            </w:r>
          </w:p>
        </w:tc>
        <w:tc>
          <w:tcPr>
            <w:tcW w:w="0" w:type="auto"/>
            <w:vAlign w:val="center"/>
          </w:tcPr>
          <w:p w14:paraId="0CAD787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Starter</w:t>
            </w:r>
          </w:p>
        </w:tc>
        <w:tc>
          <w:tcPr>
            <w:tcW w:w="1012" w:type="dxa"/>
            <w:vAlign w:val="center"/>
          </w:tcPr>
          <w:p w14:paraId="75F2398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896C06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7A5FCB5D"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4809A579"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4AAC08F4" w14:textId="77777777" w:rsidTr="00B307DB">
        <w:trPr>
          <w:trHeight w:val="292"/>
        </w:trPr>
        <w:tc>
          <w:tcPr>
            <w:tcW w:w="0" w:type="auto"/>
            <w:vAlign w:val="center"/>
          </w:tcPr>
          <w:p w14:paraId="5674326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1.1.18</w:t>
            </w:r>
          </w:p>
        </w:tc>
        <w:tc>
          <w:tcPr>
            <w:tcW w:w="0" w:type="auto"/>
            <w:vAlign w:val="center"/>
          </w:tcPr>
          <w:p w14:paraId="42BE84C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Procuradoria</w:t>
            </w:r>
          </w:p>
        </w:tc>
        <w:tc>
          <w:tcPr>
            <w:tcW w:w="1012" w:type="dxa"/>
            <w:vAlign w:val="center"/>
          </w:tcPr>
          <w:p w14:paraId="21F91E6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D0F901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09185B57"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0674D214"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16985FB4" w14:textId="77777777" w:rsidTr="00B307DB">
        <w:trPr>
          <w:trHeight w:val="292"/>
        </w:trPr>
        <w:tc>
          <w:tcPr>
            <w:tcW w:w="0" w:type="auto"/>
            <w:vAlign w:val="center"/>
          </w:tcPr>
          <w:p w14:paraId="44E0619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1.1.19</w:t>
            </w:r>
          </w:p>
        </w:tc>
        <w:tc>
          <w:tcPr>
            <w:tcW w:w="0" w:type="auto"/>
            <w:vAlign w:val="center"/>
          </w:tcPr>
          <w:p w14:paraId="6F0DB03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Obras e Posturas</w:t>
            </w:r>
          </w:p>
        </w:tc>
        <w:tc>
          <w:tcPr>
            <w:tcW w:w="1012" w:type="dxa"/>
            <w:vAlign w:val="center"/>
          </w:tcPr>
          <w:p w14:paraId="7B2EAC5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897390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6C73F299"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372EB9BD"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7AFB9E52" w14:textId="77777777" w:rsidTr="00B307DB">
        <w:trPr>
          <w:trHeight w:val="292"/>
        </w:trPr>
        <w:tc>
          <w:tcPr>
            <w:tcW w:w="0" w:type="auto"/>
            <w:vAlign w:val="center"/>
          </w:tcPr>
          <w:p w14:paraId="6E9C404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1.1.20</w:t>
            </w:r>
          </w:p>
        </w:tc>
        <w:tc>
          <w:tcPr>
            <w:tcW w:w="0" w:type="auto"/>
            <w:vAlign w:val="center"/>
          </w:tcPr>
          <w:p w14:paraId="7B5AACF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Protocolo e Processo Digital</w:t>
            </w:r>
          </w:p>
        </w:tc>
        <w:tc>
          <w:tcPr>
            <w:tcW w:w="1012" w:type="dxa"/>
            <w:vAlign w:val="center"/>
          </w:tcPr>
          <w:p w14:paraId="60AB9E4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2E5174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9BB3C84"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3F0D4422"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095C0427" w14:textId="77777777" w:rsidTr="00B307DB">
        <w:trPr>
          <w:trHeight w:val="292"/>
        </w:trPr>
        <w:tc>
          <w:tcPr>
            <w:tcW w:w="0" w:type="auto"/>
            <w:vAlign w:val="center"/>
          </w:tcPr>
          <w:p w14:paraId="21F5A50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1.1.21</w:t>
            </w:r>
          </w:p>
        </w:tc>
        <w:tc>
          <w:tcPr>
            <w:tcW w:w="0" w:type="auto"/>
            <w:vAlign w:val="center"/>
          </w:tcPr>
          <w:p w14:paraId="67C9C7E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APP</w:t>
            </w:r>
          </w:p>
        </w:tc>
        <w:tc>
          <w:tcPr>
            <w:tcW w:w="1012" w:type="dxa"/>
            <w:vAlign w:val="center"/>
          </w:tcPr>
          <w:p w14:paraId="4306BD2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492C7D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3E09AB65"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4011A56"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68043249" w14:textId="77777777" w:rsidTr="00B307DB">
        <w:trPr>
          <w:trHeight w:val="292"/>
        </w:trPr>
        <w:tc>
          <w:tcPr>
            <w:tcW w:w="0" w:type="auto"/>
            <w:vAlign w:val="center"/>
          </w:tcPr>
          <w:p w14:paraId="2A17F46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1.1.22</w:t>
            </w:r>
          </w:p>
        </w:tc>
        <w:tc>
          <w:tcPr>
            <w:tcW w:w="0" w:type="auto"/>
            <w:vAlign w:val="center"/>
          </w:tcPr>
          <w:p w14:paraId="7408020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e-Comunica</w:t>
            </w:r>
          </w:p>
        </w:tc>
        <w:tc>
          <w:tcPr>
            <w:tcW w:w="1012" w:type="dxa"/>
            <w:vAlign w:val="center"/>
          </w:tcPr>
          <w:p w14:paraId="72420AD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AA6237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02AC1601"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ED4E28E"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3089B726" w14:textId="77777777" w:rsidTr="00B307DB">
        <w:trPr>
          <w:trHeight w:val="292"/>
        </w:trPr>
        <w:tc>
          <w:tcPr>
            <w:tcW w:w="0" w:type="auto"/>
            <w:vAlign w:val="center"/>
          </w:tcPr>
          <w:p w14:paraId="0409FD0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1.1.23</w:t>
            </w:r>
          </w:p>
        </w:tc>
        <w:tc>
          <w:tcPr>
            <w:tcW w:w="0" w:type="auto"/>
            <w:vAlign w:val="center"/>
          </w:tcPr>
          <w:p w14:paraId="0E3DB01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Portal de Autoatendimento</w:t>
            </w:r>
          </w:p>
        </w:tc>
        <w:tc>
          <w:tcPr>
            <w:tcW w:w="1012" w:type="dxa"/>
            <w:vAlign w:val="center"/>
          </w:tcPr>
          <w:p w14:paraId="6F99506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7AF38E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827689C"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2AE50F53"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4400DE7E" w14:textId="77777777" w:rsidTr="00B307DB">
        <w:trPr>
          <w:trHeight w:val="292"/>
        </w:trPr>
        <w:tc>
          <w:tcPr>
            <w:tcW w:w="0" w:type="auto"/>
            <w:vAlign w:val="center"/>
          </w:tcPr>
          <w:p w14:paraId="2E43F80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1.1.24</w:t>
            </w:r>
          </w:p>
        </w:tc>
        <w:tc>
          <w:tcPr>
            <w:tcW w:w="0" w:type="auto"/>
            <w:vAlign w:val="center"/>
          </w:tcPr>
          <w:p w14:paraId="008F32D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Portal da Transparência</w:t>
            </w:r>
          </w:p>
        </w:tc>
        <w:tc>
          <w:tcPr>
            <w:tcW w:w="1012" w:type="dxa"/>
            <w:vAlign w:val="center"/>
          </w:tcPr>
          <w:p w14:paraId="109DECC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15902D4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7261CF3"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6C318D26"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1F90F327" w14:textId="77777777" w:rsidTr="00B307DB">
        <w:trPr>
          <w:trHeight w:val="292"/>
        </w:trPr>
        <w:tc>
          <w:tcPr>
            <w:tcW w:w="0" w:type="auto"/>
            <w:vAlign w:val="center"/>
          </w:tcPr>
          <w:p w14:paraId="706472F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1.1.25</w:t>
            </w:r>
          </w:p>
        </w:tc>
        <w:tc>
          <w:tcPr>
            <w:tcW w:w="0" w:type="auto"/>
            <w:vAlign w:val="center"/>
          </w:tcPr>
          <w:p w14:paraId="589C77B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Portal institucional</w:t>
            </w:r>
          </w:p>
        </w:tc>
        <w:tc>
          <w:tcPr>
            <w:tcW w:w="1012" w:type="dxa"/>
            <w:vAlign w:val="center"/>
          </w:tcPr>
          <w:p w14:paraId="05A910E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1FB3A7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5DFE2C43"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7AF4E20C"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3D57C274" w14:textId="77777777" w:rsidTr="00B307DB">
        <w:trPr>
          <w:trHeight w:val="292"/>
        </w:trPr>
        <w:tc>
          <w:tcPr>
            <w:tcW w:w="0" w:type="auto"/>
            <w:vAlign w:val="center"/>
          </w:tcPr>
          <w:p w14:paraId="16CCDE5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1.1.26</w:t>
            </w:r>
          </w:p>
        </w:tc>
        <w:tc>
          <w:tcPr>
            <w:tcW w:w="0" w:type="auto"/>
            <w:vAlign w:val="center"/>
          </w:tcPr>
          <w:p w14:paraId="4C7A417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Nota Fiscal Eletrônica</w:t>
            </w:r>
          </w:p>
        </w:tc>
        <w:tc>
          <w:tcPr>
            <w:tcW w:w="1012" w:type="dxa"/>
            <w:vAlign w:val="center"/>
          </w:tcPr>
          <w:p w14:paraId="092D485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93E207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F6FE7F8"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322E92B"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256369AC" w14:textId="77777777" w:rsidTr="00B307DB">
        <w:trPr>
          <w:trHeight w:val="292"/>
        </w:trPr>
        <w:tc>
          <w:tcPr>
            <w:tcW w:w="0" w:type="auto"/>
            <w:vAlign w:val="center"/>
          </w:tcPr>
          <w:p w14:paraId="6ACBBFF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1.1.27</w:t>
            </w:r>
          </w:p>
        </w:tc>
        <w:tc>
          <w:tcPr>
            <w:tcW w:w="0" w:type="auto"/>
            <w:vAlign w:val="center"/>
          </w:tcPr>
          <w:p w14:paraId="258F7EA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Escrita Fiscal</w:t>
            </w:r>
          </w:p>
        </w:tc>
        <w:tc>
          <w:tcPr>
            <w:tcW w:w="1012" w:type="dxa"/>
            <w:vAlign w:val="center"/>
          </w:tcPr>
          <w:p w14:paraId="0CFAC17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ADD6C5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6B922B95"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619ED522"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00447B9A" w14:textId="77777777" w:rsidTr="00B307DB">
        <w:trPr>
          <w:trHeight w:val="292"/>
        </w:trPr>
        <w:tc>
          <w:tcPr>
            <w:tcW w:w="0" w:type="auto"/>
            <w:vAlign w:val="center"/>
          </w:tcPr>
          <w:p w14:paraId="71D9A9A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1.1.28</w:t>
            </w:r>
          </w:p>
        </w:tc>
        <w:tc>
          <w:tcPr>
            <w:tcW w:w="0" w:type="auto"/>
            <w:vAlign w:val="center"/>
          </w:tcPr>
          <w:p w14:paraId="464F228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Simples Nacional</w:t>
            </w:r>
          </w:p>
        </w:tc>
        <w:tc>
          <w:tcPr>
            <w:tcW w:w="1012" w:type="dxa"/>
            <w:vAlign w:val="center"/>
          </w:tcPr>
          <w:p w14:paraId="64ED207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803334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2DD2C731"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0A3076A6"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4C513E96" w14:textId="77777777" w:rsidTr="00B307DB">
        <w:trPr>
          <w:trHeight w:val="292"/>
        </w:trPr>
        <w:tc>
          <w:tcPr>
            <w:tcW w:w="0" w:type="auto"/>
            <w:vAlign w:val="center"/>
          </w:tcPr>
          <w:p w14:paraId="5E46666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1.1.29</w:t>
            </w:r>
          </w:p>
        </w:tc>
        <w:tc>
          <w:tcPr>
            <w:tcW w:w="0" w:type="auto"/>
            <w:vAlign w:val="center"/>
          </w:tcPr>
          <w:p w14:paraId="4DD2BA9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Fiscalização fazendária</w:t>
            </w:r>
          </w:p>
        </w:tc>
        <w:tc>
          <w:tcPr>
            <w:tcW w:w="1012" w:type="dxa"/>
            <w:vAlign w:val="center"/>
          </w:tcPr>
          <w:p w14:paraId="284CCD7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572C77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3F5BD2EA"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40B71FF1"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4F12670B" w14:textId="77777777" w:rsidTr="00B307DB">
        <w:trPr>
          <w:trHeight w:val="292"/>
        </w:trPr>
        <w:tc>
          <w:tcPr>
            <w:tcW w:w="0" w:type="auto"/>
            <w:vAlign w:val="center"/>
          </w:tcPr>
          <w:p w14:paraId="63DAD8C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1.1.30</w:t>
            </w:r>
          </w:p>
        </w:tc>
        <w:tc>
          <w:tcPr>
            <w:tcW w:w="0" w:type="auto"/>
            <w:vAlign w:val="center"/>
          </w:tcPr>
          <w:p w14:paraId="5DBA634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Agricultura</w:t>
            </w:r>
          </w:p>
        </w:tc>
        <w:tc>
          <w:tcPr>
            <w:tcW w:w="1012" w:type="dxa"/>
            <w:vAlign w:val="center"/>
          </w:tcPr>
          <w:p w14:paraId="527F0AE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ED2530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5C71659"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1B104D0"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0C3E50F0" w14:textId="77777777" w:rsidTr="00B307DB">
        <w:trPr>
          <w:trHeight w:val="292"/>
        </w:trPr>
        <w:tc>
          <w:tcPr>
            <w:tcW w:w="7116" w:type="dxa"/>
            <w:gridSpan w:val="4"/>
            <w:vAlign w:val="center"/>
          </w:tcPr>
          <w:p w14:paraId="1007F5C7" w14:textId="77777777" w:rsidR="00B307DB" w:rsidRPr="00D418E7" w:rsidRDefault="00B307DB" w:rsidP="00B307D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 1.1</w:t>
            </w:r>
          </w:p>
        </w:tc>
        <w:tc>
          <w:tcPr>
            <w:tcW w:w="1951" w:type="dxa"/>
            <w:gridSpan w:val="2"/>
            <w:vAlign w:val="center"/>
          </w:tcPr>
          <w:p w14:paraId="1C6C9289"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03C1F549" w14:textId="77777777" w:rsidTr="00B307DB">
        <w:trPr>
          <w:trHeight w:val="468"/>
        </w:trPr>
        <w:tc>
          <w:tcPr>
            <w:tcW w:w="9067" w:type="dxa"/>
            <w:gridSpan w:val="6"/>
            <w:vAlign w:val="center"/>
          </w:tcPr>
          <w:p w14:paraId="4DB3BF62"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b/>
              </w:rPr>
              <w:t>1.2</w:t>
            </w:r>
            <w:r>
              <w:rPr>
                <w:rFonts w:ascii="Times New Roman" w:hAnsi="Times New Roman" w:cs="Times New Roman"/>
                <w:b/>
              </w:rPr>
              <w:t xml:space="preserve"> </w:t>
            </w:r>
            <w:r w:rsidRPr="00D418E7">
              <w:rPr>
                <w:rFonts w:ascii="Times New Roman" w:hAnsi="Times New Roman" w:cs="Times New Roman"/>
                <w:b/>
              </w:rPr>
              <w:t>MÓDULOS PARA USO DO FUNDO MUNICIPAL DE SAÚDE DE RIQUEZA</w:t>
            </w:r>
          </w:p>
        </w:tc>
      </w:tr>
      <w:tr w:rsidR="00B307DB" w:rsidRPr="00D418E7" w14:paraId="6B892699" w14:textId="77777777" w:rsidTr="00B307DB">
        <w:trPr>
          <w:trHeight w:val="292"/>
        </w:trPr>
        <w:tc>
          <w:tcPr>
            <w:tcW w:w="0" w:type="auto"/>
            <w:vAlign w:val="center"/>
          </w:tcPr>
          <w:p w14:paraId="42EBAD7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1.2.1</w:t>
            </w:r>
          </w:p>
        </w:tc>
        <w:tc>
          <w:tcPr>
            <w:tcW w:w="0" w:type="auto"/>
            <w:vAlign w:val="center"/>
          </w:tcPr>
          <w:p w14:paraId="666A6DB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Planejamento e orçamento</w:t>
            </w:r>
          </w:p>
        </w:tc>
        <w:tc>
          <w:tcPr>
            <w:tcW w:w="1012" w:type="dxa"/>
            <w:vAlign w:val="center"/>
          </w:tcPr>
          <w:p w14:paraId="1BFF19B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48B137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0677AC95"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38248182"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30323137" w14:textId="77777777" w:rsidTr="00B307DB">
        <w:trPr>
          <w:trHeight w:val="292"/>
        </w:trPr>
        <w:tc>
          <w:tcPr>
            <w:tcW w:w="0" w:type="auto"/>
            <w:vAlign w:val="center"/>
          </w:tcPr>
          <w:p w14:paraId="079ABBA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1.2.2</w:t>
            </w:r>
          </w:p>
        </w:tc>
        <w:tc>
          <w:tcPr>
            <w:tcW w:w="0" w:type="auto"/>
            <w:vAlign w:val="center"/>
          </w:tcPr>
          <w:p w14:paraId="561D200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Gestão contábil e financeira</w:t>
            </w:r>
          </w:p>
        </w:tc>
        <w:tc>
          <w:tcPr>
            <w:tcW w:w="1012" w:type="dxa"/>
            <w:vAlign w:val="center"/>
          </w:tcPr>
          <w:p w14:paraId="36626EC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940B80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42E01E43"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2AF5BBCB"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6B8A421D" w14:textId="77777777" w:rsidTr="00B307DB">
        <w:trPr>
          <w:trHeight w:val="292"/>
        </w:trPr>
        <w:tc>
          <w:tcPr>
            <w:tcW w:w="0" w:type="auto"/>
            <w:vAlign w:val="center"/>
          </w:tcPr>
          <w:p w14:paraId="1096D5F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1.2.3</w:t>
            </w:r>
          </w:p>
        </w:tc>
        <w:tc>
          <w:tcPr>
            <w:tcW w:w="0" w:type="auto"/>
            <w:vAlign w:val="center"/>
          </w:tcPr>
          <w:p w14:paraId="059BF79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Gestão de compras, licitações e contratos</w:t>
            </w:r>
          </w:p>
        </w:tc>
        <w:tc>
          <w:tcPr>
            <w:tcW w:w="1012" w:type="dxa"/>
            <w:vAlign w:val="center"/>
          </w:tcPr>
          <w:p w14:paraId="4B75596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FF3BB8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746F0914"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62BC4404"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6ED15E07" w14:textId="77777777" w:rsidTr="00B307DB">
        <w:trPr>
          <w:trHeight w:val="292"/>
        </w:trPr>
        <w:tc>
          <w:tcPr>
            <w:tcW w:w="0" w:type="auto"/>
            <w:vAlign w:val="center"/>
          </w:tcPr>
          <w:p w14:paraId="32174B9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lastRenderedPageBreak/>
              <w:t>1.2.4</w:t>
            </w:r>
          </w:p>
        </w:tc>
        <w:tc>
          <w:tcPr>
            <w:tcW w:w="0" w:type="auto"/>
            <w:vAlign w:val="center"/>
          </w:tcPr>
          <w:p w14:paraId="42BCDA9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Folha de pagamento</w:t>
            </w:r>
          </w:p>
        </w:tc>
        <w:tc>
          <w:tcPr>
            <w:tcW w:w="1012" w:type="dxa"/>
            <w:vAlign w:val="center"/>
          </w:tcPr>
          <w:p w14:paraId="621BC0A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DBABE0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6018F9F1"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393985DE"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53C89CDA" w14:textId="77777777" w:rsidTr="00B307DB">
        <w:trPr>
          <w:trHeight w:val="292"/>
        </w:trPr>
        <w:tc>
          <w:tcPr>
            <w:tcW w:w="0" w:type="auto"/>
            <w:vAlign w:val="center"/>
          </w:tcPr>
          <w:p w14:paraId="71111E3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1.2.5</w:t>
            </w:r>
          </w:p>
        </w:tc>
        <w:tc>
          <w:tcPr>
            <w:tcW w:w="0" w:type="auto"/>
            <w:vAlign w:val="center"/>
          </w:tcPr>
          <w:p w14:paraId="38C0FE9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Segurança e medicina do trabalho</w:t>
            </w:r>
          </w:p>
        </w:tc>
        <w:tc>
          <w:tcPr>
            <w:tcW w:w="1012" w:type="dxa"/>
            <w:vAlign w:val="center"/>
          </w:tcPr>
          <w:p w14:paraId="5EF2F1B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930E38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5395CC9F"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34D7BF09"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0D39F840" w14:textId="77777777" w:rsidTr="00B307DB">
        <w:trPr>
          <w:trHeight w:val="292"/>
        </w:trPr>
        <w:tc>
          <w:tcPr>
            <w:tcW w:w="0" w:type="auto"/>
            <w:vAlign w:val="center"/>
          </w:tcPr>
          <w:p w14:paraId="5236363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1.2.6</w:t>
            </w:r>
          </w:p>
        </w:tc>
        <w:tc>
          <w:tcPr>
            <w:tcW w:w="0" w:type="auto"/>
            <w:vAlign w:val="center"/>
          </w:tcPr>
          <w:p w14:paraId="04CA4F0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Ponto Eletrônico</w:t>
            </w:r>
          </w:p>
        </w:tc>
        <w:tc>
          <w:tcPr>
            <w:tcW w:w="1012" w:type="dxa"/>
            <w:vAlign w:val="center"/>
          </w:tcPr>
          <w:p w14:paraId="60463C6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187D6C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53470281"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6637FEE1"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05AEA9E7" w14:textId="77777777" w:rsidTr="00B307DB">
        <w:trPr>
          <w:trHeight w:val="292"/>
        </w:trPr>
        <w:tc>
          <w:tcPr>
            <w:tcW w:w="7116" w:type="dxa"/>
            <w:gridSpan w:val="4"/>
            <w:vAlign w:val="center"/>
          </w:tcPr>
          <w:p w14:paraId="03F5620E" w14:textId="77777777" w:rsidR="00B307DB" w:rsidRPr="00D418E7" w:rsidRDefault="00B307DB" w:rsidP="00B307D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 1.2</w:t>
            </w:r>
          </w:p>
        </w:tc>
        <w:tc>
          <w:tcPr>
            <w:tcW w:w="1951" w:type="dxa"/>
            <w:gridSpan w:val="2"/>
            <w:vAlign w:val="center"/>
          </w:tcPr>
          <w:p w14:paraId="77BF6C67"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7EFB2C3A" w14:textId="77777777" w:rsidTr="00B307DB">
        <w:trPr>
          <w:trHeight w:val="600"/>
        </w:trPr>
        <w:tc>
          <w:tcPr>
            <w:tcW w:w="9067" w:type="dxa"/>
            <w:gridSpan w:val="6"/>
            <w:vAlign w:val="center"/>
          </w:tcPr>
          <w:p w14:paraId="18B8A769"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b/>
              </w:rPr>
              <w:t>1.3.</w:t>
            </w:r>
            <w:r>
              <w:rPr>
                <w:rFonts w:ascii="Times New Roman" w:hAnsi="Times New Roman" w:cs="Times New Roman"/>
                <w:b/>
              </w:rPr>
              <w:t xml:space="preserve"> </w:t>
            </w:r>
            <w:r w:rsidRPr="00D418E7">
              <w:rPr>
                <w:rFonts w:ascii="Times New Roman" w:hAnsi="Times New Roman" w:cs="Times New Roman"/>
                <w:b/>
              </w:rPr>
              <w:t>MÓDULOS PARA USO DA CÂMARA MUNICIPAL DE RIQUEZA</w:t>
            </w:r>
          </w:p>
        </w:tc>
      </w:tr>
      <w:tr w:rsidR="00B307DB" w:rsidRPr="00D418E7" w14:paraId="380A6D49" w14:textId="77777777" w:rsidTr="00B307DB">
        <w:trPr>
          <w:trHeight w:val="292"/>
        </w:trPr>
        <w:tc>
          <w:tcPr>
            <w:tcW w:w="0" w:type="auto"/>
            <w:vAlign w:val="center"/>
          </w:tcPr>
          <w:p w14:paraId="04DC990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1.3.1</w:t>
            </w:r>
          </w:p>
        </w:tc>
        <w:tc>
          <w:tcPr>
            <w:tcW w:w="0" w:type="auto"/>
            <w:vAlign w:val="center"/>
          </w:tcPr>
          <w:p w14:paraId="1DE80B1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Planejamento e orçamento</w:t>
            </w:r>
          </w:p>
        </w:tc>
        <w:tc>
          <w:tcPr>
            <w:tcW w:w="1012" w:type="dxa"/>
            <w:vAlign w:val="center"/>
          </w:tcPr>
          <w:p w14:paraId="69FE783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257211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439E196C"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23420D71"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798F9D80" w14:textId="77777777" w:rsidTr="00B307DB">
        <w:trPr>
          <w:trHeight w:val="292"/>
        </w:trPr>
        <w:tc>
          <w:tcPr>
            <w:tcW w:w="0" w:type="auto"/>
            <w:vAlign w:val="center"/>
          </w:tcPr>
          <w:p w14:paraId="030F5D1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1.3.2</w:t>
            </w:r>
          </w:p>
        </w:tc>
        <w:tc>
          <w:tcPr>
            <w:tcW w:w="0" w:type="auto"/>
            <w:vAlign w:val="center"/>
          </w:tcPr>
          <w:p w14:paraId="7F721CF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Gestão contábil e financeira</w:t>
            </w:r>
          </w:p>
        </w:tc>
        <w:tc>
          <w:tcPr>
            <w:tcW w:w="1012" w:type="dxa"/>
            <w:vAlign w:val="center"/>
          </w:tcPr>
          <w:p w14:paraId="57CDBD4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AE3D25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610A3E1B"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60FD8978"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5E0F7827" w14:textId="77777777" w:rsidTr="00B307DB">
        <w:trPr>
          <w:trHeight w:val="292"/>
        </w:trPr>
        <w:tc>
          <w:tcPr>
            <w:tcW w:w="0" w:type="auto"/>
            <w:vAlign w:val="center"/>
          </w:tcPr>
          <w:p w14:paraId="159A40B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1.3.3</w:t>
            </w:r>
          </w:p>
        </w:tc>
        <w:tc>
          <w:tcPr>
            <w:tcW w:w="0" w:type="auto"/>
            <w:vAlign w:val="center"/>
          </w:tcPr>
          <w:p w14:paraId="59B0B69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Controle interno</w:t>
            </w:r>
          </w:p>
        </w:tc>
        <w:tc>
          <w:tcPr>
            <w:tcW w:w="1012" w:type="dxa"/>
            <w:vAlign w:val="center"/>
          </w:tcPr>
          <w:p w14:paraId="6B5AAFF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111CF45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1ED67936"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24F4CAA9"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498E6503" w14:textId="77777777" w:rsidTr="00B307DB">
        <w:trPr>
          <w:trHeight w:val="292"/>
        </w:trPr>
        <w:tc>
          <w:tcPr>
            <w:tcW w:w="0" w:type="auto"/>
            <w:vAlign w:val="center"/>
          </w:tcPr>
          <w:p w14:paraId="12816A4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1.3.4</w:t>
            </w:r>
          </w:p>
        </w:tc>
        <w:tc>
          <w:tcPr>
            <w:tcW w:w="0" w:type="auto"/>
            <w:vAlign w:val="center"/>
          </w:tcPr>
          <w:p w14:paraId="09D7E8A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Compras e licitações</w:t>
            </w:r>
          </w:p>
        </w:tc>
        <w:tc>
          <w:tcPr>
            <w:tcW w:w="1012" w:type="dxa"/>
            <w:vAlign w:val="center"/>
          </w:tcPr>
          <w:p w14:paraId="3B05695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59A6450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5AB3205E"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24ED9589"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3F8DBA19" w14:textId="77777777" w:rsidTr="00B307DB">
        <w:trPr>
          <w:trHeight w:val="292"/>
        </w:trPr>
        <w:tc>
          <w:tcPr>
            <w:tcW w:w="0" w:type="auto"/>
            <w:vAlign w:val="center"/>
          </w:tcPr>
          <w:p w14:paraId="76C5FF6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1.3.5</w:t>
            </w:r>
          </w:p>
        </w:tc>
        <w:tc>
          <w:tcPr>
            <w:tcW w:w="0" w:type="auto"/>
            <w:vAlign w:val="center"/>
          </w:tcPr>
          <w:p w14:paraId="24E4E28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Almoxarifado</w:t>
            </w:r>
          </w:p>
        </w:tc>
        <w:tc>
          <w:tcPr>
            <w:tcW w:w="1012" w:type="dxa"/>
            <w:vAlign w:val="center"/>
          </w:tcPr>
          <w:p w14:paraId="7BD3E8B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B93250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27010751"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6D826C9D"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457A2FBA" w14:textId="77777777" w:rsidTr="00B307DB">
        <w:trPr>
          <w:trHeight w:val="292"/>
        </w:trPr>
        <w:tc>
          <w:tcPr>
            <w:tcW w:w="0" w:type="auto"/>
            <w:vAlign w:val="center"/>
          </w:tcPr>
          <w:p w14:paraId="3B291CA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1.3.6</w:t>
            </w:r>
          </w:p>
        </w:tc>
        <w:tc>
          <w:tcPr>
            <w:tcW w:w="0" w:type="auto"/>
            <w:vAlign w:val="center"/>
          </w:tcPr>
          <w:p w14:paraId="333E49F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Patrimônio</w:t>
            </w:r>
          </w:p>
        </w:tc>
        <w:tc>
          <w:tcPr>
            <w:tcW w:w="1012" w:type="dxa"/>
            <w:vAlign w:val="center"/>
          </w:tcPr>
          <w:p w14:paraId="77A8E4F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563EBB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0555756A"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3A861902"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79CCECD1" w14:textId="77777777" w:rsidTr="00B307DB">
        <w:trPr>
          <w:trHeight w:val="292"/>
        </w:trPr>
        <w:tc>
          <w:tcPr>
            <w:tcW w:w="0" w:type="auto"/>
            <w:vAlign w:val="center"/>
          </w:tcPr>
          <w:p w14:paraId="7B85CFC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1.3.7</w:t>
            </w:r>
          </w:p>
        </w:tc>
        <w:tc>
          <w:tcPr>
            <w:tcW w:w="0" w:type="auto"/>
            <w:vAlign w:val="center"/>
          </w:tcPr>
          <w:p w14:paraId="578103F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Folha de Pagamento</w:t>
            </w:r>
          </w:p>
        </w:tc>
        <w:tc>
          <w:tcPr>
            <w:tcW w:w="1012" w:type="dxa"/>
            <w:vAlign w:val="center"/>
          </w:tcPr>
          <w:p w14:paraId="0B832D7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2743AA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7FFAB4EA"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4FFB6134"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597BB164" w14:textId="77777777" w:rsidTr="00B307DB">
        <w:trPr>
          <w:trHeight w:val="292"/>
        </w:trPr>
        <w:tc>
          <w:tcPr>
            <w:tcW w:w="0" w:type="auto"/>
            <w:vAlign w:val="center"/>
          </w:tcPr>
          <w:p w14:paraId="45A6017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1.3.8</w:t>
            </w:r>
          </w:p>
        </w:tc>
        <w:tc>
          <w:tcPr>
            <w:tcW w:w="0" w:type="auto"/>
            <w:vAlign w:val="center"/>
          </w:tcPr>
          <w:p w14:paraId="0C930FA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Segurança e Medicina do Trabalho</w:t>
            </w:r>
          </w:p>
        </w:tc>
        <w:tc>
          <w:tcPr>
            <w:tcW w:w="1012" w:type="dxa"/>
            <w:vAlign w:val="center"/>
          </w:tcPr>
          <w:p w14:paraId="00CCDA0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4DD42BC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5F9F91AF"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07A4D493"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1A19863A" w14:textId="77777777" w:rsidTr="00B307DB">
        <w:trPr>
          <w:trHeight w:val="292"/>
        </w:trPr>
        <w:tc>
          <w:tcPr>
            <w:tcW w:w="0" w:type="auto"/>
            <w:vAlign w:val="center"/>
          </w:tcPr>
          <w:p w14:paraId="795126B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1.3.9</w:t>
            </w:r>
          </w:p>
        </w:tc>
        <w:tc>
          <w:tcPr>
            <w:tcW w:w="0" w:type="auto"/>
            <w:vAlign w:val="center"/>
          </w:tcPr>
          <w:p w14:paraId="3946143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Ponto Eletrônico</w:t>
            </w:r>
          </w:p>
        </w:tc>
        <w:tc>
          <w:tcPr>
            <w:tcW w:w="1012" w:type="dxa"/>
            <w:vAlign w:val="center"/>
          </w:tcPr>
          <w:p w14:paraId="5082599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3B31CD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79664609"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6399B09E"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4FD84AEC" w14:textId="77777777" w:rsidTr="00B307DB">
        <w:trPr>
          <w:trHeight w:val="292"/>
        </w:trPr>
        <w:tc>
          <w:tcPr>
            <w:tcW w:w="0" w:type="auto"/>
            <w:vAlign w:val="center"/>
          </w:tcPr>
          <w:p w14:paraId="603F16F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1.3.10</w:t>
            </w:r>
          </w:p>
        </w:tc>
        <w:tc>
          <w:tcPr>
            <w:tcW w:w="0" w:type="auto"/>
            <w:vAlign w:val="center"/>
          </w:tcPr>
          <w:p w14:paraId="6F60EEE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color w:val="000000"/>
              </w:rPr>
              <w:t>Portal da Transparência</w:t>
            </w:r>
          </w:p>
        </w:tc>
        <w:tc>
          <w:tcPr>
            <w:tcW w:w="1012" w:type="dxa"/>
            <w:vAlign w:val="center"/>
          </w:tcPr>
          <w:p w14:paraId="74B9E05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19E0744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tcPr>
          <w:p w14:paraId="52DA69D7" w14:textId="77777777" w:rsidR="00B307DB" w:rsidRPr="00D418E7" w:rsidRDefault="00B307DB" w:rsidP="00B307DB">
            <w:pPr>
              <w:spacing w:after="0" w:line="240" w:lineRule="auto"/>
              <w:ind w:right="141"/>
              <w:jc w:val="both"/>
              <w:rPr>
                <w:rFonts w:ascii="Times New Roman" w:hAnsi="Times New Roman" w:cs="Times New Roman"/>
              </w:rPr>
            </w:pPr>
          </w:p>
        </w:tc>
        <w:tc>
          <w:tcPr>
            <w:tcW w:w="992" w:type="dxa"/>
          </w:tcPr>
          <w:p w14:paraId="201B3BF8"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0CFFE5FF" w14:textId="77777777" w:rsidTr="00B307DB">
        <w:trPr>
          <w:trHeight w:val="292"/>
        </w:trPr>
        <w:tc>
          <w:tcPr>
            <w:tcW w:w="7116" w:type="dxa"/>
            <w:gridSpan w:val="4"/>
            <w:vAlign w:val="center"/>
          </w:tcPr>
          <w:p w14:paraId="37BF118F" w14:textId="77777777" w:rsidR="00B307DB" w:rsidRPr="00D418E7" w:rsidRDefault="00B307DB" w:rsidP="00B307D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 1.3</w:t>
            </w:r>
          </w:p>
        </w:tc>
        <w:tc>
          <w:tcPr>
            <w:tcW w:w="1951" w:type="dxa"/>
            <w:gridSpan w:val="2"/>
            <w:vAlign w:val="center"/>
          </w:tcPr>
          <w:p w14:paraId="38115BEA"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0548503B" w14:textId="77777777" w:rsidTr="00B307DB">
        <w:trPr>
          <w:trHeight w:val="430"/>
        </w:trPr>
        <w:tc>
          <w:tcPr>
            <w:tcW w:w="9067" w:type="dxa"/>
            <w:gridSpan w:val="6"/>
            <w:vAlign w:val="center"/>
          </w:tcPr>
          <w:p w14:paraId="50270DC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1.4</w:t>
            </w:r>
            <w:r>
              <w:rPr>
                <w:rFonts w:ascii="Times New Roman" w:hAnsi="Times New Roman" w:cs="Times New Roman"/>
                <w:b/>
              </w:rPr>
              <w:t xml:space="preserve"> </w:t>
            </w:r>
            <w:r w:rsidRPr="00D418E7">
              <w:rPr>
                <w:rFonts w:ascii="Times New Roman" w:hAnsi="Times New Roman" w:cs="Times New Roman"/>
                <w:b/>
              </w:rPr>
              <w:t>MÓDULOS PARA USO SECRETARIA DE SAÚDE</w:t>
            </w:r>
          </w:p>
        </w:tc>
      </w:tr>
      <w:tr w:rsidR="00B307DB" w:rsidRPr="00D418E7" w14:paraId="550081A6" w14:textId="77777777" w:rsidTr="00B307DB">
        <w:trPr>
          <w:trHeight w:val="301"/>
        </w:trPr>
        <w:tc>
          <w:tcPr>
            <w:tcW w:w="0" w:type="auto"/>
            <w:vAlign w:val="center"/>
          </w:tcPr>
          <w:p w14:paraId="423A9F1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1.4.1</w:t>
            </w:r>
          </w:p>
        </w:tc>
        <w:tc>
          <w:tcPr>
            <w:tcW w:w="0" w:type="auto"/>
            <w:vAlign w:val="center"/>
          </w:tcPr>
          <w:p w14:paraId="5DF6A713" w14:textId="77777777" w:rsidR="00B307DB" w:rsidRPr="00AC5B18" w:rsidRDefault="00B307DB" w:rsidP="00B307D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Gestão da Saúde (Cadastros nacionais)</w:t>
            </w:r>
          </w:p>
        </w:tc>
        <w:tc>
          <w:tcPr>
            <w:tcW w:w="1012" w:type="dxa"/>
            <w:vAlign w:val="center"/>
          </w:tcPr>
          <w:p w14:paraId="5A745CB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D14D58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634FA295"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011D1D7A"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05CDF443" w14:textId="77777777" w:rsidTr="00B307DB">
        <w:trPr>
          <w:trHeight w:val="301"/>
        </w:trPr>
        <w:tc>
          <w:tcPr>
            <w:tcW w:w="0" w:type="auto"/>
            <w:vAlign w:val="center"/>
          </w:tcPr>
          <w:p w14:paraId="0F7A9D38" w14:textId="77777777" w:rsidR="00B307DB" w:rsidRPr="00AC5B18" w:rsidRDefault="00B307DB" w:rsidP="00B307DB">
            <w:pPr>
              <w:spacing w:after="0" w:line="240" w:lineRule="auto"/>
              <w:ind w:right="141"/>
              <w:jc w:val="both"/>
              <w:rPr>
                <w:rFonts w:ascii="Times New Roman" w:hAnsi="Times New Roman" w:cs="Times New Roman"/>
                <w:b/>
              </w:rPr>
            </w:pPr>
            <w:r w:rsidRPr="00AC5B18">
              <w:rPr>
                <w:rFonts w:ascii="Times New Roman" w:hAnsi="Times New Roman" w:cs="Times New Roman"/>
                <w:b/>
              </w:rPr>
              <w:t>1.4.2</w:t>
            </w:r>
          </w:p>
        </w:tc>
        <w:tc>
          <w:tcPr>
            <w:tcW w:w="0" w:type="auto"/>
            <w:vAlign w:val="center"/>
          </w:tcPr>
          <w:p w14:paraId="6DEE1919" w14:textId="77777777" w:rsidR="00B307DB" w:rsidRPr="00AC5B18" w:rsidRDefault="00B307DB" w:rsidP="00B307D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Faturamento (Faturamento, TFT, AIH, APAC)</w:t>
            </w:r>
          </w:p>
        </w:tc>
        <w:tc>
          <w:tcPr>
            <w:tcW w:w="1012" w:type="dxa"/>
            <w:vAlign w:val="center"/>
          </w:tcPr>
          <w:p w14:paraId="6245D74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2C60C11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6DC8AB1"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25C15B07"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64A78703" w14:textId="77777777" w:rsidTr="00B307DB">
        <w:trPr>
          <w:trHeight w:val="301"/>
        </w:trPr>
        <w:tc>
          <w:tcPr>
            <w:tcW w:w="0" w:type="auto"/>
            <w:vAlign w:val="center"/>
          </w:tcPr>
          <w:p w14:paraId="49206437" w14:textId="77777777" w:rsidR="00B307DB" w:rsidRPr="00D418E7" w:rsidRDefault="00B307DB" w:rsidP="00B307DB">
            <w:pPr>
              <w:spacing w:after="0" w:line="240" w:lineRule="auto"/>
              <w:ind w:right="141"/>
              <w:jc w:val="both"/>
              <w:rPr>
                <w:rFonts w:ascii="Times New Roman" w:hAnsi="Times New Roman" w:cs="Times New Roman"/>
                <w:b/>
              </w:rPr>
            </w:pPr>
            <w:r>
              <w:rPr>
                <w:rFonts w:ascii="Times New Roman" w:hAnsi="Times New Roman" w:cs="Times New Roman"/>
                <w:b/>
              </w:rPr>
              <w:t>1.4.3</w:t>
            </w:r>
          </w:p>
        </w:tc>
        <w:tc>
          <w:tcPr>
            <w:tcW w:w="0" w:type="auto"/>
            <w:vAlign w:val="center"/>
          </w:tcPr>
          <w:p w14:paraId="7AB15C75" w14:textId="77777777" w:rsidR="00B307DB" w:rsidRPr="00AC5B18" w:rsidRDefault="00B307DB" w:rsidP="00B307D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Atenção Primaria (E-SUS AB, Imunizações, ACS Mobile Ofline)</w:t>
            </w:r>
          </w:p>
        </w:tc>
        <w:tc>
          <w:tcPr>
            <w:tcW w:w="1012" w:type="dxa"/>
            <w:vAlign w:val="center"/>
          </w:tcPr>
          <w:p w14:paraId="0134E37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6507733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69DD0D01"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6048D1DA"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568271B0" w14:textId="77777777" w:rsidTr="00B307DB">
        <w:trPr>
          <w:trHeight w:val="301"/>
        </w:trPr>
        <w:tc>
          <w:tcPr>
            <w:tcW w:w="0" w:type="auto"/>
            <w:vAlign w:val="center"/>
          </w:tcPr>
          <w:p w14:paraId="09F370BC" w14:textId="77777777" w:rsidR="00B307DB" w:rsidRPr="00D418E7" w:rsidRDefault="00B307DB" w:rsidP="00B307DB">
            <w:pPr>
              <w:spacing w:after="0" w:line="240" w:lineRule="auto"/>
              <w:ind w:right="141"/>
              <w:jc w:val="both"/>
              <w:rPr>
                <w:rFonts w:ascii="Times New Roman" w:hAnsi="Times New Roman" w:cs="Times New Roman"/>
                <w:b/>
              </w:rPr>
            </w:pPr>
            <w:r>
              <w:rPr>
                <w:rFonts w:ascii="Times New Roman" w:hAnsi="Times New Roman" w:cs="Times New Roman"/>
                <w:b/>
              </w:rPr>
              <w:t>1.4.4</w:t>
            </w:r>
          </w:p>
        </w:tc>
        <w:tc>
          <w:tcPr>
            <w:tcW w:w="0" w:type="auto"/>
            <w:vAlign w:val="center"/>
          </w:tcPr>
          <w:p w14:paraId="5B388C53" w14:textId="77777777" w:rsidR="00B307DB" w:rsidRPr="00AC5B18" w:rsidRDefault="00B307DB" w:rsidP="00B307D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Assistência à Saúde (Ambulatório, prontuário médico, Prontuário Odontológico)</w:t>
            </w:r>
          </w:p>
        </w:tc>
        <w:tc>
          <w:tcPr>
            <w:tcW w:w="1012" w:type="dxa"/>
            <w:vAlign w:val="center"/>
          </w:tcPr>
          <w:p w14:paraId="236C368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975965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7F165123"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633A660"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77806B19" w14:textId="77777777" w:rsidTr="00B307DB">
        <w:trPr>
          <w:trHeight w:val="301"/>
        </w:trPr>
        <w:tc>
          <w:tcPr>
            <w:tcW w:w="0" w:type="auto"/>
            <w:vAlign w:val="center"/>
          </w:tcPr>
          <w:p w14:paraId="65504B58" w14:textId="77777777" w:rsidR="00B307DB" w:rsidRPr="00D418E7" w:rsidRDefault="00B307DB" w:rsidP="00B307DB">
            <w:pPr>
              <w:spacing w:after="0" w:line="240" w:lineRule="auto"/>
              <w:ind w:right="141"/>
              <w:jc w:val="both"/>
              <w:rPr>
                <w:rFonts w:ascii="Times New Roman" w:hAnsi="Times New Roman" w:cs="Times New Roman"/>
                <w:b/>
              </w:rPr>
            </w:pPr>
            <w:r>
              <w:rPr>
                <w:rFonts w:ascii="Times New Roman" w:hAnsi="Times New Roman" w:cs="Times New Roman"/>
                <w:b/>
              </w:rPr>
              <w:t>1.4.5</w:t>
            </w:r>
          </w:p>
        </w:tc>
        <w:tc>
          <w:tcPr>
            <w:tcW w:w="0" w:type="auto"/>
            <w:vAlign w:val="center"/>
          </w:tcPr>
          <w:p w14:paraId="54676A13" w14:textId="77777777" w:rsidR="00B307DB" w:rsidRPr="00AC5B18" w:rsidRDefault="00B307DB" w:rsidP="00B307D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Assistência Farmacêutica (Farmácia)</w:t>
            </w:r>
          </w:p>
        </w:tc>
        <w:tc>
          <w:tcPr>
            <w:tcW w:w="1012" w:type="dxa"/>
            <w:vAlign w:val="center"/>
          </w:tcPr>
          <w:p w14:paraId="1E5D457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7B3E31D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1C0B79AD"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7F479086"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7E3F05C6" w14:textId="77777777" w:rsidTr="00B307DB">
        <w:trPr>
          <w:trHeight w:val="301"/>
        </w:trPr>
        <w:tc>
          <w:tcPr>
            <w:tcW w:w="0" w:type="auto"/>
            <w:vAlign w:val="center"/>
          </w:tcPr>
          <w:p w14:paraId="14999931" w14:textId="77777777" w:rsidR="00B307DB" w:rsidRPr="00D418E7" w:rsidRDefault="00B307DB" w:rsidP="00B307DB">
            <w:pPr>
              <w:spacing w:after="0" w:line="240" w:lineRule="auto"/>
              <w:ind w:right="141"/>
              <w:jc w:val="both"/>
              <w:rPr>
                <w:rFonts w:ascii="Times New Roman" w:hAnsi="Times New Roman" w:cs="Times New Roman"/>
                <w:b/>
              </w:rPr>
            </w:pPr>
            <w:r>
              <w:rPr>
                <w:rFonts w:ascii="Times New Roman" w:hAnsi="Times New Roman" w:cs="Times New Roman"/>
                <w:b/>
              </w:rPr>
              <w:t>1.4.6</w:t>
            </w:r>
          </w:p>
        </w:tc>
        <w:tc>
          <w:tcPr>
            <w:tcW w:w="0" w:type="auto"/>
            <w:vAlign w:val="center"/>
          </w:tcPr>
          <w:p w14:paraId="6396B10F" w14:textId="77777777" w:rsidR="00B307DB" w:rsidRPr="00AC5B18" w:rsidRDefault="00B307DB" w:rsidP="00B307DB">
            <w:pPr>
              <w:spacing w:after="0" w:line="240" w:lineRule="auto"/>
              <w:ind w:right="141"/>
              <w:jc w:val="both"/>
              <w:rPr>
                <w:rFonts w:ascii="Times New Roman" w:hAnsi="Times New Roman" w:cs="Times New Roman"/>
              </w:rPr>
            </w:pPr>
            <w:r w:rsidRPr="00AC5B18">
              <w:rPr>
                <w:rFonts w:ascii="Times New Roman" w:hAnsi="Times New Roman" w:cs="Times New Roman"/>
                <w:color w:val="000000"/>
              </w:rPr>
              <w:t>Diagnóstico (Radiodiagnóstico, Laboratório, Ecografia, Interfaceamento com laboratórios)</w:t>
            </w:r>
          </w:p>
        </w:tc>
        <w:tc>
          <w:tcPr>
            <w:tcW w:w="1012" w:type="dxa"/>
            <w:vAlign w:val="center"/>
          </w:tcPr>
          <w:p w14:paraId="2713787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3102772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46A10268"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29E62C52"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49FC6BA9" w14:textId="77777777" w:rsidTr="00B307DB">
        <w:trPr>
          <w:trHeight w:val="301"/>
        </w:trPr>
        <w:tc>
          <w:tcPr>
            <w:tcW w:w="7116" w:type="dxa"/>
            <w:gridSpan w:val="4"/>
            <w:vAlign w:val="center"/>
          </w:tcPr>
          <w:p w14:paraId="52CD81C7" w14:textId="77777777" w:rsidR="00B307DB" w:rsidRPr="00D418E7" w:rsidRDefault="00B307DB" w:rsidP="00B307D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subitem1.4</w:t>
            </w:r>
          </w:p>
        </w:tc>
        <w:tc>
          <w:tcPr>
            <w:tcW w:w="1951" w:type="dxa"/>
            <w:gridSpan w:val="2"/>
            <w:vAlign w:val="center"/>
          </w:tcPr>
          <w:p w14:paraId="30F88B1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w:t>
            </w:r>
          </w:p>
        </w:tc>
      </w:tr>
      <w:tr w:rsidR="00B307DB" w:rsidRPr="00D418E7" w14:paraId="6AF09E89" w14:textId="77777777" w:rsidTr="00B307DB">
        <w:trPr>
          <w:trHeight w:val="301"/>
        </w:trPr>
        <w:tc>
          <w:tcPr>
            <w:tcW w:w="9067" w:type="dxa"/>
            <w:gridSpan w:val="6"/>
            <w:vAlign w:val="center"/>
          </w:tcPr>
          <w:p w14:paraId="73BB13B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1.5</w:t>
            </w:r>
            <w:r>
              <w:rPr>
                <w:rFonts w:ascii="Times New Roman" w:hAnsi="Times New Roman" w:cs="Times New Roman"/>
                <w:b/>
              </w:rPr>
              <w:t xml:space="preserve"> </w:t>
            </w:r>
            <w:r w:rsidRPr="00D418E7">
              <w:rPr>
                <w:rFonts w:ascii="Times New Roman" w:hAnsi="Times New Roman" w:cs="Times New Roman"/>
                <w:b/>
              </w:rPr>
              <w:t>MÓDULOS PARA USO SECRETARIA DE EDUCAÇÃO</w:t>
            </w:r>
          </w:p>
        </w:tc>
      </w:tr>
      <w:tr w:rsidR="00B307DB" w:rsidRPr="00D418E7" w14:paraId="50B59D28" w14:textId="77777777" w:rsidTr="00B307DB">
        <w:trPr>
          <w:trHeight w:val="301"/>
        </w:trPr>
        <w:tc>
          <w:tcPr>
            <w:tcW w:w="0" w:type="auto"/>
            <w:vAlign w:val="center"/>
          </w:tcPr>
          <w:p w14:paraId="2BFED13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1.5.1</w:t>
            </w:r>
          </w:p>
        </w:tc>
        <w:tc>
          <w:tcPr>
            <w:tcW w:w="0" w:type="auto"/>
            <w:vAlign w:val="center"/>
          </w:tcPr>
          <w:p w14:paraId="69AC6CDD" w14:textId="77777777" w:rsidR="00B307DB" w:rsidRPr="002174DD" w:rsidRDefault="00B307DB" w:rsidP="00B307DB">
            <w:pPr>
              <w:spacing w:after="0" w:line="240" w:lineRule="auto"/>
              <w:ind w:right="141"/>
              <w:jc w:val="both"/>
              <w:rPr>
                <w:rFonts w:ascii="Times New Roman" w:hAnsi="Times New Roman" w:cs="Times New Roman"/>
              </w:rPr>
            </w:pPr>
            <w:r w:rsidRPr="002174DD">
              <w:rPr>
                <w:rFonts w:ascii="Times New Roman" w:hAnsi="Times New Roman" w:cs="Times New Roman"/>
                <w:color w:val="000000"/>
              </w:rPr>
              <w:t>Gestão da Educação (Gestão Administrativa Escolar, Gestão Calendário Escolar, Gestão Pedagógica, Secretaria escolar, Gestão do Professor)</w:t>
            </w:r>
          </w:p>
        </w:tc>
        <w:tc>
          <w:tcPr>
            <w:tcW w:w="1012" w:type="dxa"/>
            <w:vAlign w:val="center"/>
          </w:tcPr>
          <w:p w14:paraId="16D9443D"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rPr>
              <w:t>12</w:t>
            </w:r>
          </w:p>
        </w:tc>
        <w:tc>
          <w:tcPr>
            <w:tcW w:w="884" w:type="dxa"/>
            <w:vAlign w:val="center"/>
          </w:tcPr>
          <w:p w14:paraId="281B857E"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rPr>
              <w:t>Meses</w:t>
            </w:r>
          </w:p>
        </w:tc>
        <w:tc>
          <w:tcPr>
            <w:tcW w:w="959" w:type="dxa"/>
            <w:vAlign w:val="center"/>
          </w:tcPr>
          <w:p w14:paraId="42DD087E"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349B9BD2"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315D9AF9" w14:textId="77777777" w:rsidTr="00B307DB">
        <w:trPr>
          <w:trHeight w:val="301"/>
        </w:trPr>
        <w:tc>
          <w:tcPr>
            <w:tcW w:w="0" w:type="auto"/>
            <w:vAlign w:val="center"/>
          </w:tcPr>
          <w:p w14:paraId="625AE783" w14:textId="77777777" w:rsidR="00B307DB" w:rsidRPr="00D418E7" w:rsidRDefault="00B307DB" w:rsidP="00B307DB">
            <w:pPr>
              <w:spacing w:after="0" w:line="240" w:lineRule="auto"/>
              <w:ind w:right="141"/>
              <w:jc w:val="both"/>
              <w:rPr>
                <w:rFonts w:ascii="Times New Roman" w:hAnsi="Times New Roman" w:cs="Times New Roman"/>
                <w:b/>
              </w:rPr>
            </w:pPr>
            <w:r>
              <w:rPr>
                <w:rFonts w:ascii="Times New Roman" w:hAnsi="Times New Roman" w:cs="Times New Roman"/>
                <w:b/>
              </w:rPr>
              <w:t>1.5.2</w:t>
            </w:r>
          </w:p>
        </w:tc>
        <w:tc>
          <w:tcPr>
            <w:tcW w:w="0" w:type="auto"/>
            <w:vAlign w:val="center"/>
          </w:tcPr>
          <w:p w14:paraId="54708094" w14:textId="77777777" w:rsidR="00B307DB" w:rsidRPr="002174DD" w:rsidRDefault="00B307DB" w:rsidP="00B307DB">
            <w:pPr>
              <w:spacing w:after="0" w:line="240" w:lineRule="auto"/>
              <w:ind w:right="141"/>
              <w:jc w:val="both"/>
              <w:rPr>
                <w:rFonts w:ascii="Times New Roman" w:hAnsi="Times New Roman" w:cs="Times New Roman"/>
              </w:rPr>
            </w:pPr>
            <w:r w:rsidRPr="002174DD">
              <w:rPr>
                <w:rFonts w:ascii="Times New Roman" w:hAnsi="Times New Roman" w:cs="Times New Roman"/>
                <w:color w:val="000000"/>
              </w:rPr>
              <w:t xml:space="preserve">Censo Escolar </w:t>
            </w:r>
          </w:p>
        </w:tc>
        <w:tc>
          <w:tcPr>
            <w:tcW w:w="1012" w:type="dxa"/>
            <w:vAlign w:val="center"/>
          </w:tcPr>
          <w:p w14:paraId="7B018E7F"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rPr>
              <w:t>12</w:t>
            </w:r>
          </w:p>
        </w:tc>
        <w:tc>
          <w:tcPr>
            <w:tcW w:w="884" w:type="dxa"/>
            <w:vAlign w:val="center"/>
          </w:tcPr>
          <w:p w14:paraId="05C48B16"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rPr>
              <w:t>Meses</w:t>
            </w:r>
          </w:p>
        </w:tc>
        <w:tc>
          <w:tcPr>
            <w:tcW w:w="959" w:type="dxa"/>
            <w:vAlign w:val="center"/>
          </w:tcPr>
          <w:p w14:paraId="601882AA"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27598C06"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0508E744" w14:textId="77777777" w:rsidTr="00B307DB">
        <w:trPr>
          <w:trHeight w:val="301"/>
        </w:trPr>
        <w:tc>
          <w:tcPr>
            <w:tcW w:w="0" w:type="auto"/>
            <w:vAlign w:val="center"/>
          </w:tcPr>
          <w:p w14:paraId="6F0EFF4C" w14:textId="77777777" w:rsidR="00B307DB" w:rsidRPr="00D418E7" w:rsidRDefault="00B307DB" w:rsidP="00B307DB">
            <w:pPr>
              <w:spacing w:after="0" w:line="240" w:lineRule="auto"/>
              <w:ind w:right="141"/>
              <w:jc w:val="both"/>
              <w:rPr>
                <w:rFonts w:ascii="Times New Roman" w:hAnsi="Times New Roman" w:cs="Times New Roman"/>
                <w:b/>
              </w:rPr>
            </w:pPr>
            <w:r>
              <w:rPr>
                <w:rFonts w:ascii="Times New Roman" w:hAnsi="Times New Roman" w:cs="Times New Roman"/>
                <w:b/>
              </w:rPr>
              <w:t>1.5.3</w:t>
            </w:r>
          </w:p>
        </w:tc>
        <w:tc>
          <w:tcPr>
            <w:tcW w:w="0" w:type="auto"/>
            <w:vAlign w:val="center"/>
          </w:tcPr>
          <w:p w14:paraId="2D64F355" w14:textId="77777777" w:rsidR="00B307DB" w:rsidRPr="002174DD" w:rsidRDefault="00B307DB" w:rsidP="00B307DB">
            <w:pPr>
              <w:spacing w:after="0" w:line="240" w:lineRule="auto"/>
              <w:ind w:right="141"/>
              <w:jc w:val="both"/>
              <w:rPr>
                <w:rFonts w:ascii="Times New Roman" w:hAnsi="Times New Roman" w:cs="Times New Roman"/>
              </w:rPr>
            </w:pPr>
            <w:r w:rsidRPr="002174DD">
              <w:rPr>
                <w:rFonts w:ascii="Times New Roman" w:hAnsi="Times New Roman" w:cs="Times New Roman"/>
                <w:color w:val="000000"/>
              </w:rPr>
              <w:t>Transporte Escolar</w:t>
            </w:r>
          </w:p>
        </w:tc>
        <w:tc>
          <w:tcPr>
            <w:tcW w:w="1012" w:type="dxa"/>
            <w:vAlign w:val="center"/>
          </w:tcPr>
          <w:p w14:paraId="14D7CCF0"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rPr>
              <w:t>12</w:t>
            </w:r>
          </w:p>
        </w:tc>
        <w:tc>
          <w:tcPr>
            <w:tcW w:w="884" w:type="dxa"/>
            <w:vAlign w:val="center"/>
          </w:tcPr>
          <w:p w14:paraId="35DDCA7C"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rPr>
              <w:t>Meses</w:t>
            </w:r>
          </w:p>
        </w:tc>
        <w:tc>
          <w:tcPr>
            <w:tcW w:w="959" w:type="dxa"/>
            <w:vAlign w:val="center"/>
          </w:tcPr>
          <w:p w14:paraId="18ADD2D6"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5F7E22C6"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4257DFF4" w14:textId="77777777" w:rsidTr="00B307DB">
        <w:trPr>
          <w:trHeight w:val="301"/>
        </w:trPr>
        <w:tc>
          <w:tcPr>
            <w:tcW w:w="0" w:type="auto"/>
            <w:vAlign w:val="center"/>
          </w:tcPr>
          <w:p w14:paraId="419CCD4E" w14:textId="77777777" w:rsidR="00B307DB" w:rsidRPr="00D418E7" w:rsidRDefault="00B307DB" w:rsidP="00B307DB">
            <w:pPr>
              <w:spacing w:after="0" w:line="240" w:lineRule="auto"/>
              <w:ind w:right="141"/>
              <w:jc w:val="both"/>
              <w:rPr>
                <w:rFonts w:ascii="Times New Roman" w:hAnsi="Times New Roman" w:cs="Times New Roman"/>
                <w:b/>
              </w:rPr>
            </w:pPr>
            <w:r>
              <w:rPr>
                <w:rFonts w:ascii="Times New Roman" w:hAnsi="Times New Roman" w:cs="Times New Roman"/>
                <w:b/>
              </w:rPr>
              <w:t>1.5.4</w:t>
            </w:r>
          </w:p>
        </w:tc>
        <w:tc>
          <w:tcPr>
            <w:tcW w:w="0" w:type="auto"/>
            <w:vAlign w:val="center"/>
          </w:tcPr>
          <w:p w14:paraId="377D0C9E" w14:textId="77777777" w:rsidR="00B307DB" w:rsidRPr="002174DD" w:rsidRDefault="00B307DB" w:rsidP="00B307DB">
            <w:pPr>
              <w:spacing w:after="0" w:line="240" w:lineRule="auto"/>
              <w:ind w:right="141"/>
              <w:jc w:val="both"/>
              <w:rPr>
                <w:rFonts w:ascii="Times New Roman" w:hAnsi="Times New Roman" w:cs="Times New Roman"/>
              </w:rPr>
            </w:pPr>
            <w:r w:rsidRPr="002174DD">
              <w:rPr>
                <w:rFonts w:ascii="Times New Roman" w:hAnsi="Times New Roman" w:cs="Times New Roman"/>
                <w:color w:val="000000"/>
              </w:rPr>
              <w:t>App Professor</w:t>
            </w:r>
          </w:p>
        </w:tc>
        <w:tc>
          <w:tcPr>
            <w:tcW w:w="1012" w:type="dxa"/>
            <w:vAlign w:val="center"/>
          </w:tcPr>
          <w:p w14:paraId="5359D6B9"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rPr>
              <w:t>12</w:t>
            </w:r>
          </w:p>
        </w:tc>
        <w:tc>
          <w:tcPr>
            <w:tcW w:w="884" w:type="dxa"/>
            <w:vAlign w:val="center"/>
          </w:tcPr>
          <w:p w14:paraId="388F626E"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rPr>
              <w:t>Meses</w:t>
            </w:r>
          </w:p>
        </w:tc>
        <w:tc>
          <w:tcPr>
            <w:tcW w:w="959" w:type="dxa"/>
            <w:vAlign w:val="center"/>
          </w:tcPr>
          <w:p w14:paraId="6FBFED06"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30F501EE"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5D022674" w14:textId="77777777" w:rsidTr="00B307DB">
        <w:trPr>
          <w:trHeight w:val="301"/>
        </w:trPr>
        <w:tc>
          <w:tcPr>
            <w:tcW w:w="7116" w:type="dxa"/>
            <w:gridSpan w:val="4"/>
            <w:vAlign w:val="center"/>
          </w:tcPr>
          <w:p w14:paraId="40375AF9" w14:textId="77777777" w:rsidR="00B307DB" w:rsidRPr="00D418E7" w:rsidRDefault="00B307DB" w:rsidP="00B307D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subitem1.5</w:t>
            </w:r>
          </w:p>
        </w:tc>
        <w:tc>
          <w:tcPr>
            <w:tcW w:w="1951" w:type="dxa"/>
            <w:gridSpan w:val="2"/>
            <w:vAlign w:val="center"/>
          </w:tcPr>
          <w:p w14:paraId="26A9D94D"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6A5160F9" w14:textId="77777777" w:rsidTr="00B307DB">
        <w:trPr>
          <w:trHeight w:val="301"/>
        </w:trPr>
        <w:tc>
          <w:tcPr>
            <w:tcW w:w="9067" w:type="dxa"/>
            <w:gridSpan w:val="6"/>
            <w:vAlign w:val="center"/>
          </w:tcPr>
          <w:p w14:paraId="368A14E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1.6</w:t>
            </w:r>
            <w:r>
              <w:rPr>
                <w:rFonts w:ascii="Times New Roman" w:hAnsi="Times New Roman" w:cs="Times New Roman"/>
                <w:b/>
              </w:rPr>
              <w:t xml:space="preserve"> </w:t>
            </w:r>
            <w:r w:rsidRPr="00D418E7">
              <w:rPr>
                <w:rFonts w:ascii="Times New Roman" w:hAnsi="Times New Roman" w:cs="Times New Roman"/>
                <w:b/>
              </w:rPr>
              <w:t>MÓDULOS PARA USO SECRETARIA DE ASSISTÊNCIA SOCIAL</w:t>
            </w:r>
          </w:p>
        </w:tc>
      </w:tr>
      <w:tr w:rsidR="00B307DB" w:rsidRPr="00D418E7" w14:paraId="7584E1C3" w14:textId="77777777" w:rsidTr="00B307DB">
        <w:trPr>
          <w:trHeight w:val="301"/>
        </w:trPr>
        <w:tc>
          <w:tcPr>
            <w:tcW w:w="0" w:type="auto"/>
            <w:vAlign w:val="center"/>
          </w:tcPr>
          <w:p w14:paraId="4F0215F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1.6.1</w:t>
            </w:r>
          </w:p>
        </w:tc>
        <w:tc>
          <w:tcPr>
            <w:tcW w:w="0" w:type="auto"/>
            <w:vAlign w:val="center"/>
          </w:tcPr>
          <w:p w14:paraId="1E12431C"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Gestão da Assistência Social</w:t>
            </w:r>
          </w:p>
        </w:tc>
        <w:tc>
          <w:tcPr>
            <w:tcW w:w="1012" w:type="dxa"/>
            <w:vAlign w:val="center"/>
          </w:tcPr>
          <w:p w14:paraId="3DA5457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12</w:t>
            </w:r>
          </w:p>
        </w:tc>
        <w:tc>
          <w:tcPr>
            <w:tcW w:w="884" w:type="dxa"/>
            <w:vAlign w:val="center"/>
          </w:tcPr>
          <w:p w14:paraId="0867AEB8"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Meses</w:t>
            </w:r>
          </w:p>
        </w:tc>
        <w:tc>
          <w:tcPr>
            <w:tcW w:w="959" w:type="dxa"/>
            <w:vAlign w:val="center"/>
          </w:tcPr>
          <w:p w14:paraId="0CA68850"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6BC812C4"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56B85FB6" w14:textId="77777777" w:rsidTr="00B307DB">
        <w:trPr>
          <w:trHeight w:val="301"/>
        </w:trPr>
        <w:tc>
          <w:tcPr>
            <w:tcW w:w="7116" w:type="dxa"/>
            <w:gridSpan w:val="4"/>
            <w:vAlign w:val="center"/>
          </w:tcPr>
          <w:p w14:paraId="05D5D9B9" w14:textId="77777777" w:rsidR="00B307DB" w:rsidRPr="00D418E7" w:rsidRDefault="00B307DB" w:rsidP="00B307DB">
            <w:pPr>
              <w:spacing w:after="0" w:line="240" w:lineRule="auto"/>
              <w:ind w:right="141"/>
              <w:jc w:val="right"/>
              <w:rPr>
                <w:rFonts w:ascii="Times New Roman" w:hAnsi="Times New Roman" w:cs="Times New Roman"/>
              </w:rPr>
            </w:pPr>
            <w:r w:rsidRPr="00D418E7">
              <w:rPr>
                <w:rFonts w:ascii="Times New Roman" w:hAnsi="Times New Roman" w:cs="Times New Roman"/>
                <w:b/>
              </w:rPr>
              <w:t>Total subitem 1.6</w:t>
            </w:r>
          </w:p>
        </w:tc>
        <w:tc>
          <w:tcPr>
            <w:tcW w:w="1951" w:type="dxa"/>
            <w:gridSpan w:val="2"/>
            <w:vAlign w:val="center"/>
          </w:tcPr>
          <w:p w14:paraId="780E46A0"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0B3CDE13" w14:textId="77777777" w:rsidTr="00B307DB">
        <w:trPr>
          <w:trHeight w:val="276"/>
        </w:trPr>
        <w:tc>
          <w:tcPr>
            <w:tcW w:w="7116" w:type="dxa"/>
            <w:gridSpan w:val="4"/>
            <w:vAlign w:val="bottom"/>
          </w:tcPr>
          <w:p w14:paraId="7A3C9F0F" w14:textId="77777777" w:rsidR="00B307DB" w:rsidRPr="00D418E7" w:rsidRDefault="00B307DB" w:rsidP="00B307DB">
            <w:pPr>
              <w:spacing w:after="0" w:line="240" w:lineRule="auto"/>
              <w:ind w:right="141"/>
              <w:jc w:val="right"/>
              <w:rPr>
                <w:rFonts w:ascii="Times New Roman" w:hAnsi="Times New Roman" w:cs="Times New Roman"/>
                <w:b/>
              </w:rPr>
            </w:pPr>
            <w:r w:rsidRPr="00D418E7">
              <w:rPr>
                <w:rFonts w:ascii="Times New Roman" w:hAnsi="Times New Roman" w:cs="Times New Roman"/>
                <w:b/>
              </w:rPr>
              <w:t>Total Item 1</w:t>
            </w:r>
          </w:p>
        </w:tc>
        <w:tc>
          <w:tcPr>
            <w:tcW w:w="1951" w:type="dxa"/>
            <w:gridSpan w:val="2"/>
            <w:vAlign w:val="bottom"/>
          </w:tcPr>
          <w:p w14:paraId="02AEE968"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78556995" w14:textId="77777777" w:rsidTr="00B307DB">
        <w:trPr>
          <w:trHeight w:val="550"/>
        </w:trPr>
        <w:tc>
          <w:tcPr>
            <w:tcW w:w="0" w:type="auto"/>
            <w:vAlign w:val="center"/>
          </w:tcPr>
          <w:p w14:paraId="3920479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Item</w:t>
            </w:r>
          </w:p>
        </w:tc>
        <w:tc>
          <w:tcPr>
            <w:tcW w:w="0" w:type="auto"/>
            <w:vAlign w:val="center"/>
          </w:tcPr>
          <w:p w14:paraId="2667174E"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Descrição / Especificações mínimas</w:t>
            </w:r>
          </w:p>
        </w:tc>
        <w:tc>
          <w:tcPr>
            <w:tcW w:w="1012" w:type="dxa"/>
            <w:vAlign w:val="center"/>
          </w:tcPr>
          <w:p w14:paraId="5BF5E36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Qtd</w:t>
            </w:r>
          </w:p>
        </w:tc>
        <w:tc>
          <w:tcPr>
            <w:tcW w:w="884" w:type="dxa"/>
            <w:vAlign w:val="center"/>
          </w:tcPr>
          <w:p w14:paraId="0320C42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Un.</w:t>
            </w:r>
          </w:p>
        </w:tc>
        <w:tc>
          <w:tcPr>
            <w:tcW w:w="959" w:type="dxa"/>
            <w:vAlign w:val="center"/>
          </w:tcPr>
          <w:p w14:paraId="1B10C8D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Valor unitário</w:t>
            </w:r>
          </w:p>
        </w:tc>
        <w:tc>
          <w:tcPr>
            <w:tcW w:w="992" w:type="dxa"/>
            <w:vAlign w:val="center"/>
          </w:tcPr>
          <w:p w14:paraId="6DF5589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Valor total</w:t>
            </w:r>
          </w:p>
        </w:tc>
      </w:tr>
      <w:tr w:rsidR="00B307DB" w:rsidRPr="00D418E7" w14:paraId="11F0B230" w14:textId="77777777" w:rsidTr="00B307DB">
        <w:trPr>
          <w:trHeight w:val="292"/>
        </w:trPr>
        <w:tc>
          <w:tcPr>
            <w:tcW w:w="9067" w:type="dxa"/>
            <w:gridSpan w:val="6"/>
            <w:vAlign w:val="center"/>
          </w:tcPr>
          <w:p w14:paraId="7FC05E5A"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b/>
              </w:rPr>
              <w:t>2</w:t>
            </w:r>
            <w:r>
              <w:rPr>
                <w:rFonts w:ascii="Times New Roman" w:hAnsi="Times New Roman" w:cs="Times New Roman"/>
                <w:b/>
              </w:rPr>
              <w:t xml:space="preserve"> </w:t>
            </w:r>
            <w:r w:rsidRPr="00D418E7">
              <w:rPr>
                <w:rFonts w:ascii="Times New Roman" w:hAnsi="Times New Roman" w:cs="Times New Roman"/>
                <w:b/>
              </w:rPr>
              <w:t xml:space="preserve">IMPLANTAÇÃO DA SOLUÇÃO </w:t>
            </w:r>
            <w:r>
              <w:rPr>
                <w:rFonts w:ascii="Times New Roman" w:hAnsi="Times New Roman" w:cs="Times New Roman"/>
                <w:b/>
              </w:rPr>
              <w:t>WEB</w:t>
            </w:r>
          </w:p>
        </w:tc>
      </w:tr>
      <w:tr w:rsidR="00B307DB" w:rsidRPr="00D418E7" w14:paraId="2CD160F2" w14:textId="77777777" w:rsidTr="00B307DB">
        <w:trPr>
          <w:trHeight w:val="1583"/>
        </w:trPr>
        <w:tc>
          <w:tcPr>
            <w:tcW w:w="0" w:type="auto"/>
            <w:vAlign w:val="center"/>
          </w:tcPr>
          <w:p w14:paraId="59F088E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lastRenderedPageBreak/>
              <w:t>2.1</w:t>
            </w:r>
          </w:p>
        </w:tc>
        <w:tc>
          <w:tcPr>
            <w:tcW w:w="0" w:type="auto"/>
            <w:vAlign w:val="center"/>
          </w:tcPr>
          <w:p w14:paraId="7BC1830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Serviços de diagnóstico, migração de dados, configuração, habilitação e treinamento de usuários: MUNICÍPIO RIQUEZA, FUNDOS MUNICIPAIS E CÂMERA DE VEREADORES SECRETARIA DE EDUCAÇÃO SECRETARIA DE SAÚDE E ASSISTÊNCIA SOCIAL</w:t>
            </w:r>
          </w:p>
        </w:tc>
        <w:tc>
          <w:tcPr>
            <w:tcW w:w="1012" w:type="dxa"/>
            <w:vAlign w:val="center"/>
          </w:tcPr>
          <w:p w14:paraId="49CC6D5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1</w:t>
            </w:r>
          </w:p>
        </w:tc>
        <w:tc>
          <w:tcPr>
            <w:tcW w:w="884" w:type="dxa"/>
            <w:vAlign w:val="center"/>
          </w:tcPr>
          <w:p w14:paraId="428BC60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Serv.</w:t>
            </w:r>
          </w:p>
        </w:tc>
        <w:tc>
          <w:tcPr>
            <w:tcW w:w="959" w:type="dxa"/>
            <w:vAlign w:val="center"/>
          </w:tcPr>
          <w:p w14:paraId="0738B417"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25619D04"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2161E70F" w14:textId="77777777" w:rsidTr="00B307DB">
        <w:trPr>
          <w:trHeight w:val="301"/>
        </w:trPr>
        <w:tc>
          <w:tcPr>
            <w:tcW w:w="7116" w:type="dxa"/>
            <w:gridSpan w:val="4"/>
            <w:vAlign w:val="center"/>
          </w:tcPr>
          <w:p w14:paraId="7780EA1E" w14:textId="77777777" w:rsidR="00B307DB" w:rsidRPr="00D418E7" w:rsidRDefault="00B307DB" w:rsidP="00B307DB">
            <w:pPr>
              <w:spacing w:after="0" w:line="240" w:lineRule="auto"/>
              <w:ind w:right="141"/>
              <w:jc w:val="right"/>
              <w:rPr>
                <w:rFonts w:ascii="Times New Roman" w:hAnsi="Times New Roman" w:cs="Times New Roman"/>
              </w:rPr>
            </w:pPr>
            <w:r w:rsidRPr="00D418E7">
              <w:rPr>
                <w:rFonts w:ascii="Times New Roman" w:hAnsi="Times New Roman" w:cs="Times New Roman"/>
                <w:b/>
              </w:rPr>
              <w:t>Total Item 2</w:t>
            </w:r>
          </w:p>
        </w:tc>
        <w:tc>
          <w:tcPr>
            <w:tcW w:w="1951" w:type="dxa"/>
            <w:gridSpan w:val="2"/>
            <w:vAlign w:val="center"/>
          </w:tcPr>
          <w:p w14:paraId="27A288AC"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1CDC8F6F" w14:textId="77777777" w:rsidTr="00B307DB">
        <w:trPr>
          <w:trHeight w:val="550"/>
        </w:trPr>
        <w:tc>
          <w:tcPr>
            <w:tcW w:w="0" w:type="auto"/>
            <w:vAlign w:val="center"/>
          </w:tcPr>
          <w:p w14:paraId="43E9E33F"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Item</w:t>
            </w:r>
          </w:p>
        </w:tc>
        <w:tc>
          <w:tcPr>
            <w:tcW w:w="0" w:type="auto"/>
            <w:vAlign w:val="center"/>
          </w:tcPr>
          <w:p w14:paraId="7EBFB59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Descrição / Especificações mínimas</w:t>
            </w:r>
          </w:p>
        </w:tc>
        <w:tc>
          <w:tcPr>
            <w:tcW w:w="1012" w:type="dxa"/>
            <w:vAlign w:val="center"/>
          </w:tcPr>
          <w:p w14:paraId="1BA6233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Qtd</w:t>
            </w:r>
          </w:p>
        </w:tc>
        <w:tc>
          <w:tcPr>
            <w:tcW w:w="884" w:type="dxa"/>
            <w:vAlign w:val="center"/>
          </w:tcPr>
          <w:p w14:paraId="4FA0F7A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Un.</w:t>
            </w:r>
          </w:p>
        </w:tc>
        <w:tc>
          <w:tcPr>
            <w:tcW w:w="959" w:type="dxa"/>
            <w:vAlign w:val="center"/>
          </w:tcPr>
          <w:p w14:paraId="6D48936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Valor unitário</w:t>
            </w:r>
          </w:p>
        </w:tc>
        <w:tc>
          <w:tcPr>
            <w:tcW w:w="992" w:type="dxa"/>
            <w:vAlign w:val="center"/>
          </w:tcPr>
          <w:p w14:paraId="144B03C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b/>
              </w:rPr>
              <w:t>Valor total</w:t>
            </w:r>
          </w:p>
        </w:tc>
      </w:tr>
      <w:tr w:rsidR="00B307DB" w:rsidRPr="00D418E7" w14:paraId="01CE7404" w14:textId="77777777" w:rsidTr="00B307DB">
        <w:trPr>
          <w:trHeight w:val="292"/>
        </w:trPr>
        <w:tc>
          <w:tcPr>
            <w:tcW w:w="9067" w:type="dxa"/>
            <w:gridSpan w:val="6"/>
            <w:vAlign w:val="center"/>
          </w:tcPr>
          <w:p w14:paraId="54775A42" w14:textId="77777777" w:rsidR="00B307DB" w:rsidRPr="00D418E7" w:rsidRDefault="00B307DB" w:rsidP="00B307DB">
            <w:pPr>
              <w:spacing w:after="0" w:line="240" w:lineRule="auto"/>
              <w:ind w:right="141"/>
              <w:jc w:val="both"/>
              <w:rPr>
                <w:rFonts w:ascii="Times New Roman" w:hAnsi="Times New Roman" w:cs="Times New Roman"/>
                <w:b/>
              </w:rPr>
            </w:pPr>
            <w:r w:rsidRPr="00D418E7">
              <w:rPr>
                <w:rFonts w:ascii="Times New Roman" w:hAnsi="Times New Roman" w:cs="Times New Roman"/>
                <w:b/>
              </w:rPr>
              <w:t>3</w:t>
            </w:r>
            <w:r>
              <w:rPr>
                <w:rFonts w:ascii="Times New Roman" w:hAnsi="Times New Roman" w:cs="Times New Roman"/>
                <w:b/>
              </w:rPr>
              <w:t xml:space="preserve"> </w:t>
            </w:r>
            <w:r w:rsidRPr="00D418E7">
              <w:rPr>
                <w:rFonts w:ascii="Times New Roman" w:hAnsi="Times New Roman" w:cs="Times New Roman"/>
                <w:b/>
              </w:rPr>
              <w:t>SERVIÇOS ADICIONAIS</w:t>
            </w:r>
          </w:p>
        </w:tc>
      </w:tr>
      <w:tr w:rsidR="00B307DB" w:rsidRPr="00D418E7" w14:paraId="7430F286" w14:textId="77777777" w:rsidTr="00B307DB">
        <w:trPr>
          <w:trHeight w:val="292"/>
        </w:trPr>
        <w:tc>
          <w:tcPr>
            <w:tcW w:w="0" w:type="auto"/>
            <w:vAlign w:val="center"/>
          </w:tcPr>
          <w:p w14:paraId="68456F5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3.1</w:t>
            </w:r>
          </w:p>
        </w:tc>
        <w:tc>
          <w:tcPr>
            <w:tcW w:w="0" w:type="auto"/>
            <w:vAlign w:val="center"/>
          </w:tcPr>
          <w:p w14:paraId="4ACDCEDA" w14:textId="77777777" w:rsidR="00B307DB" w:rsidRPr="007E5632" w:rsidRDefault="00B307DB" w:rsidP="00B307D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Atendimento técnico presencial</w:t>
            </w:r>
          </w:p>
        </w:tc>
        <w:tc>
          <w:tcPr>
            <w:tcW w:w="1012" w:type="dxa"/>
            <w:vAlign w:val="center"/>
          </w:tcPr>
          <w:p w14:paraId="5485550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1A1C444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497494B0"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878FA8F"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22E99CFA" w14:textId="77777777" w:rsidTr="00B307DB">
        <w:trPr>
          <w:trHeight w:val="292"/>
        </w:trPr>
        <w:tc>
          <w:tcPr>
            <w:tcW w:w="0" w:type="auto"/>
            <w:vAlign w:val="center"/>
          </w:tcPr>
          <w:p w14:paraId="14D4EFD3"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3.2</w:t>
            </w:r>
          </w:p>
        </w:tc>
        <w:tc>
          <w:tcPr>
            <w:tcW w:w="0" w:type="auto"/>
            <w:vAlign w:val="center"/>
          </w:tcPr>
          <w:p w14:paraId="48012FEB" w14:textId="77777777" w:rsidR="00B307DB" w:rsidRPr="007E5632" w:rsidRDefault="00B307DB" w:rsidP="00B307D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Atendimento técnico remoto</w:t>
            </w:r>
          </w:p>
        </w:tc>
        <w:tc>
          <w:tcPr>
            <w:tcW w:w="1012" w:type="dxa"/>
            <w:vAlign w:val="center"/>
          </w:tcPr>
          <w:p w14:paraId="7098220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175EA10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2454DA85"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664FEAA5"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64D6BEAB" w14:textId="77777777" w:rsidTr="00B307DB">
        <w:trPr>
          <w:trHeight w:val="292"/>
        </w:trPr>
        <w:tc>
          <w:tcPr>
            <w:tcW w:w="0" w:type="auto"/>
            <w:vAlign w:val="center"/>
          </w:tcPr>
          <w:p w14:paraId="7737DEE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3.3</w:t>
            </w:r>
          </w:p>
        </w:tc>
        <w:tc>
          <w:tcPr>
            <w:tcW w:w="0" w:type="auto"/>
            <w:vAlign w:val="center"/>
          </w:tcPr>
          <w:p w14:paraId="356F8469" w14:textId="77777777" w:rsidR="00B307DB" w:rsidRPr="007E5632" w:rsidRDefault="00B307DB" w:rsidP="00B307D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 xml:space="preserve">Configurações </w:t>
            </w:r>
          </w:p>
        </w:tc>
        <w:tc>
          <w:tcPr>
            <w:tcW w:w="1012" w:type="dxa"/>
            <w:vAlign w:val="center"/>
          </w:tcPr>
          <w:p w14:paraId="12377C0D"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759EB245"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642A0011"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3A5187E2"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40B9098F" w14:textId="77777777" w:rsidTr="00B307DB">
        <w:trPr>
          <w:trHeight w:val="292"/>
        </w:trPr>
        <w:tc>
          <w:tcPr>
            <w:tcW w:w="0" w:type="auto"/>
            <w:vAlign w:val="center"/>
          </w:tcPr>
          <w:p w14:paraId="1D5D9099"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3.4</w:t>
            </w:r>
          </w:p>
        </w:tc>
        <w:tc>
          <w:tcPr>
            <w:tcW w:w="0" w:type="auto"/>
            <w:vAlign w:val="center"/>
          </w:tcPr>
          <w:p w14:paraId="2980F555" w14:textId="77777777" w:rsidR="00B307DB" w:rsidRPr="007E5632" w:rsidRDefault="00B307DB" w:rsidP="00B307D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Personalização de Relatórios</w:t>
            </w:r>
          </w:p>
        </w:tc>
        <w:tc>
          <w:tcPr>
            <w:tcW w:w="1012" w:type="dxa"/>
            <w:vAlign w:val="center"/>
          </w:tcPr>
          <w:p w14:paraId="535076C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50E8786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01608474"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6EC618F9"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32995D29" w14:textId="77777777" w:rsidTr="00B307DB">
        <w:trPr>
          <w:trHeight w:val="292"/>
        </w:trPr>
        <w:tc>
          <w:tcPr>
            <w:tcW w:w="0" w:type="auto"/>
            <w:vAlign w:val="center"/>
          </w:tcPr>
          <w:p w14:paraId="15B09722"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3.5</w:t>
            </w:r>
          </w:p>
        </w:tc>
        <w:tc>
          <w:tcPr>
            <w:tcW w:w="0" w:type="auto"/>
            <w:vAlign w:val="center"/>
          </w:tcPr>
          <w:p w14:paraId="32A2A135" w14:textId="77777777" w:rsidR="00B307DB" w:rsidRPr="007E5632" w:rsidRDefault="00B307DB" w:rsidP="00B307D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Customizações</w:t>
            </w:r>
          </w:p>
        </w:tc>
        <w:tc>
          <w:tcPr>
            <w:tcW w:w="1012" w:type="dxa"/>
            <w:vAlign w:val="center"/>
          </w:tcPr>
          <w:p w14:paraId="240F4E64"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7A3F0786"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5F109E88"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1B9EB52E"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25491B45" w14:textId="77777777" w:rsidTr="00B307DB">
        <w:trPr>
          <w:trHeight w:val="292"/>
        </w:trPr>
        <w:tc>
          <w:tcPr>
            <w:tcW w:w="0" w:type="auto"/>
            <w:vAlign w:val="center"/>
          </w:tcPr>
          <w:p w14:paraId="4097B14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3.6</w:t>
            </w:r>
          </w:p>
        </w:tc>
        <w:tc>
          <w:tcPr>
            <w:tcW w:w="0" w:type="auto"/>
            <w:vAlign w:val="center"/>
          </w:tcPr>
          <w:p w14:paraId="1677EFC5" w14:textId="77777777" w:rsidR="00B307DB" w:rsidRPr="007E5632" w:rsidRDefault="00B307DB" w:rsidP="00B307D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Consultorias Complexas</w:t>
            </w:r>
          </w:p>
        </w:tc>
        <w:tc>
          <w:tcPr>
            <w:tcW w:w="1012" w:type="dxa"/>
            <w:vAlign w:val="center"/>
          </w:tcPr>
          <w:p w14:paraId="1236144A"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3FB50571"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1E9EA07C"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467F861F"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64E7F1BB" w14:textId="77777777" w:rsidTr="00B307DB">
        <w:trPr>
          <w:trHeight w:val="292"/>
        </w:trPr>
        <w:tc>
          <w:tcPr>
            <w:tcW w:w="0" w:type="auto"/>
            <w:vAlign w:val="center"/>
          </w:tcPr>
          <w:p w14:paraId="00A7EEE7"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3.7</w:t>
            </w:r>
          </w:p>
        </w:tc>
        <w:tc>
          <w:tcPr>
            <w:tcW w:w="0" w:type="auto"/>
            <w:vAlign w:val="center"/>
          </w:tcPr>
          <w:p w14:paraId="4584B64F" w14:textId="77777777" w:rsidR="00B307DB" w:rsidRPr="007E5632" w:rsidRDefault="00B307DB" w:rsidP="00B307DB">
            <w:pPr>
              <w:spacing w:after="0" w:line="240" w:lineRule="auto"/>
              <w:ind w:right="141"/>
              <w:jc w:val="both"/>
              <w:rPr>
                <w:rFonts w:ascii="Times New Roman" w:hAnsi="Times New Roman" w:cs="Times New Roman"/>
              </w:rPr>
            </w:pPr>
            <w:r w:rsidRPr="007E5632">
              <w:rPr>
                <w:rFonts w:ascii="Times New Roman" w:hAnsi="Times New Roman" w:cs="Times New Roman"/>
                <w:color w:val="000000"/>
              </w:rPr>
              <w:t>Mapeamento de Processos</w:t>
            </w:r>
          </w:p>
        </w:tc>
        <w:tc>
          <w:tcPr>
            <w:tcW w:w="1012" w:type="dxa"/>
            <w:vAlign w:val="center"/>
          </w:tcPr>
          <w:p w14:paraId="0F52DCDB"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25</w:t>
            </w:r>
          </w:p>
        </w:tc>
        <w:tc>
          <w:tcPr>
            <w:tcW w:w="884" w:type="dxa"/>
            <w:vAlign w:val="center"/>
          </w:tcPr>
          <w:p w14:paraId="78EF6890" w14:textId="77777777" w:rsidR="00B307DB" w:rsidRPr="00D418E7" w:rsidRDefault="00B307DB" w:rsidP="00B307DB">
            <w:pPr>
              <w:spacing w:after="0" w:line="240" w:lineRule="auto"/>
              <w:ind w:right="141"/>
              <w:jc w:val="both"/>
              <w:rPr>
                <w:rFonts w:ascii="Times New Roman" w:hAnsi="Times New Roman" w:cs="Times New Roman"/>
              </w:rPr>
            </w:pPr>
            <w:r w:rsidRPr="00D418E7">
              <w:rPr>
                <w:rFonts w:ascii="Times New Roman" w:hAnsi="Times New Roman" w:cs="Times New Roman"/>
              </w:rPr>
              <w:t>hora</w:t>
            </w:r>
          </w:p>
        </w:tc>
        <w:tc>
          <w:tcPr>
            <w:tcW w:w="959" w:type="dxa"/>
            <w:vAlign w:val="center"/>
          </w:tcPr>
          <w:p w14:paraId="138B668F" w14:textId="77777777" w:rsidR="00B307DB" w:rsidRPr="00D418E7" w:rsidRDefault="00B307DB" w:rsidP="00B307DB">
            <w:pPr>
              <w:spacing w:after="0" w:line="240" w:lineRule="auto"/>
              <w:ind w:right="141"/>
              <w:jc w:val="both"/>
              <w:rPr>
                <w:rFonts w:ascii="Times New Roman" w:hAnsi="Times New Roman" w:cs="Times New Roman"/>
                <w:b/>
              </w:rPr>
            </w:pPr>
          </w:p>
        </w:tc>
        <w:tc>
          <w:tcPr>
            <w:tcW w:w="992" w:type="dxa"/>
            <w:vAlign w:val="center"/>
          </w:tcPr>
          <w:p w14:paraId="65EA345E" w14:textId="77777777" w:rsidR="00B307DB" w:rsidRPr="00D418E7" w:rsidRDefault="00B307DB" w:rsidP="00B307DB">
            <w:pPr>
              <w:spacing w:after="0" w:line="240" w:lineRule="auto"/>
              <w:ind w:right="141"/>
              <w:jc w:val="both"/>
              <w:rPr>
                <w:rFonts w:ascii="Times New Roman" w:hAnsi="Times New Roman" w:cs="Times New Roman"/>
                <w:b/>
              </w:rPr>
            </w:pPr>
          </w:p>
        </w:tc>
      </w:tr>
      <w:tr w:rsidR="00B307DB" w:rsidRPr="00D418E7" w14:paraId="1F31680B" w14:textId="77777777" w:rsidTr="00B307DB">
        <w:trPr>
          <w:trHeight w:val="301"/>
        </w:trPr>
        <w:tc>
          <w:tcPr>
            <w:tcW w:w="7116" w:type="dxa"/>
            <w:gridSpan w:val="4"/>
            <w:vAlign w:val="center"/>
          </w:tcPr>
          <w:p w14:paraId="31318F3E" w14:textId="77777777" w:rsidR="00B307DB" w:rsidRPr="00D418E7" w:rsidRDefault="00B307DB" w:rsidP="00B307DB">
            <w:pPr>
              <w:spacing w:after="0" w:line="240" w:lineRule="auto"/>
              <w:ind w:right="141"/>
              <w:jc w:val="right"/>
              <w:rPr>
                <w:rFonts w:ascii="Times New Roman" w:hAnsi="Times New Roman" w:cs="Times New Roman"/>
              </w:rPr>
            </w:pPr>
            <w:r w:rsidRPr="00D418E7">
              <w:rPr>
                <w:rFonts w:ascii="Times New Roman" w:hAnsi="Times New Roman" w:cs="Times New Roman"/>
                <w:b/>
              </w:rPr>
              <w:t>Total Item 3</w:t>
            </w:r>
          </w:p>
        </w:tc>
        <w:tc>
          <w:tcPr>
            <w:tcW w:w="1951" w:type="dxa"/>
            <w:gridSpan w:val="2"/>
            <w:vAlign w:val="center"/>
          </w:tcPr>
          <w:p w14:paraId="5550FE1C" w14:textId="77777777" w:rsidR="00B307DB" w:rsidRPr="00D418E7" w:rsidRDefault="00B307DB" w:rsidP="00B307DB">
            <w:pPr>
              <w:spacing w:after="0" w:line="240" w:lineRule="auto"/>
              <w:ind w:right="141"/>
              <w:jc w:val="both"/>
              <w:rPr>
                <w:rFonts w:ascii="Times New Roman" w:hAnsi="Times New Roman" w:cs="Times New Roman"/>
              </w:rPr>
            </w:pPr>
          </w:p>
        </w:tc>
      </w:tr>
      <w:tr w:rsidR="00B307DB" w:rsidRPr="00D418E7" w14:paraId="00534947" w14:textId="77777777" w:rsidTr="00B307DB">
        <w:trPr>
          <w:trHeight w:val="292"/>
        </w:trPr>
        <w:tc>
          <w:tcPr>
            <w:tcW w:w="7116" w:type="dxa"/>
            <w:gridSpan w:val="4"/>
            <w:vAlign w:val="center"/>
          </w:tcPr>
          <w:p w14:paraId="457128BD" w14:textId="77777777" w:rsidR="00B307DB" w:rsidRPr="00D418E7" w:rsidRDefault="00B307DB" w:rsidP="00B307DB">
            <w:pPr>
              <w:spacing w:after="0" w:line="240" w:lineRule="auto"/>
              <w:ind w:right="141"/>
              <w:jc w:val="right"/>
              <w:rPr>
                <w:rFonts w:ascii="Times New Roman" w:hAnsi="Times New Roman" w:cs="Times New Roman"/>
              </w:rPr>
            </w:pPr>
            <w:r w:rsidRPr="00D418E7">
              <w:rPr>
                <w:rFonts w:ascii="Times New Roman" w:hAnsi="Times New Roman" w:cs="Times New Roman"/>
                <w:b/>
              </w:rPr>
              <w:t>Valor Total ( itens 1,2,3)</w:t>
            </w:r>
          </w:p>
        </w:tc>
        <w:tc>
          <w:tcPr>
            <w:tcW w:w="1951" w:type="dxa"/>
            <w:gridSpan w:val="2"/>
            <w:vAlign w:val="bottom"/>
          </w:tcPr>
          <w:p w14:paraId="2134C416" w14:textId="77777777" w:rsidR="00B307DB" w:rsidRPr="00D418E7" w:rsidRDefault="00B307DB" w:rsidP="00B307DB">
            <w:pPr>
              <w:spacing w:after="0" w:line="240" w:lineRule="auto"/>
              <w:ind w:right="141"/>
              <w:jc w:val="both"/>
              <w:rPr>
                <w:rFonts w:ascii="Times New Roman" w:hAnsi="Times New Roman" w:cs="Times New Roman"/>
              </w:rPr>
            </w:pPr>
          </w:p>
        </w:tc>
      </w:tr>
    </w:tbl>
    <w:p w14:paraId="162ECEA2" w14:textId="77777777" w:rsidR="00B307DB" w:rsidRPr="00D84571" w:rsidRDefault="00B307DB" w:rsidP="00B307DB">
      <w:pPr>
        <w:spacing w:after="0" w:line="240" w:lineRule="auto"/>
        <w:ind w:right="-568"/>
        <w:jc w:val="both"/>
        <w:rPr>
          <w:rFonts w:ascii="Times New Roman" w:hAnsi="Times New Roman" w:cs="Times New Roman"/>
          <w:b/>
        </w:rPr>
      </w:pPr>
    </w:p>
    <w:p w14:paraId="1CB9EC48"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O licitante ___________________________, inscrito no CPF/CNPJ nº ______________, DECLARA, nos termos do </w:t>
      </w:r>
      <w:hyperlink r:id="rId305" w:anchor="art63%C2%A71" w:history="1">
        <w:r w:rsidRPr="00D84571">
          <w:rPr>
            <w:rStyle w:val="Hyperlink"/>
            <w:rFonts w:ascii="Times New Roman" w:hAnsi="Times New Roman" w:cs="Times New Roman"/>
          </w:rPr>
          <w:t>art. 63, § 1º, da Lei nº 14.133/2021</w:t>
        </w:r>
      </w:hyperlink>
      <w:r w:rsidRPr="00D84571">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23AA3652"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rPr>
        <w:tab/>
      </w:r>
    </w:p>
    <w:p w14:paraId="53F29B44"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306"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1D3B5161" w14:textId="77777777" w:rsidR="00B307DB" w:rsidRPr="00D84571" w:rsidRDefault="00B307DB" w:rsidP="00B307DB">
      <w:pPr>
        <w:spacing w:after="0" w:line="240" w:lineRule="auto"/>
        <w:ind w:right="-568"/>
        <w:jc w:val="both"/>
        <w:rPr>
          <w:rFonts w:ascii="Times New Roman" w:hAnsi="Times New Roman" w:cs="Times New Roman"/>
        </w:rPr>
      </w:pPr>
    </w:p>
    <w:p w14:paraId="07ADA945"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2C4363EE" w14:textId="77777777" w:rsidR="00B307DB" w:rsidRPr="00D84571" w:rsidRDefault="00B307DB" w:rsidP="00B307DB">
      <w:pPr>
        <w:spacing w:after="0" w:line="240" w:lineRule="auto"/>
        <w:ind w:right="-568"/>
        <w:jc w:val="center"/>
        <w:rPr>
          <w:rFonts w:ascii="Times New Roman" w:hAnsi="Times New Roman" w:cs="Times New Roman"/>
        </w:rPr>
      </w:pPr>
    </w:p>
    <w:p w14:paraId="305D6D37"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0B33A2F6" w14:textId="77777777" w:rsidR="00B307DB" w:rsidRPr="00D84571" w:rsidRDefault="00B307DB" w:rsidP="00B307DB">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56FF71E3" w14:textId="77777777" w:rsidR="00B307DB" w:rsidRPr="00D84571" w:rsidRDefault="00B307DB" w:rsidP="00B307DB">
      <w:pPr>
        <w:spacing w:after="0" w:line="240" w:lineRule="auto"/>
        <w:ind w:right="-568"/>
        <w:jc w:val="center"/>
        <w:rPr>
          <w:rFonts w:ascii="Times New Roman" w:hAnsi="Times New Roman" w:cs="Times New Roman"/>
          <w:b/>
        </w:rPr>
      </w:pPr>
    </w:p>
    <w:p w14:paraId="20C0E5FC" w14:textId="77777777" w:rsidR="00B307DB" w:rsidRPr="00D84571" w:rsidRDefault="00B307DB" w:rsidP="00B307DB">
      <w:pPr>
        <w:spacing w:after="0" w:line="240" w:lineRule="auto"/>
        <w:ind w:right="-568"/>
        <w:jc w:val="center"/>
        <w:rPr>
          <w:rFonts w:ascii="Times New Roman" w:hAnsi="Times New Roman" w:cs="Times New Roman"/>
          <w:b/>
        </w:rPr>
      </w:pPr>
    </w:p>
    <w:p w14:paraId="2343CA31" w14:textId="77777777" w:rsidR="00B307DB" w:rsidRPr="00D84571" w:rsidRDefault="00B307DB" w:rsidP="00B307DB">
      <w:pPr>
        <w:spacing w:after="0" w:line="240" w:lineRule="auto"/>
        <w:ind w:right="-568"/>
        <w:jc w:val="center"/>
        <w:rPr>
          <w:rFonts w:ascii="Times New Roman" w:hAnsi="Times New Roman" w:cs="Times New Roman"/>
          <w:b/>
        </w:rPr>
      </w:pPr>
    </w:p>
    <w:p w14:paraId="7AB084E0" w14:textId="77777777" w:rsidR="00B307DB" w:rsidRPr="00D84571" w:rsidRDefault="00B307DB" w:rsidP="00B307DB">
      <w:pPr>
        <w:spacing w:after="0" w:line="240" w:lineRule="auto"/>
        <w:ind w:right="-568"/>
        <w:jc w:val="center"/>
        <w:rPr>
          <w:rFonts w:ascii="Times New Roman" w:hAnsi="Times New Roman" w:cs="Times New Roman"/>
          <w:b/>
        </w:rPr>
      </w:pPr>
    </w:p>
    <w:p w14:paraId="60E685BA" w14:textId="77777777" w:rsidR="00B307DB" w:rsidRPr="00D84571" w:rsidRDefault="00B307DB" w:rsidP="00B307DB">
      <w:pPr>
        <w:spacing w:after="0" w:line="240" w:lineRule="auto"/>
        <w:ind w:right="-568"/>
        <w:jc w:val="center"/>
        <w:rPr>
          <w:rFonts w:ascii="Times New Roman" w:hAnsi="Times New Roman" w:cs="Times New Roman"/>
          <w:b/>
        </w:rPr>
      </w:pPr>
    </w:p>
    <w:p w14:paraId="06A51042" w14:textId="77777777" w:rsidR="00B307DB" w:rsidRDefault="00B307DB" w:rsidP="00B307DB">
      <w:pPr>
        <w:spacing w:after="0" w:line="240" w:lineRule="auto"/>
        <w:ind w:right="-568"/>
        <w:jc w:val="center"/>
        <w:rPr>
          <w:rFonts w:ascii="Times New Roman" w:hAnsi="Times New Roman" w:cs="Times New Roman"/>
          <w:b/>
        </w:rPr>
      </w:pPr>
    </w:p>
    <w:p w14:paraId="056D65BC" w14:textId="77777777" w:rsidR="00B307DB" w:rsidRDefault="00B307DB" w:rsidP="00B307DB">
      <w:pPr>
        <w:spacing w:after="0" w:line="240" w:lineRule="auto"/>
        <w:ind w:right="-568"/>
        <w:jc w:val="center"/>
        <w:rPr>
          <w:rFonts w:ascii="Times New Roman" w:hAnsi="Times New Roman" w:cs="Times New Roman"/>
          <w:b/>
        </w:rPr>
      </w:pPr>
    </w:p>
    <w:p w14:paraId="50E481C9" w14:textId="77777777" w:rsidR="00B307DB" w:rsidRDefault="00B307DB" w:rsidP="00B307DB">
      <w:pPr>
        <w:spacing w:after="0" w:line="240" w:lineRule="auto"/>
        <w:ind w:right="-568"/>
        <w:jc w:val="center"/>
        <w:rPr>
          <w:rFonts w:ascii="Times New Roman" w:hAnsi="Times New Roman" w:cs="Times New Roman"/>
          <w:b/>
        </w:rPr>
      </w:pPr>
    </w:p>
    <w:p w14:paraId="6953E777" w14:textId="77777777" w:rsidR="00B307DB" w:rsidRDefault="00B307DB" w:rsidP="00B307DB">
      <w:pPr>
        <w:spacing w:after="0" w:line="240" w:lineRule="auto"/>
        <w:ind w:right="-568"/>
        <w:jc w:val="center"/>
        <w:rPr>
          <w:rFonts w:ascii="Times New Roman" w:hAnsi="Times New Roman" w:cs="Times New Roman"/>
          <w:b/>
        </w:rPr>
      </w:pPr>
    </w:p>
    <w:p w14:paraId="52E3AC34" w14:textId="77777777" w:rsidR="00B307DB" w:rsidRDefault="00B307DB" w:rsidP="00B307DB">
      <w:pPr>
        <w:spacing w:after="0" w:line="240" w:lineRule="auto"/>
        <w:ind w:right="-568"/>
        <w:jc w:val="center"/>
        <w:rPr>
          <w:rFonts w:ascii="Times New Roman" w:hAnsi="Times New Roman" w:cs="Times New Roman"/>
          <w:b/>
        </w:rPr>
      </w:pPr>
    </w:p>
    <w:p w14:paraId="035216EB" w14:textId="77777777" w:rsidR="00B307DB" w:rsidRDefault="00B307DB" w:rsidP="00B307DB">
      <w:pPr>
        <w:spacing w:after="0" w:line="240" w:lineRule="auto"/>
        <w:ind w:right="-568"/>
        <w:jc w:val="center"/>
        <w:rPr>
          <w:rFonts w:ascii="Times New Roman" w:hAnsi="Times New Roman" w:cs="Times New Roman"/>
          <w:b/>
        </w:rPr>
      </w:pPr>
    </w:p>
    <w:p w14:paraId="7F45E88B" w14:textId="77777777" w:rsidR="00B307DB" w:rsidRDefault="00B307DB" w:rsidP="00B307DB">
      <w:pPr>
        <w:spacing w:after="0" w:line="240" w:lineRule="auto"/>
        <w:ind w:right="-568"/>
        <w:jc w:val="center"/>
        <w:rPr>
          <w:rFonts w:ascii="Times New Roman" w:hAnsi="Times New Roman" w:cs="Times New Roman"/>
          <w:b/>
        </w:rPr>
      </w:pPr>
    </w:p>
    <w:p w14:paraId="37F71F06" w14:textId="77777777" w:rsidR="00B307DB" w:rsidRDefault="00B307DB" w:rsidP="00B307DB">
      <w:pPr>
        <w:spacing w:after="0" w:line="240" w:lineRule="auto"/>
        <w:ind w:right="-568"/>
        <w:jc w:val="center"/>
        <w:rPr>
          <w:rFonts w:ascii="Times New Roman" w:hAnsi="Times New Roman" w:cs="Times New Roman"/>
          <w:b/>
        </w:rPr>
      </w:pPr>
    </w:p>
    <w:p w14:paraId="1E6E03C5" w14:textId="77777777" w:rsidR="00B307DB" w:rsidRDefault="00B307DB" w:rsidP="00B307DB">
      <w:pPr>
        <w:spacing w:after="0" w:line="240" w:lineRule="auto"/>
        <w:ind w:right="-568"/>
        <w:jc w:val="center"/>
        <w:rPr>
          <w:rFonts w:ascii="Times New Roman" w:hAnsi="Times New Roman" w:cs="Times New Roman"/>
          <w:b/>
        </w:rPr>
      </w:pPr>
    </w:p>
    <w:p w14:paraId="7D936731" w14:textId="77777777" w:rsidR="00B307DB" w:rsidRPr="00D84571" w:rsidRDefault="00B307DB" w:rsidP="00B307DB">
      <w:pPr>
        <w:spacing w:after="0" w:line="240" w:lineRule="auto"/>
        <w:ind w:right="-568"/>
        <w:jc w:val="center"/>
        <w:rPr>
          <w:rFonts w:ascii="Times New Roman" w:hAnsi="Times New Roman" w:cs="Times New Roman"/>
          <w:b/>
        </w:rPr>
      </w:pPr>
    </w:p>
    <w:p w14:paraId="1AEABFB5" w14:textId="77777777" w:rsidR="00B307DB" w:rsidRPr="00D84571" w:rsidRDefault="00B307DB" w:rsidP="00B307DB">
      <w:pPr>
        <w:spacing w:after="0" w:line="240" w:lineRule="auto"/>
        <w:ind w:right="-568"/>
        <w:jc w:val="center"/>
        <w:rPr>
          <w:rFonts w:ascii="Times New Roman" w:hAnsi="Times New Roman" w:cs="Times New Roman"/>
          <w:b/>
        </w:rPr>
      </w:pPr>
    </w:p>
    <w:p w14:paraId="3AC954CD" w14:textId="77777777" w:rsidR="00B307DB" w:rsidRPr="00D84571" w:rsidRDefault="00B307DB" w:rsidP="00B307DB">
      <w:pPr>
        <w:spacing w:after="0" w:line="240" w:lineRule="auto"/>
        <w:ind w:right="-568"/>
        <w:jc w:val="center"/>
        <w:rPr>
          <w:rFonts w:ascii="Times New Roman" w:hAnsi="Times New Roman" w:cs="Times New Roman"/>
          <w:b/>
        </w:rPr>
      </w:pPr>
    </w:p>
    <w:p w14:paraId="58C71257" w14:textId="77777777" w:rsidR="00B307DB" w:rsidRPr="00D84571" w:rsidRDefault="00B307DB" w:rsidP="00B307DB">
      <w:pPr>
        <w:spacing w:after="0" w:line="240" w:lineRule="auto"/>
        <w:ind w:right="-568"/>
        <w:jc w:val="center"/>
        <w:rPr>
          <w:rFonts w:ascii="Times New Roman" w:hAnsi="Times New Roman" w:cs="Times New Roman"/>
          <w:b/>
        </w:rPr>
      </w:pPr>
    </w:p>
    <w:p w14:paraId="68177396" w14:textId="77777777" w:rsidR="00B307DB" w:rsidRPr="00D84571" w:rsidRDefault="00B307DB" w:rsidP="00B307DB">
      <w:pPr>
        <w:spacing w:after="0" w:line="240" w:lineRule="auto"/>
        <w:ind w:right="-568"/>
        <w:jc w:val="center"/>
        <w:rPr>
          <w:rFonts w:ascii="Times New Roman" w:hAnsi="Times New Roman" w:cs="Times New Roman"/>
          <w:b/>
        </w:rPr>
      </w:pPr>
    </w:p>
    <w:p w14:paraId="66BA357B" w14:textId="77777777" w:rsidR="00B307DB" w:rsidRPr="00D84571" w:rsidRDefault="00B307DB" w:rsidP="00B307DB">
      <w:pPr>
        <w:spacing w:after="0" w:line="240" w:lineRule="auto"/>
        <w:ind w:right="-568"/>
        <w:jc w:val="center"/>
        <w:rPr>
          <w:rFonts w:ascii="Times New Roman" w:hAnsi="Times New Roman" w:cs="Times New Roman"/>
          <w:b/>
        </w:rPr>
      </w:pPr>
    </w:p>
    <w:p w14:paraId="10A2906B"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r w:rsidRPr="00D84571">
        <w:rPr>
          <w:rFonts w:ascii="Times New Roman" w:hAnsi="Times New Roman" w:cs="Times New Roman"/>
          <w:b/>
        </w:rPr>
        <w:t xml:space="preserve"> </w:t>
      </w:r>
    </w:p>
    <w:p w14:paraId="478B1F74" w14:textId="77777777" w:rsidR="00B307DB" w:rsidRPr="00D84571" w:rsidRDefault="00B307DB" w:rsidP="00B307DB">
      <w:pPr>
        <w:shd w:val="clear" w:color="auto" w:fill="A6A6A6" w:themeFill="background1" w:themeFillShade="A6"/>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3F428307" w14:textId="77777777" w:rsidR="00B307DB" w:rsidRPr="00D84571" w:rsidRDefault="00B307DB" w:rsidP="00B307DB">
      <w:pPr>
        <w:spacing w:after="0" w:line="240" w:lineRule="auto"/>
        <w:ind w:right="-568"/>
        <w:jc w:val="center"/>
        <w:rPr>
          <w:rFonts w:ascii="Times New Roman" w:hAnsi="Times New Roman" w:cs="Times New Roman"/>
          <w:b/>
        </w:rPr>
      </w:pPr>
    </w:p>
    <w:p w14:paraId="75A96DDE" w14:textId="77777777" w:rsidR="00B307DB" w:rsidRPr="00D84571" w:rsidRDefault="00B307DB" w:rsidP="00B307DB">
      <w:pPr>
        <w:pStyle w:val="Ttulo1"/>
        <w:shd w:val="clear" w:color="auto" w:fill="A5A5A5" w:themeFill="accent3"/>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VII</w:t>
      </w:r>
      <w:r>
        <w:rPr>
          <w:rFonts w:ascii="Times New Roman" w:hAnsi="Times New Roman" w:cs="Times New Roman"/>
          <w:sz w:val="22"/>
          <w:szCs w:val="22"/>
        </w:rPr>
        <w:t>I</w:t>
      </w:r>
      <w:r w:rsidRPr="00D84571">
        <w:rPr>
          <w:rFonts w:ascii="Times New Roman" w:hAnsi="Times New Roman" w:cs="Times New Roman"/>
          <w:sz w:val="22"/>
          <w:szCs w:val="22"/>
        </w:rPr>
        <w:t xml:space="preserve"> – ATENDIMENTO AOS REQUISITOS DE HABILITAÇÃO</w:t>
      </w:r>
    </w:p>
    <w:p w14:paraId="7FE8E50A" w14:textId="77777777" w:rsidR="00B307DB" w:rsidRPr="00D84571" w:rsidRDefault="00B307DB" w:rsidP="00B307DB">
      <w:pPr>
        <w:spacing w:after="0" w:line="240" w:lineRule="auto"/>
        <w:ind w:right="-568"/>
        <w:jc w:val="center"/>
        <w:rPr>
          <w:rFonts w:ascii="Times New Roman" w:hAnsi="Times New Roman" w:cs="Times New Roman"/>
          <w:b/>
        </w:rPr>
      </w:pPr>
    </w:p>
    <w:p w14:paraId="24A7B987" w14:textId="77777777" w:rsidR="00B307DB" w:rsidRPr="00D84571" w:rsidRDefault="00B307DB" w:rsidP="00B307DB">
      <w:pPr>
        <w:spacing w:after="0" w:line="240" w:lineRule="auto"/>
        <w:ind w:right="-568"/>
        <w:jc w:val="center"/>
        <w:rPr>
          <w:rFonts w:ascii="Times New Roman" w:hAnsi="Times New Roman" w:cs="Times New Roman"/>
          <w:b/>
        </w:rPr>
      </w:pPr>
      <w:r w:rsidRPr="00D84571">
        <w:rPr>
          <w:rFonts w:ascii="Times New Roman" w:hAnsi="Times New Roman" w:cs="Times New Roman"/>
          <w:b/>
        </w:rPr>
        <w:t>ATENDIMENTO AOS REQUISITOS DE HABILITAÇÃO</w:t>
      </w:r>
    </w:p>
    <w:p w14:paraId="5185447D" w14:textId="77777777" w:rsidR="00B307DB" w:rsidRPr="00D84571" w:rsidRDefault="00B307DB" w:rsidP="00B307DB">
      <w:pPr>
        <w:spacing w:after="0" w:line="240" w:lineRule="auto"/>
        <w:ind w:right="-568"/>
        <w:jc w:val="both"/>
        <w:rPr>
          <w:rFonts w:ascii="Times New Roman" w:hAnsi="Times New Roman" w:cs="Times New Roman"/>
        </w:rPr>
      </w:pPr>
    </w:p>
    <w:p w14:paraId="00A13E17" w14:textId="77777777" w:rsidR="00B307DB" w:rsidRPr="00D84571" w:rsidRDefault="00B307DB" w:rsidP="00B307DB">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307" w:anchor="art63i" w:history="1">
        <w:r w:rsidRPr="00D84571">
          <w:rPr>
            <w:rStyle w:val="Hyperlink"/>
            <w:rFonts w:ascii="Times New Roman" w:hAnsi="Times New Roman" w:cs="Times New Roman"/>
          </w:rPr>
          <w:t>art. 63, I da Lei nº 14.133/2021</w:t>
        </w:r>
      </w:hyperlink>
      <w:r w:rsidRPr="00D84571">
        <w:rPr>
          <w:rFonts w:ascii="Times New Roman" w:hAnsi="Times New Roman" w:cs="Times New Roman"/>
        </w:rPr>
        <w:t xml:space="preserve"> que atende aos requisitos de habilitação, respondendo pela veracidade das informações prestadas, na forma da lei.</w:t>
      </w:r>
    </w:p>
    <w:p w14:paraId="44D7A131"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308"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1F4FAE6B" w14:textId="77777777" w:rsidR="00B307DB" w:rsidRPr="00D84571" w:rsidRDefault="00B307DB" w:rsidP="00B307DB">
      <w:pPr>
        <w:spacing w:after="0" w:line="240" w:lineRule="auto"/>
        <w:ind w:right="-568"/>
        <w:jc w:val="both"/>
        <w:rPr>
          <w:rFonts w:ascii="Times New Roman" w:hAnsi="Times New Roman" w:cs="Times New Roman"/>
        </w:rPr>
      </w:pPr>
    </w:p>
    <w:p w14:paraId="4EE3071A"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76944E2D" w14:textId="77777777" w:rsidR="00B307DB" w:rsidRPr="00D84571" w:rsidRDefault="00B307DB" w:rsidP="00B307DB">
      <w:pPr>
        <w:spacing w:after="0" w:line="240" w:lineRule="auto"/>
        <w:ind w:right="-568"/>
        <w:jc w:val="center"/>
        <w:rPr>
          <w:rFonts w:ascii="Times New Roman" w:hAnsi="Times New Roman" w:cs="Times New Roman"/>
        </w:rPr>
      </w:pPr>
    </w:p>
    <w:p w14:paraId="32881D78"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2ADF47A8" w14:textId="77777777" w:rsidR="00B307DB" w:rsidRPr="00D84571" w:rsidRDefault="00B307DB" w:rsidP="00B307DB">
      <w:pPr>
        <w:spacing w:after="0" w:line="240" w:lineRule="auto"/>
        <w:ind w:right="-568"/>
        <w:jc w:val="center"/>
        <w:rPr>
          <w:rFonts w:ascii="Times New Roman" w:hAnsi="Times New Roman" w:cs="Times New Roman"/>
          <w:b/>
        </w:rPr>
      </w:pPr>
      <w:r w:rsidRPr="00D84571">
        <w:rPr>
          <w:rFonts w:ascii="Times New Roman" w:hAnsi="Times New Roman" w:cs="Times New Roman"/>
        </w:rPr>
        <w:t>(LICITANTE – CNPJ/CPF)</w:t>
      </w:r>
    </w:p>
    <w:p w14:paraId="52CCC14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20E644"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2E8E20"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0F5026"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C827234"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644222"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49D4F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7BCD91"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F89F23E"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1F01B3"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910D4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B8955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473926"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4684644"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F5C61EA"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25253A"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11E60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B29114"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C7493B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F54B404"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F8AEF0C"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00160EC"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FF0151A"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66585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957EFE7"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9B32C9"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5F7EF89"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AD1C2E"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1F0082"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632F00"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30F008D"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94DAC5"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6997E3A" w14:textId="77777777" w:rsidR="00B307DB"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98C358F"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EF9B86"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D2E1EB9"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5D7E24"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6BD0A3D"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3E93DC"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4BB46A0"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p>
    <w:p w14:paraId="6F912A95" w14:textId="77777777" w:rsidR="00B307DB" w:rsidRPr="00D84571" w:rsidRDefault="00B307DB" w:rsidP="00B307DB">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2F1B9AC1" w14:textId="77777777" w:rsidR="00B307DB" w:rsidRPr="00D84571" w:rsidRDefault="00B307DB" w:rsidP="00B307D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10CA512" w14:textId="77777777" w:rsidR="00B307DB" w:rsidRPr="00D84571" w:rsidRDefault="00B307DB" w:rsidP="00B307DB">
      <w:pPr>
        <w:pStyle w:val="Ttulo1"/>
        <w:shd w:val="clear" w:color="auto" w:fill="A5A5A5" w:themeFill="accent3"/>
        <w:spacing w:before="0" w:line="240" w:lineRule="auto"/>
        <w:ind w:right="-568"/>
        <w:jc w:val="center"/>
        <w:rPr>
          <w:rFonts w:ascii="Times New Roman" w:hAnsi="Times New Roman" w:cs="Times New Roman"/>
          <w:sz w:val="22"/>
          <w:szCs w:val="22"/>
        </w:rPr>
      </w:pPr>
      <w:r>
        <w:rPr>
          <w:rFonts w:ascii="Times New Roman" w:hAnsi="Times New Roman" w:cs="Times New Roman"/>
          <w:sz w:val="22"/>
          <w:szCs w:val="22"/>
        </w:rPr>
        <w:t>ANEXO IX</w:t>
      </w:r>
      <w:r w:rsidRPr="00D84571">
        <w:rPr>
          <w:rFonts w:ascii="Times New Roman" w:hAnsi="Times New Roman" w:cs="Times New Roman"/>
          <w:sz w:val="22"/>
          <w:szCs w:val="22"/>
        </w:rPr>
        <w:t xml:space="preserve"> – DECLARAÇÃO DE CUMPRIMENTO DE RESERVA DE CARGOS</w:t>
      </w:r>
    </w:p>
    <w:p w14:paraId="6D257DE6" w14:textId="77777777" w:rsidR="00B307DB" w:rsidRPr="00D84571" w:rsidRDefault="00B307DB" w:rsidP="00B307DB">
      <w:pPr>
        <w:spacing w:after="0" w:line="240" w:lineRule="auto"/>
        <w:ind w:right="-568"/>
        <w:jc w:val="center"/>
        <w:rPr>
          <w:rFonts w:ascii="Times New Roman" w:hAnsi="Times New Roman" w:cs="Times New Roman"/>
          <w:b/>
        </w:rPr>
      </w:pPr>
    </w:p>
    <w:p w14:paraId="525BE301" w14:textId="77777777" w:rsidR="00B307DB" w:rsidRPr="00D84571" w:rsidRDefault="00B307DB" w:rsidP="00B307DB">
      <w:pPr>
        <w:spacing w:after="0" w:line="240" w:lineRule="auto"/>
        <w:ind w:right="-568"/>
        <w:jc w:val="center"/>
        <w:rPr>
          <w:rFonts w:ascii="Times New Roman" w:hAnsi="Times New Roman" w:cs="Times New Roman"/>
          <w:b/>
        </w:rPr>
      </w:pPr>
      <w:r w:rsidRPr="00D84571">
        <w:rPr>
          <w:rFonts w:ascii="Times New Roman" w:hAnsi="Times New Roman" w:cs="Times New Roman"/>
          <w:b/>
        </w:rPr>
        <w:t>DECLARAÇÃO DE CUMPRIMENTO DE RESERVA DE CARGOS</w:t>
      </w:r>
    </w:p>
    <w:p w14:paraId="2A208058" w14:textId="77777777" w:rsidR="00B307DB" w:rsidRPr="00D84571" w:rsidRDefault="00B307DB" w:rsidP="00B307DB">
      <w:pPr>
        <w:spacing w:after="0" w:line="240" w:lineRule="auto"/>
        <w:ind w:right="-568"/>
        <w:jc w:val="both"/>
        <w:rPr>
          <w:rFonts w:ascii="Times New Roman" w:hAnsi="Times New Roman" w:cs="Times New Roman"/>
        </w:rPr>
      </w:pPr>
    </w:p>
    <w:p w14:paraId="3BE887C9" w14:textId="77777777" w:rsidR="00B307DB" w:rsidRPr="00D84571" w:rsidRDefault="00B307DB" w:rsidP="00B307DB">
      <w:pPr>
        <w:spacing w:after="0" w:line="240" w:lineRule="auto"/>
        <w:ind w:right="-568" w:firstLine="708"/>
        <w:jc w:val="both"/>
        <w:rPr>
          <w:rFonts w:ascii="Times New Roman" w:hAnsi="Times New Roman" w:cs="Times New Roman"/>
        </w:rPr>
      </w:pPr>
      <w:r w:rsidRPr="00D84571">
        <w:rPr>
          <w:rFonts w:ascii="Times New Roman" w:hAnsi="Times New Roman" w:cs="Times New Roman"/>
        </w:rPr>
        <w:t xml:space="preserve">O licitante ___________________________, inscrito no CPF/CNPJ nº ______________, DECLARA, nos termos do </w:t>
      </w:r>
      <w:hyperlink r:id="rId309" w:anchor="art63iv" w:history="1">
        <w:r w:rsidRPr="00D84571">
          <w:rPr>
            <w:rStyle w:val="Hyperlink"/>
            <w:rFonts w:ascii="Times New Roman" w:hAnsi="Times New Roman" w:cs="Times New Roman"/>
          </w:rPr>
          <w:t>art. 63, IV, da Lei nº 14.133/2021</w:t>
        </w:r>
      </w:hyperlink>
      <w:r w:rsidRPr="00D84571">
        <w:rPr>
          <w:rFonts w:ascii="Times New Roman" w:hAnsi="Times New Roman" w:cs="Times New Roman"/>
        </w:rPr>
        <w:t>, que cumpre as exigências de reserva de cargos para pessoa com deficiência e para reabilitado da Previdência Social, previstas em lei e em outras normas específicas.</w:t>
      </w:r>
    </w:p>
    <w:p w14:paraId="62ADFF5C"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rPr>
        <w:tab/>
        <w:t xml:space="preserve">Por ser expressão da verdade, assumo inteira responsabilidade por esta declaração, sob pena do </w:t>
      </w:r>
      <w:hyperlink r:id="rId310" w:anchor="art299" w:history="1">
        <w:r w:rsidRPr="00D84571">
          <w:rPr>
            <w:rStyle w:val="Hyperlink"/>
            <w:rFonts w:ascii="Times New Roman" w:hAnsi="Times New Roman" w:cs="Times New Roman"/>
          </w:rPr>
          <w:t>art. 299 do Código Penal</w:t>
        </w:r>
      </w:hyperlink>
      <w:r w:rsidRPr="00D84571">
        <w:rPr>
          <w:rFonts w:ascii="Times New Roman" w:hAnsi="Times New Roman" w:cs="Times New Roman"/>
        </w:rPr>
        <w:t>.</w:t>
      </w:r>
    </w:p>
    <w:p w14:paraId="482A685A" w14:textId="77777777" w:rsidR="00B307DB" w:rsidRPr="00D84571" w:rsidRDefault="00B307DB" w:rsidP="00B307DB">
      <w:pPr>
        <w:spacing w:after="0" w:line="240" w:lineRule="auto"/>
        <w:ind w:right="-568"/>
        <w:jc w:val="both"/>
        <w:rPr>
          <w:rFonts w:ascii="Times New Roman" w:hAnsi="Times New Roman" w:cs="Times New Roman"/>
        </w:rPr>
      </w:pPr>
    </w:p>
    <w:p w14:paraId="1DF22F2C"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6F0862BA" w14:textId="77777777" w:rsidR="00B307DB" w:rsidRPr="00D84571" w:rsidRDefault="00B307DB" w:rsidP="00B307DB">
      <w:pPr>
        <w:spacing w:after="0" w:line="240" w:lineRule="auto"/>
        <w:ind w:right="-568"/>
        <w:jc w:val="center"/>
        <w:rPr>
          <w:rFonts w:ascii="Times New Roman" w:hAnsi="Times New Roman" w:cs="Times New Roman"/>
        </w:rPr>
      </w:pPr>
    </w:p>
    <w:p w14:paraId="2FC07F2B"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06DB695E"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2A65FF56" w14:textId="77777777" w:rsidR="00B307DB" w:rsidRPr="00D84571" w:rsidRDefault="00B307DB" w:rsidP="00B307DB">
      <w:pPr>
        <w:spacing w:after="0" w:line="240" w:lineRule="auto"/>
        <w:ind w:right="-568"/>
        <w:jc w:val="center"/>
        <w:rPr>
          <w:rFonts w:ascii="Times New Roman" w:hAnsi="Times New Roman" w:cs="Times New Roman"/>
        </w:rPr>
      </w:pPr>
    </w:p>
    <w:p w14:paraId="260144F6" w14:textId="77777777" w:rsidR="00B307DB" w:rsidRPr="00D84571" w:rsidRDefault="00B307DB" w:rsidP="00B307DB">
      <w:pPr>
        <w:spacing w:after="0" w:line="240" w:lineRule="auto"/>
        <w:ind w:right="-568"/>
        <w:jc w:val="center"/>
        <w:rPr>
          <w:rFonts w:ascii="Times New Roman" w:hAnsi="Times New Roman" w:cs="Times New Roman"/>
        </w:rPr>
      </w:pPr>
    </w:p>
    <w:p w14:paraId="19BF461F" w14:textId="77777777" w:rsidR="00B307DB" w:rsidRPr="00D84571" w:rsidRDefault="00B307DB" w:rsidP="00B307DB">
      <w:pPr>
        <w:spacing w:after="0" w:line="240" w:lineRule="auto"/>
        <w:ind w:right="-568"/>
        <w:jc w:val="center"/>
        <w:rPr>
          <w:rFonts w:ascii="Times New Roman" w:hAnsi="Times New Roman" w:cs="Times New Roman"/>
        </w:rPr>
      </w:pPr>
    </w:p>
    <w:p w14:paraId="59F1C1F1" w14:textId="77777777" w:rsidR="00B307DB" w:rsidRPr="00D84571" w:rsidRDefault="00B307DB" w:rsidP="00B307DB">
      <w:pPr>
        <w:spacing w:after="0" w:line="240" w:lineRule="auto"/>
        <w:ind w:right="-568"/>
        <w:jc w:val="center"/>
        <w:rPr>
          <w:rFonts w:ascii="Times New Roman" w:hAnsi="Times New Roman" w:cs="Times New Roman"/>
        </w:rPr>
      </w:pPr>
    </w:p>
    <w:p w14:paraId="2AAA1A9C" w14:textId="77777777" w:rsidR="00B307DB" w:rsidRPr="00D84571" w:rsidRDefault="00B307DB" w:rsidP="00B307DB">
      <w:pPr>
        <w:spacing w:after="0" w:line="240" w:lineRule="auto"/>
        <w:ind w:right="-568"/>
        <w:jc w:val="center"/>
        <w:rPr>
          <w:rFonts w:ascii="Times New Roman" w:hAnsi="Times New Roman" w:cs="Times New Roman"/>
        </w:rPr>
      </w:pPr>
    </w:p>
    <w:p w14:paraId="5ACBA744" w14:textId="77777777" w:rsidR="00B307DB" w:rsidRPr="00D84571" w:rsidRDefault="00B307DB" w:rsidP="00B307DB">
      <w:pPr>
        <w:spacing w:after="0" w:line="240" w:lineRule="auto"/>
        <w:ind w:right="-568"/>
        <w:jc w:val="center"/>
        <w:rPr>
          <w:rFonts w:ascii="Times New Roman" w:hAnsi="Times New Roman" w:cs="Times New Roman"/>
        </w:rPr>
      </w:pPr>
    </w:p>
    <w:p w14:paraId="51DCB850" w14:textId="77777777" w:rsidR="00B307DB" w:rsidRPr="00D84571" w:rsidRDefault="00B307DB" w:rsidP="00B307DB">
      <w:pPr>
        <w:spacing w:after="0" w:line="240" w:lineRule="auto"/>
        <w:ind w:right="-568"/>
        <w:jc w:val="center"/>
        <w:rPr>
          <w:rFonts w:ascii="Times New Roman" w:hAnsi="Times New Roman" w:cs="Times New Roman"/>
        </w:rPr>
      </w:pPr>
    </w:p>
    <w:p w14:paraId="1B97C263" w14:textId="77777777" w:rsidR="00B307DB" w:rsidRPr="00D84571" w:rsidRDefault="00B307DB" w:rsidP="00B307DB">
      <w:pPr>
        <w:spacing w:after="0" w:line="240" w:lineRule="auto"/>
        <w:ind w:right="-568"/>
        <w:jc w:val="center"/>
        <w:rPr>
          <w:rFonts w:ascii="Times New Roman" w:hAnsi="Times New Roman" w:cs="Times New Roman"/>
        </w:rPr>
      </w:pPr>
    </w:p>
    <w:p w14:paraId="280903F8" w14:textId="77777777" w:rsidR="00B307DB" w:rsidRPr="00D84571" w:rsidRDefault="00B307DB" w:rsidP="00B307DB">
      <w:pPr>
        <w:spacing w:after="0" w:line="240" w:lineRule="auto"/>
        <w:ind w:right="-568"/>
        <w:jc w:val="center"/>
        <w:rPr>
          <w:rFonts w:ascii="Times New Roman" w:hAnsi="Times New Roman" w:cs="Times New Roman"/>
        </w:rPr>
      </w:pPr>
    </w:p>
    <w:p w14:paraId="7CE9F6D0" w14:textId="77777777" w:rsidR="00B307DB" w:rsidRPr="00D84571" w:rsidRDefault="00B307DB" w:rsidP="00B307DB">
      <w:pPr>
        <w:spacing w:after="0" w:line="240" w:lineRule="auto"/>
        <w:ind w:right="-568"/>
        <w:jc w:val="center"/>
        <w:rPr>
          <w:rFonts w:ascii="Times New Roman" w:hAnsi="Times New Roman" w:cs="Times New Roman"/>
        </w:rPr>
      </w:pPr>
    </w:p>
    <w:p w14:paraId="36AE92D5" w14:textId="77777777" w:rsidR="00B307DB" w:rsidRPr="00D84571" w:rsidRDefault="00B307DB" w:rsidP="00B307DB">
      <w:pPr>
        <w:spacing w:after="0" w:line="240" w:lineRule="auto"/>
        <w:ind w:right="-568"/>
        <w:jc w:val="center"/>
        <w:rPr>
          <w:rFonts w:ascii="Times New Roman" w:hAnsi="Times New Roman" w:cs="Times New Roman"/>
        </w:rPr>
      </w:pPr>
    </w:p>
    <w:p w14:paraId="6243C63A" w14:textId="77777777" w:rsidR="00B307DB" w:rsidRPr="00D84571" w:rsidRDefault="00B307DB" w:rsidP="00B307DB">
      <w:pPr>
        <w:spacing w:after="0" w:line="240" w:lineRule="auto"/>
        <w:ind w:right="-568"/>
        <w:jc w:val="center"/>
        <w:rPr>
          <w:rFonts w:ascii="Times New Roman" w:hAnsi="Times New Roman" w:cs="Times New Roman"/>
        </w:rPr>
      </w:pPr>
    </w:p>
    <w:p w14:paraId="5D187889" w14:textId="77777777" w:rsidR="00B307DB" w:rsidRPr="00D84571" w:rsidRDefault="00B307DB" w:rsidP="00B307DB">
      <w:pPr>
        <w:spacing w:after="0" w:line="240" w:lineRule="auto"/>
        <w:ind w:right="-568"/>
        <w:jc w:val="center"/>
        <w:rPr>
          <w:rFonts w:ascii="Times New Roman" w:hAnsi="Times New Roman" w:cs="Times New Roman"/>
        </w:rPr>
      </w:pPr>
    </w:p>
    <w:p w14:paraId="0ED4F4F7" w14:textId="77777777" w:rsidR="00B307DB" w:rsidRPr="00D84571" w:rsidRDefault="00B307DB" w:rsidP="00B307DB">
      <w:pPr>
        <w:spacing w:after="0" w:line="240" w:lineRule="auto"/>
        <w:ind w:right="-568"/>
        <w:jc w:val="center"/>
        <w:rPr>
          <w:rFonts w:ascii="Times New Roman" w:hAnsi="Times New Roman" w:cs="Times New Roman"/>
        </w:rPr>
      </w:pPr>
    </w:p>
    <w:p w14:paraId="1AC66F5D" w14:textId="77777777" w:rsidR="00B307DB" w:rsidRPr="00D84571" w:rsidRDefault="00B307DB" w:rsidP="00B307DB">
      <w:pPr>
        <w:spacing w:after="0" w:line="240" w:lineRule="auto"/>
        <w:ind w:right="-568"/>
        <w:jc w:val="center"/>
        <w:rPr>
          <w:rFonts w:ascii="Times New Roman" w:hAnsi="Times New Roman" w:cs="Times New Roman"/>
        </w:rPr>
      </w:pPr>
    </w:p>
    <w:p w14:paraId="49AB0F23" w14:textId="77777777" w:rsidR="00B307DB" w:rsidRPr="00D84571" w:rsidRDefault="00B307DB" w:rsidP="00B307DB">
      <w:pPr>
        <w:spacing w:after="0" w:line="240" w:lineRule="auto"/>
        <w:ind w:right="-568"/>
        <w:jc w:val="center"/>
        <w:rPr>
          <w:rFonts w:ascii="Times New Roman" w:hAnsi="Times New Roman" w:cs="Times New Roman"/>
        </w:rPr>
      </w:pPr>
    </w:p>
    <w:p w14:paraId="42708F13" w14:textId="77777777" w:rsidR="00B307DB" w:rsidRPr="00D84571" w:rsidRDefault="00B307DB" w:rsidP="00B307DB">
      <w:pPr>
        <w:spacing w:after="0" w:line="240" w:lineRule="auto"/>
        <w:ind w:right="-568"/>
        <w:jc w:val="center"/>
        <w:rPr>
          <w:rFonts w:ascii="Times New Roman" w:hAnsi="Times New Roman" w:cs="Times New Roman"/>
        </w:rPr>
      </w:pPr>
    </w:p>
    <w:p w14:paraId="732DB22D" w14:textId="77777777" w:rsidR="00B307DB" w:rsidRPr="00D84571" w:rsidRDefault="00B307DB" w:rsidP="00B307DB">
      <w:pPr>
        <w:spacing w:after="0" w:line="240" w:lineRule="auto"/>
        <w:ind w:right="-568"/>
        <w:jc w:val="center"/>
        <w:rPr>
          <w:rFonts w:ascii="Times New Roman" w:hAnsi="Times New Roman" w:cs="Times New Roman"/>
        </w:rPr>
      </w:pPr>
    </w:p>
    <w:p w14:paraId="3B19663A" w14:textId="77777777" w:rsidR="00B307DB" w:rsidRPr="00D84571" w:rsidRDefault="00B307DB" w:rsidP="00B307DB">
      <w:pPr>
        <w:spacing w:after="0" w:line="240" w:lineRule="auto"/>
        <w:ind w:right="-568"/>
        <w:jc w:val="center"/>
        <w:rPr>
          <w:rFonts w:ascii="Times New Roman" w:hAnsi="Times New Roman" w:cs="Times New Roman"/>
        </w:rPr>
      </w:pPr>
    </w:p>
    <w:p w14:paraId="58739EE7" w14:textId="77777777" w:rsidR="00B307DB" w:rsidRPr="00D84571" w:rsidRDefault="00B307DB" w:rsidP="00B307DB">
      <w:pPr>
        <w:spacing w:after="0" w:line="240" w:lineRule="auto"/>
        <w:ind w:right="-568"/>
        <w:jc w:val="center"/>
        <w:rPr>
          <w:rFonts w:ascii="Times New Roman" w:hAnsi="Times New Roman" w:cs="Times New Roman"/>
        </w:rPr>
      </w:pPr>
    </w:p>
    <w:p w14:paraId="66A3E9F8" w14:textId="77777777" w:rsidR="00B307DB" w:rsidRPr="00D84571" w:rsidRDefault="00B307DB" w:rsidP="00B307DB">
      <w:pPr>
        <w:spacing w:after="0" w:line="240" w:lineRule="auto"/>
        <w:ind w:right="-568"/>
        <w:jc w:val="center"/>
        <w:rPr>
          <w:rFonts w:ascii="Times New Roman" w:hAnsi="Times New Roman" w:cs="Times New Roman"/>
        </w:rPr>
      </w:pPr>
    </w:p>
    <w:p w14:paraId="3953B812" w14:textId="77777777" w:rsidR="00B307DB" w:rsidRPr="00D84571" w:rsidRDefault="00B307DB" w:rsidP="00B307DB">
      <w:pPr>
        <w:spacing w:after="0" w:line="240" w:lineRule="auto"/>
        <w:ind w:right="-568"/>
        <w:jc w:val="center"/>
        <w:rPr>
          <w:rFonts w:ascii="Times New Roman" w:hAnsi="Times New Roman" w:cs="Times New Roman"/>
        </w:rPr>
      </w:pPr>
    </w:p>
    <w:p w14:paraId="5BC9505F" w14:textId="77777777" w:rsidR="00B307DB" w:rsidRPr="00D84571" w:rsidRDefault="00B307DB" w:rsidP="00B307DB">
      <w:pPr>
        <w:spacing w:after="0" w:line="240" w:lineRule="auto"/>
        <w:ind w:right="-568"/>
        <w:jc w:val="center"/>
        <w:rPr>
          <w:rFonts w:ascii="Times New Roman" w:hAnsi="Times New Roman" w:cs="Times New Roman"/>
        </w:rPr>
      </w:pPr>
    </w:p>
    <w:p w14:paraId="551D3170" w14:textId="77777777" w:rsidR="00B307DB" w:rsidRPr="00D84571" w:rsidRDefault="00B307DB" w:rsidP="00B307DB">
      <w:pPr>
        <w:spacing w:after="0" w:line="240" w:lineRule="auto"/>
        <w:ind w:right="-568"/>
        <w:jc w:val="center"/>
        <w:rPr>
          <w:rFonts w:ascii="Times New Roman" w:hAnsi="Times New Roman" w:cs="Times New Roman"/>
        </w:rPr>
      </w:pPr>
    </w:p>
    <w:p w14:paraId="5BFE893A" w14:textId="77777777" w:rsidR="00B307DB" w:rsidRPr="00D84571" w:rsidRDefault="00B307DB" w:rsidP="00B307DB">
      <w:pPr>
        <w:spacing w:after="0" w:line="240" w:lineRule="auto"/>
        <w:ind w:right="-568"/>
        <w:jc w:val="center"/>
        <w:rPr>
          <w:rFonts w:ascii="Times New Roman" w:hAnsi="Times New Roman" w:cs="Times New Roman"/>
        </w:rPr>
      </w:pPr>
    </w:p>
    <w:p w14:paraId="4EE3535B" w14:textId="77777777" w:rsidR="00B307DB" w:rsidRPr="00D84571" w:rsidRDefault="00B307DB" w:rsidP="00B307DB">
      <w:pPr>
        <w:spacing w:after="0" w:line="240" w:lineRule="auto"/>
        <w:ind w:right="-568"/>
        <w:jc w:val="center"/>
        <w:rPr>
          <w:rFonts w:ascii="Times New Roman" w:hAnsi="Times New Roman" w:cs="Times New Roman"/>
        </w:rPr>
      </w:pPr>
    </w:p>
    <w:p w14:paraId="0201A95F" w14:textId="77777777" w:rsidR="00B307DB" w:rsidRPr="00D84571" w:rsidRDefault="00B307DB" w:rsidP="00B307DB">
      <w:pPr>
        <w:spacing w:after="0" w:line="240" w:lineRule="auto"/>
        <w:ind w:right="-568"/>
        <w:jc w:val="center"/>
        <w:rPr>
          <w:rFonts w:ascii="Times New Roman" w:hAnsi="Times New Roman" w:cs="Times New Roman"/>
        </w:rPr>
      </w:pPr>
    </w:p>
    <w:p w14:paraId="14CB56CA" w14:textId="77777777" w:rsidR="00B307DB" w:rsidRPr="00D84571" w:rsidRDefault="00B307DB" w:rsidP="00B307DB">
      <w:pPr>
        <w:spacing w:after="0" w:line="240" w:lineRule="auto"/>
        <w:ind w:right="-568"/>
        <w:jc w:val="center"/>
        <w:rPr>
          <w:rFonts w:ascii="Times New Roman" w:hAnsi="Times New Roman" w:cs="Times New Roman"/>
        </w:rPr>
      </w:pPr>
    </w:p>
    <w:p w14:paraId="57CD3C7B" w14:textId="77777777" w:rsidR="00B307DB" w:rsidRPr="00D84571" w:rsidRDefault="00B307DB" w:rsidP="00B307DB">
      <w:pPr>
        <w:spacing w:after="0" w:line="240" w:lineRule="auto"/>
        <w:ind w:right="-568"/>
        <w:jc w:val="center"/>
        <w:rPr>
          <w:rFonts w:ascii="Times New Roman" w:hAnsi="Times New Roman" w:cs="Times New Roman"/>
        </w:rPr>
      </w:pPr>
    </w:p>
    <w:p w14:paraId="779614E5" w14:textId="77777777" w:rsidR="00B307DB" w:rsidRPr="00D84571" w:rsidRDefault="00B307DB" w:rsidP="00B307DB">
      <w:pPr>
        <w:spacing w:after="0" w:line="240" w:lineRule="auto"/>
        <w:ind w:right="-568"/>
        <w:jc w:val="center"/>
        <w:rPr>
          <w:rFonts w:ascii="Times New Roman" w:hAnsi="Times New Roman" w:cs="Times New Roman"/>
        </w:rPr>
      </w:pPr>
    </w:p>
    <w:p w14:paraId="53AC89B4" w14:textId="77777777" w:rsidR="00B307DB" w:rsidRPr="00D84571" w:rsidRDefault="00B307DB" w:rsidP="00B307DB">
      <w:pPr>
        <w:spacing w:after="0" w:line="240" w:lineRule="auto"/>
        <w:ind w:right="-568"/>
        <w:jc w:val="center"/>
        <w:rPr>
          <w:rFonts w:ascii="Times New Roman" w:hAnsi="Times New Roman" w:cs="Times New Roman"/>
        </w:rPr>
      </w:pPr>
    </w:p>
    <w:p w14:paraId="1D2BA99E" w14:textId="77777777" w:rsidR="00B307DB" w:rsidRDefault="00B307DB" w:rsidP="00B307DB">
      <w:pPr>
        <w:spacing w:after="0" w:line="240" w:lineRule="auto"/>
        <w:ind w:right="-568"/>
        <w:jc w:val="center"/>
        <w:rPr>
          <w:rFonts w:ascii="Times New Roman" w:hAnsi="Times New Roman" w:cs="Times New Roman"/>
        </w:rPr>
      </w:pPr>
    </w:p>
    <w:p w14:paraId="2F16C31A" w14:textId="77777777" w:rsidR="00B307DB" w:rsidRDefault="00B307DB" w:rsidP="00B307DB">
      <w:pPr>
        <w:spacing w:after="0" w:line="240" w:lineRule="auto"/>
        <w:ind w:right="-568"/>
        <w:jc w:val="center"/>
        <w:rPr>
          <w:rFonts w:ascii="Times New Roman" w:hAnsi="Times New Roman" w:cs="Times New Roman"/>
        </w:rPr>
      </w:pPr>
    </w:p>
    <w:p w14:paraId="174798D6" w14:textId="77777777" w:rsidR="00B307DB" w:rsidRDefault="00B307DB" w:rsidP="00B307DB">
      <w:pPr>
        <w:spacing w:after="0" w:line="240" w:lineRule="auto"/>
        <w:ind w:right="-568"/>
        <w:jc w:val="center"/>
        <w:rPr>
          <w:rFonts w:ascii="Times New Roman" w:hAnsi="Times New Roman" w:cs="Times New Roman"/>
        </w:rPr>
      </w:pPr>
    </w:p>
    <w:p w14:paraId="30BEFBCC" w14:textId="77777777" w:rsidR="00B307DB" w:rsidRDefault="00B307DB" w:rsidP="00B307DB">
      <w:pPr>
        <w:spacing w:after="0" w:line="240" w:lineRule="auto"/>
        <w:ind w:right="-568"/>
        <w:jc w:val="center"/>
        <w:rPr>
          <w:rFonts w:ascii="Times New Roman" w:hAnsi="Times New Roman" w:cs="Times New Roman"/>
        </w:rPr>
      </w:pPr>
    </w:p>
    <w:p w14:paraId="29CE8179" w14:textId="77777777" w:rsidR="00B307DB" w:rsidRDefault="00B307DB" w:rsidP="00B307DB">
      <w:pPr>
        <w:spacing w:after="0" w:line="240" w:lineRule="auto"/>
        <w:ind w:right="-568"/>
        <w:jc w:val="center"/>
        <w:rPr>
          <w:rFonts w:ascii="Times New Roman" w:hAnsi="Times New Roman" w:cs="Times New Roman"/>
        </w:rPr>
      </w:pPr>
    </w:p>
    <w:p w14:paraId="7249D9EB" w14:textId="77777777" w:rsidR="00B307DB" w:rsidRPr="00D84571" w:rsidRDefault="00B307DB" w:rsidP="00B307DB">
      <w:pPr>
        <w:spacing w:after="0" w:line="240" w:lineRule="auto"/>
        <w:ind w:right="-568"/>
        <w:jc w:val="center"/>
        <w:rPr>
          <w:rFonts w:ascii="Times New Roman" w:hAnsi="Times New Roman" w:cs="Times New Roman"/>
        </w:rPr>
      </w:pPr>
    </w:p>
    <w:p w14:paraId="1639F9D8" w14:textId="77777777" w:rsidR="00B307DB" w:rsidRPr="00D84571" w:rsidRDefault="00B307DB" w:rsidP="00B307DB">
      <w:pPr>
        <w:spacing w:after="0" w:line="240" w:lineRule="auto"/>
        <w:ind w:right="-568"/>
        <w:jc w:val="center"/>
        <w:rPr>
          <w:rFonts w:ascii="Times New Roman" w:hAnsi="Times New Roman" w:cs="Times New Roman"/>
        </w:rPr>
      </w:pPr>
    </w:p>
    <w:p w14:paraId="4932957B"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p>
    <w:p w14:paraId="349D6A7F" w14:textId="77777777" w:rsidR="00B307DB" w:rsidRPr="00D84571" w:rsidRDefault="00B307DB" w:rsidP="00B307DB">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160B69AC" w14:textId="77777777" w:rsidR="00B307DB" w:rsidRPr="00D84571" w:rsidRDefault="00B307DB" w:rsidP="00B307DB">
      <w:pPr>
        <w:spacing w:after="0" w:line="240" w:lineRule="auto"/>
        <w:ind w:right="-567"/>
        <w:jc w:val="center"/>
        <w:rPr>
          <w:rFonts w:ascii="Times New Roman" w:hAnsi="Times New Roman" w:cs="Times New Roman"/>
        </w:rPr>
      </w:pPr>
    </w:p>
    <w:p w14:paraId="4EE1B5AA" w14:textId="77777777" w:rsidR="00B307DB" w:rsidRPr="00D84571" w:rsidRDefault="00B307DB" w:rsidP="00B307DB">
      <w:pPr>
        <w:pStyle w:val="Ttulo1"/>
        <w:shd w:val="clear" w:color="auto" w:fill="A5A5A5" w:themeFill="accent3"/>
        <w:spacing w:before="0" w:line="240" w:lineRule="auto"/>
        <w:ind w:right="-567"/>
        <w:jc w:val="center"/>
        <w:rPr>
          <w:rFonts w:ascii="Times New Roman" w:hAnsi="Times New Roman" w:cs="Times New Roman"/>
          <w:sz w:val="22"/>
          <w:szCs w:val="22"/>
        </w:rPr>
      </w:pPr>
      <w:r>
        <w:rPr>
          <w:rFonts w:ascii="Times New Roman" w:hAnsi="Times New Roman" w:cs="Times New Roman"/>
          <w:sz w:val="22"/>
          <w:szCs w:val="22"/>
        </w:rPr>
        <w:t xml:space="preserve">ANEXO </w:t>
      </w:r>
      <w:r w:rsidRPr="00D84571">
        <w:rPr>
          <w:rFonts w:ascii="Times New Roman" w:hAnsi="Times New Roman" w:cs="Times New Roman"/>
          <w:sz w:val="22"/>
          <w:szCs w:val="22"/>
        </w:rPr>
        <w:t>X – DECLARAÇÃO DE ATENDIMENTO À LEGISLAÇÃO</w:t>
      </w:r>
    </w:p>
    <w:p w14:paraId="44030DDA" w14:textId="77777777" w:rsidR="00B307DB" w:rsidRPr="00D84571" w:rsidRDefault="00B307DB" w:rsidP="00B307DB">
      <w:pPr>
        <w:pStyle w:val="Ttulo1"/>
        <w:shd w:val="clear" w:color="auto" w:fill="A5A5A5" w:themeFill="accent3"/>
        <w:spacing w:before="0" w:line="240" w:lineRule="auto"/>
        <w:ind w:right="-567"/>
        <w:jc w:val="center"/>
        <w:rPr>
          <w:rFonts w:ascii="Times New Roman" w:hAnsi="Times New Roman" w:cs="Times New Roman"/>
          <w:sz w:val="22"/>
          <w:szCs w:val="22"/>
        </w:rPr>
      </w:pPr>
      <w:r w:rsidRPr="00D84571">
        <w:rPr>
          <w:rFonts w:ascii="Times New Roman" w:hAnsi="Times New Roman" w:cs="Times New Roman"/>
          <w:sz w:val="22"/>
          <w:szCs w:val="22"/>
        </w:rPr>
        <w:t>TRABALHISTA DE PROTEÇÃO À CRIANÇA E AO ADOLESCENTE</w:t>
      </w:r>
    </w:p>
    <w:p w14:paraId="44374EE5" w14:textId="77777777" w:rsidR="00B307DB" w:rsidRPr="00D84571" w:rsidRDefault="00B307DB" w:rsidP="00B307DB">
      <w:pPr>
        <w:spacing w:after="0" w:line="240" w:lineRule="auto"/>
        <w:ind w:right="-568"/>
        <w:jc w:val="center"/>
        <w:rPr>
          <w:rFonts w:ascii="Times New Roman" w:hAnsi="Times New Roman" w:cs="Times New Roman"/>
        </w:rPr>
      </w:pPr>
    </w:p>
    <w:p w14:paraId="18DA73D9" w14:textId="77777777" w:rsidR="00B307DB" w:rsidRPr="00D84571" w:rsidRDefault="00B307DB" w:rsidP="00B307DB">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A empresa </w:t>
      </w:r>
      <w:r w:rsidRPr="00D84571">
        <w:rPr>
          <w:rFonts w:ascii="Times New Roman" w:hAnsi="Times New Roman" w:cs="Times New Roman"/>
          <w:b/>
        </w:rPr>
        <w:t>_________________________________</w:t>
      </w:r>
      <w:r w:rsidRPr="00D84571">
        <w:rPr>
          <w:rFonts w:ascii="Times New Roman" w:hAnsi="Times New Roman" w:cs="Times New Roman"/>
        </w:rPr>
        <w:t xml:space="preserve">, inscrita no CNPJ sob o nº </w:t>
      </w:r>
      <w:r w:rsidRPr="00D84571">
        <w:rPr>
          <w:rFonts w:ascii="Times New Roman" w:hAnsi="Times New Roman" w:cs="Times New Roman"/>
          <w:b/>
        </w:rPr>
        <w:t>__________________</w:t>
      </w:r>
      <w:r w:rsidRPr="00D84571">
        <w:rPr>
          <w:rFonts w:ascii="Times New Roman" w:hAnsi="Times New Roman" w:cs="Times New Roman"/>
        </w:rPr>
        <w:t>, por intermédio do seu(ua) representante legal Sr(a).</w:t>
      </w:r>
      <w:r w:rsidRPr="00D84571">
        <w:rPr>
          <w:rFonts w:ascii="Times New Roman" w:hAnsi="Times New Roman" w:cs="Times New Roman"/>
          <w:b/>
        </w:rPr>
        <w:t xml:space="preserve"> </w:t>
      </w:r>
      <w:r w:rsidRPr="00D84571">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0F9AF858" w14:textId="77777777" w:rsidR="00B307DB" w:rsidRPr="00D84571" w:rsidRDefault="00B307DB" w:rsidP="00B307DB">
      <w:pPr>
        <w:spacing w:after="0" w:line="240" w:lineRule="auto"/>
        <w:ind w:right="-567"/>
        <w:jc w:val="both"/>
        <w:rPr>
          <w:rFonts w:ascii="Times New Roman" w:hAnsi="Times New Roman" w:cs="Times New Roman"/>
        </w:rPr>
      </w:pPr>
      <w:r w:rsidRPr="00D84571">
        <w:rPr>
          <w:rFonts w:ascii="Times New Roman" w:hAnsi="Times New Roman" w:cs="Times New Roman"/>
        </w:rPr>
        <w:t xml:space="preserve"> </w:t>
      </w:r>
    </w:p>
    <w:p w14:paraId="4735F766" w14:textId="77777777" w:rsidR="00B307DB" w:rsidRPr="00D84571" w:rsidRDefault="00B307DB" w:rsidP="00B307DB">
      <w:pPr>
        <w:spacing w:after="0" w:line="240" w:lineRule="auto"/>
        <w:ind w:right="-567"/>
        <w:jc w:val="both"/>
        <w:rPr>
          <w:rFonts w:ascii="Times New Roman" w:hAnsi="Times New Roman" w:cs="Times New Roman"/>
        </w:rPr>
      </w:pPr>
      <w:r w:rsidRPr="00D84571">
        <w:rPr>
          <w:rFonts w:ascii="Times New Roman" w:hAnsi="Times New Roman" w:cs="Times New Roman"/>
          <w:b/>
        </w:rPr>
        <w:t xml:space="preserve">Ressalva: </w:t>
      </w:r>
      <w:r w:rsidRPr="00D84571">
        <w:rPr>
          <w:rFonts w:ascii="Times New Roman" w:hAnsi="Times New Roman" w:cs="Times New Roman"/>
        </w:rPr>
        <w:t xml:space="preserve">emprega menor, a partir de quatorze anos, na condição de aprendiz (   ). </w:t>
      </w:r>
    </w:p>
    <w:p w14:paraId="7C60DD11" w14:textId="77777777" w:rsidR="00B307DB" w:rsidRPr="00D84571" w:rsidRDefault="00B307DB" w:rsidP="00B307DB">
      <w:pPr>
        <w:spacing w:after="0" w:line="240" w:lineRule="auto"/>
        <w:ind w:right="-567"/>
        <w:jc w:val="both"/>
        <w:rPr>
          <w:rFonts w:ascii="Times New Roman" w:hAnsi="Times New Roman" w:cs="Times New Roman"/>
          <w:b/>
        </w:rPr>
      </w:pPr>
      <w:r w:rsidRPr="00D84571">
        <w:rPr>
          <w:rFonts w:ascii="Times New Roman" w:hAnsi="Times New Roman" w:cs="Times New Roman"/>
        </w:rPr>
        <w:t xml:space="preserve">(Observação: </w:t>
      </w:r>
      <w:r w:rsidRPr="00D84571">
        <w:rPr>
          <w:rFonts w:ascii="Times New Roman" w:hAnsi="Times New Roman" w:cs="Times New Roman"/>
          <w:b/>
        </w:rPr>
        <w:t>em caso afirmativo, assinalar a ressalva acima.</w:t>
      </w:r>
      <w:r w:rsidRPr="00D84571">
        <w:rPr>
          <w:rFonts w:ascii="Times New Roman" w:hAnsi="Times New Roman" w:cs="Times New Roman"/>
        </w:rPr>
        <w:t xml:space="preserve">) </w:t>
      </w:r>
    </w:p>
    <w:p w14:paraId="2B0DCD4A" w14:textId="77777777" w:rsidR="00B307DB" w:rsidRPr="00D84571" w:rsidRDefault="00B307DB" w:rsidP="00B307DB">
      <w:pPr>
        <w:spacing w:after="0" w:line="240" w:lineRule="auto"/>
        <w:ind w:right="-568"/>
        <w:jc w:val="center"/>
        <w:rPr>
          <w:rFonts w:ascii="Times New Roman" w:hAnsi="Times New Roman" w:cs="Times New Roman"/>
        </w:rPr>
      </w:pPr>
    </w:p>
    <w:p w14:paraId="4B8949F4" w14:textId="77777777" w:rsidR="00B307DB" w:rsidRPr="00D84571" w:rsidRDefault="00B307DB" w:rsidP="00B307DB">
      <w:pPr>
        <w:spacing w:after="0" w:line="240" w:lineRule="auto"/>
        <w:ind w:right="-568"/>
        <w:jc w:val="center"/>
        <w:rPr>
          <w:rFonts w:ascii="Times New Roman" w:hAnsi="Times New Roman" w:cs="Times New Roman"/>
        </w:rPr>
      </w:pPr>
    </w:p>
    <w:p w14:paraId="6CE6E6B6" w14:textId="77777777" w:rsidR="00B307DB" w:rsidRPr="00D84571" w:rsidRDefault="00B307DB" w:rsidP="00B307DB">
      <w:pPr>
        <w:spacing w:after="0" w:line="240" w:lineRule="auto"/>
        <w:ind w:right="-568"/>
        <w:jc w:val="center"/>
        <w:rPr>
          <w:rFonts w:ascii="Times New Roman" w:hAnsi="Times New Roman" w:cs="Times New Roman"/>
        </w:rPr>
      </w:pPr>
    </w:p>
    <w:p w14:paraId="712DC27C"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(LOCAL), (DATA).</w:t>
      </w:r>
    </w:p>
    <w:p w14:paraId="038AFE52" w14:textId="77777777" w:rsidR="00B307DB" w:rsidRPr="00D84571" w:rsidRDefault="00B307DB" w:rsidP="00B307DB">
      <w:pPr>
        <w:spacing w:after="0" w:line="240" w:lineRule="auto"/>
        <w:ind w:right="-568"/>
        <w:jc w:val="center"/>
        <w:rPr>
          <w:rFonts w:ascii="Times New Roman" w:hAnsi="Times New Roman" w:cs="Times New Roman"/>
        </w:rPr>
      </w:pPr>
    </w:p>
    <w:p w14:paraId="064B393A"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______________________________________</w:t>
      </w:r>
    </w:p>
    <w:p w14:paraId="0EDF2AB5" w14:textId="77777777" w:rsidR="00B307DB" w:rsidRPr="00D84571" w:rsidRDefault="00B307DB" w:rsidP="00B307DB">
      <w:pPr>
        <w:spacing w:after="0" w:line="240" w:lineRule="auto"/>
        <w:ind w:right="-568"/>
        <w:jc w:val="center"/>
        <w:rPr>
          <w:rFonts w:ascii="Times New Roman" w:hAnsi="Times New Roman" w:cs="Times New Roman"/>
        </w:rPr>
      </w:pPr>
      <w:r w:rsidRPr="00D84571">
        <w:rPr>
          <w:rFonts w:ascii="Times New Roman" w:hAnsi="Times New Roman" w:cs="Times New Roman"/>
        </w:rPr>
        <w:t>(LICITANTE – CNPJ/CPF)</w:t>
      </w:r>
    </w:p>
    <w:p w14:paraId="227623EB" w14:textId="77777777" w:rsidR="00B307DB" w:rsidRPr="00D84571" w:rsidRDefault="00B307DB" w:rsidP="00B307DB">
      <w:pPr>
        <w:spacing w:after="0" w:line="240" w:lineRule="auto"/>
        <w:ind w:right="-568"/>
        <w:jc w:val="center"/>
        <w:rPr>
          <w:rFonts w:ascii="Times New Roman" w:hAnsi="Times New Roman" w:cs="Times New Roman"/>
        </w:rPr>
      </w:pPr>
    </w:p>
    <w:p w14:paraId="294CB0C2" w14:textId="77777777" w:rsidR="00B307DB" w:rsidRPr="00D84571" w:rsidRDefault="00B307DB" w:rsidP="00B307DB">
      <w:pPr>
        <w:spacing w:after="0" w:line="240" w:lineRule="auto"/>
        <w:ind w:right="-568"/>
        <w:jc w:val="center"/>
        <w:rPr>
          <w:rFonts w:ascii="Times New Roman" w:hAnsi="Times New Roman" w:cs="Times New Roman"/>
        </w:rPr>
      </w:pPr>
    </w:p>
    <w:p w14:paraId="7E25D9C4" w14:textId="77777777" w:rsidR="00B307DB" w:rsidRPr="00D84571" w:rsidRDefault="00B307DB" w:rsidP="00B307DB">
      <w:pPr>
        <w:spacing w:after="0" w:line="240" w:lineRule="auto"/>
        <w:ind w:right="-568"/>
        <w:jc w:val="center"/>
        <w:rPr>
          <w:rFonts w:ascii="Times New Roman" w:hAnsi="Times New Roman" w:cs="Times New Roman"/>
        </w:rPr>
      </w:pPr>
    </w:p>
    <w:p w14:paraId="0D202580" w14:textId="77777777" w:rsidR="00B307DB" w:rsidRPr="00D84571" w:rsidRDefault="00B307DB" w:rsidP="00B307DB">
      <w:pPr>
        <w:spacing w:after="0" w:line="240" w:lineRule="auto"/>
        <w:ind w:right="-568"/>
        <w:jc w:val="center"/>
        <w:rPr>
          <w:rFonts w:ascii="Times New Roman" w:hAnsi="Times New Roman" w:cs="Times New Roman"/>
        </w:rPr>
      </w:pPr>
    </w:p>
    <w:p w14:paraId="254B4531" w14:textId="77777777" w:rsidR="00B307DB" w:rsidRPr="00D84571" w:rsidRDefault="00B307DB" w:rsidP="00B307DB">
      <w:pPr>
        <w:spacing w:after="0" w:line="240" w:lineRule="auto"/>
        <w:ind w:right="-568"/>
        <w:jc w:val="center"/>
        <w:rPr>
          <w:rFonts w:ascii="Times New Roman" w:hAnsi="Times New Roman" w:cs="Times New Roman"/>
        </w:rPr>
      </w:pPr>
    </w:p>
    <w:p w14:paraId="53AA2A4A" w14:textId="77777777" w:rsidR="00B307DB" w:rsidRPr="00D84571" w:rsidRDefault="00B307DB" w:rsidP="00B307DB">
      <w:pPr>
        <w:spacing w:after="0" w:line="240" w:lineRule="auto"/>
        <w:ind w:right="-568"/>
        <w:jc w:val="center"/>
        <w:rPr>
          <w:rFonts w:ascii="Times New Roman" w:hAnsi="Times New Roman" w:cs="Times New Roman"/>
        </w:rPr>
      </w:pPr>
    </w:p>
    <w:p w14:paraId="42252948" w14:textId="77777777" w:rsidR="00B307DB" w:rsidRPr="00D84571" w:rsidRDefault="00B307DB" w:rsidP="00B307DB">
      <w:pPr>
        <w:spacing w:after="0" w:line="240" w:lineRule="auto"/>
        <w:ind w:right="-568"/>
        <w:jc w:val="center"/>
        <w:rPr>
          <w:rFonts w:ascii="Times New Roman" w:hAnsi="Times New Roman" w:cs="Times New Roman"/>
        </w:rPr>
      </w:pPr>
    </w:p>
    <w:p w14:paraId="26AD852D" w14:textId="77777777" w:rsidR="00B307DB" w:rsidRPr="00D84571" w:rsidRDefault="00B307DB" w:rsidP="00B307DB">
      <w:pPr>
        <w:spacing w:after="0" w:line="240" w:lineRule="auto"/>
        <w:ind w:right="-568"/>
        <w:jc w:val="center"/>
        <w:rPr>
          <w:rFonts w:ascii="Times New Roman" w:hAnsi="Times New Roman" w:cs="Times New Roman"/>
        </w:rPr>
      </w:pPr>
    </w:p>
    <w:p w14:paraId="69DAD6E7" w14:textId="77777777" w:rsidR="00B307DB" w:rsidRPr="00D84571" w:rsidRDefault="00B307DB" w:rsidP="00B307DB">
      <w:pPr>
        <w:spacing w:after="0" w:line="240" w:lineRule="auto"/>
        <w:ind w:right="-568"/>
        <w:jc w:val="center"/>
        <w:rPr>
          <w:rFonts w:ascii="Times New Roman" w:hAnsi="Times New Roman" w:cs="Times New Roman"/>
        </w:rPr>
      </w:pPr>
    </w:p>
    <w:p w14:paraId="0B7347AB" w14:textId="77777777" w:rsidR="00B307DB" w:rsidRPr="00D84571" w:rsidRDefault="00B307DB" w:rsidP="00B307DB">
      <w:pPr>
        <w:spacing w:after="0" w:line="240" w:lineRule="auto"/>
        <w:ind w:right="-568"/>
        <w:jc w:val="center"/>
        <w:rPr>
          <w:rFonts w:ascii="Times New Roman" w:hAnsi="Times New Roman" w:cs="Times New Roman"/>
        </w:rPr>
      </w:pPr>
    </w:p>
    <w:p w14:paraId="6091263D" w14:textId="77777777" w:rsidR="00B307DB" w:rsidRPr="00D84571" w:rsidRDefault="00B307DB" w:rsidP="00B307DB">
      <w:pPr>
        <w:spacing w:after="0" w:line="240" w:lineRule="auto"/>
        <w:ind w:right="-568"/>
        <w:jc w:val="center"/>
        <w:rPr>
          <w:rFonts w:ascii="Times New Roman" w:hAnsi="Times New Roman" w:cs="Times New Roman"/>
        </w:rPr>
      </w:pPr>
    </w:p>
    <w:p w14:paraId="3B74D810" w14:textId="77777777" w:rsidR="00B307DB" w:rsidRPr="00D84571" w:rsidRDefault="00B307DB" w:rsidP="00B307DB">
      <w:pPr>
        <w:spacing w:after="0" w:line="240" w:lineRule="auto"/>
        <w:ind w:right="-568"/>
        <w:jc w:val="center"/>
        <w:rPr>
          <w:rFonts w:ascii="Times New Roman" w:hAnsi="Times New Roman" w:cs="Times New Roman"/>
        </w:rPr>
      </w:pPr>
    </w:p>
    <w:p w14:paraId="0C91B8DB" w14:textId="77777777" w:rsidR="00B307DB" w:rsidRPr="00D84571" w:rsidRDefault="00B307DB" w:rsidP="00B307DB">
      <w:pPr>
        <w:spacing w:after="0" w:line="240" w:lineRule="auto"/>
        <w:ind w:right="-568"/>
        <w:jc w:val="center"/>
        <w:rPr>
          <w:rFonts w:ascii="Times New Roman" w:hAnsi="Times New Roman" w:cs="Times New Roman"/>
        </w:rPr>
      </w:pPr>
    </w:p>
    <w:p w14:paraId="4D6D5145" w14:textId="77777777" w:rsidR="00B307DB" w:rsidRPr="00D84571" w:rsidRDefault="00B307DB" w:rsidP="00B307DB">
      <w:pPr>
        <w:spacing w:after="0" w:line="240" w:lineRule="auto"/>
        <w:ind w:right="-568"/>
        <w:jc w:val="center"/>
        <w:rPr>
          <w:rFonts w:ascii="Times New Roman" w:hAnsi="Times New Roman" w:cs="Times New Roman"/>
        </w:rPr>
      </w:pPr>
    </w:p>
    <w:p w14:paraId="75D3A83E" w14:textId="77777777" w:rsidR="00B307DB" w:rsidRPr="00D84571" w:rsidRDefault="00B307DB" w:rsidP="00B307DB">
      <w:pPr>
        <w:spacing w:after="0" w:line="240" w:lineRule="auto"/>
        <w:ind w:right="-568"/>
        <w:jc w:val="center"/>
        <w:rPr>
          <w:rFonts w:ascii="Times New Roman" w:hAnsi="Times New Roman" w:cs="Times New Roman"/>
        </w:rPr>
      </w:pPr>
    </w:p>
    <w:p w14:paraId="53EA4D1B" w14:textId="77777777" w:rsidR="00B307DB" w:rsidRPr="00D84571" w:rsidRDefault="00B307DB" w:rsidP="00B307DB">
      <w:pPr>
        <w:spacing w:after="0" w:line="240" w:lineRule="auto"/>
        <w:ind w:right="-568"/>
        <w:jc w:val="center"/>
        <w:rPr>
          <w:rFonts w:ascii="Times New Roman" w:hAnsi="Times New Roman" w:cs="Times New Roman"/>
        </w:rPr>
      </w:pPr>
    </w:p>
    <w:p w14:paraId="5E9CE4F1" w14:textId="77777777" w:rsidR="00B307DB" w:rsidRPr="00D84571" w:rsidRDefault="00B307DB" w:rsidP="00B307DB">
      <w:pPr>
        <w:spacing w:after="0" w:line="240" w:lineRule="auto"/>
        <w:ind w:right="-568"/>
        <w:jc w:val="center"/>
        <w:rPr>
          <w:rFonts w:ascii="Times New Roman" w:hAnsi="Times New Roman" w:cs="Times New Roman"/>
        </w:rPr>
      </w:pPr>
    </w:p>
    <w:p w14:paraId="4407CD1D" w14:textId="77777777" w:rsidR="00B307DB" w:rsidRPr="00D84571" w:rsidRDefault="00B307DB" w:rsidP="00B307DB">
      <w:pPr>
        <w:spacing w:after="0" w:line="240" w:lineRule="auto"/>
        <w:ind w:right="-568"/>
        <w:jc w:val="center"/>
        <w:rPr>
          <w:rFonts w:ascii="Times New Roman" w:hAnsi="Times New Roman" w:cs="Times New Roman"/>
        </w:rPr>
      </w:pPr>
    </w:p>
    <w:p w14:paraId="7A54AA06" w14:textId="77777777" w:rsidR="00B307DB" w:rsidRPr="00D84571" w:rsidRDefault="00B307DB" w:rsidP="00B307DB">
      <w:pPr>
        <w:spacing w:after="0" w:line="240" w:lineRule="auto"/>
        <w:ind w:right="-568"/>
        <w:jc w:val="center"/>
        <w:rPr>
          <w:rFonts w:ascii="Times New Roman" w:hAnsi="Times New Roman" w:cs="Times New Roman"/>
        </w:rPr>
      </w:pPr>
    </w:p>
    <w:p w14:paraId="1D0B95E1" w14:textId="77777777" w:rsidR="00B307DB" w:rsidRDefault="00B307DB" w:rsidP="00B307DB">
      <w:pPr>
        <w:spacing w:after="0" w:line="240" w:lineRule="auto"/>
        <w:ind w:right="-568"/>
        <w:jc w:val="center"/>
        <w:rPr>
          <w:rFonts w:ascii="Times New Roman" w:hAnsi="Times New Roman" w:cs="Times New Roman"/>
        </w:rPr>
      </w:pPr>
    </w:p>
    <w:p w14:paraId="60818937" w14:textId="77777777" w:rsidR="00B307DB" w:rsidRDefault="00B307DB" w:rsidP="00B307DB">
      <w:pPr>
        <w:spacing w:after="0" w:line="240" w:lineRule="auto"/>
        <w:ind w:right="-568"/>
        <w:jc w:val="center"/>
        <w:rPr>
          <w:rFonts w:ascii="Times New Roman" w:hAnsi="Times New Roman" w:cs="Times New Roman"/>
        </w:rPr>
      </w:pPr>
    </w:p>
    <w:p w14:paraId="6479F0D3" w14:textId="77777777" w:rsidR="00B307DB" w:rsidRDefault="00B307DB" w:rsidP="00B307DB">
      <w:pPr>
        <w:spacing w:after="0" w:line="240" w:lineRule="auto"/>
        <w:ind w:right="-568"/>
        <w:jc w:val="center"/>
        <w:rPr>
          <w:rFonts w:ascii="Times New Roman" w:hAnsi="Times New Roman" w:cs="Times New Roman"/>
        </w:rPr>
      </w:pPr>
    </w:p>
    <w:p w14:paraId="3518B36F" w14:textId="77777777" w:rsidR="00B307DB" w:rsidRDefault="00B307DB" w:rsidP="00B307DB">
      <w:pPr>
        <w:spacing w:after="0" w:line="240" w:lineRule="auto"/>
        <w:ind w:right="-568"/>
        <w:jc w:val="center"/>
        <w:rPr>
          <w:rFonts w:ascii="Times New Roman" w:hAnsi="Times New Roman" w:cs="Times New Roman"/>
        </w:rPr>
      </w:pPr>
    </w:p>
    <w:p w14:paraId="0FA86891" w14:textId="77777777" w:rsidR="00B307DB" w:rsidRDefault="00B307DB" w:rsidP="00B307DB">
      <w:pPr>
        <w:spacing w:after="0" w:line="240" w:lineRule="auto"/>
        <w:ind w:right="-568"/>
        <w:jc w:val="center"/>
        <w:rPr>
          <w:rFonts w:ascii="Times New Roman" w:hAnsi="Times New Roman" w:cs="Times New Roman"/>
        </w:rPr>
      </w:pPr>
    </w:p>
    <w:p w14:paraId="4AC041D7" w14:textId="77777777" w:rsidR="00B307DB" w:rsidRPr="00D84571" w:rsidRDefault="00B307DB" w:rsidP="00B307DB">
      <w:pPr>
        <w:spacing w:after="0" w:line="240" w:lineRule="auto"/>
        <w:ind w:right="-568"/>
        <w:jc w:val="center"/>
        <w:rPr>
          <w:rFonts w:ascii="Times New Roman" w:hAnsi="Times New Roman" w:cs="Times New Roman"/>
        </w:rPr>
      </w:pPr>
    </w:p>
    <w:p w14:paraId="4CAAB3AA" w14:textId="77777777" w:rsidR="00B307DB" w:rsidRPr="00D84571" w:rsidRDefault="00B307DB" w:rsidP="00B307DB">
      <w:pPr>
        <w:spacing w:after="0" w:line="240" w:lineRule="auto"/>
        <w:ind w:right="-568"/>
        <w:jc w:val="center"/>
        <w:rPr>
          <w:rFonts w:ascii="Times New Roman" w:hAnsi="Times New Roman" w:cs="Times New Roman"/>
        </w:rPr>
      </w:pPr>
    </w:p>
    <w:p w14:paraId="4BBB6370" w14:textId="77777777" w:rsidR="00B307DB" w:rsidRPr="00D84571" w:rsidRDefault="00B307DB" w:rsidP="00B307DB">
      <w:pPr>
        <w:spacing w:after="0" w:line="240" w:lineRule="auto"/>
        <w:ind w:right="-568"/>
        <w:jc w:val="center"/>
        <w:rPr>
          <w:rFonts w:ascii="Times New Roman" w:hAnsi="Times New Roman" w:cs="Times New Roman"/>
        </w:rPr>
      </w:pPr>
    </w:p>
    <w:p w14:paraId="6EE2A1FE" w14:textId="77777777" w:rsidR="00B307DB" w:rsidRPr="00D84571" w:rsidRDefault="00B307DB" w:rsidP="00B307DB">
      <w:pPr>
        <w:spacing w:after="0" w:line="240" w:lineRule="auto"/>
        <w:ind w:right="-568"/>
        <w:jc w:val="center"/>
        <w:rPr>
          <w:rFonts w:ascii="Times New Roman" w:hAnsi="Times New Roman" w:cs="Times New Roman"/>
        </w:rPr>
      </w:pPr>
    </w:p>
    <w:p w14:paraId="076D731B" w14:textId="77777777" w:rsidR="00B307DB" w:rsidRPr="00D84571" w:rsidRDefault="00B307DB" w:rsidP="00B307DB">
      <w:pPr>
        <w:spacing w:after="0" w:line="240" w:lineRule="auto"/>
        <w:ind w:right="-568"/>
        <w:jc w:val="center"/>
        <w:rPr>
          <w:rFonts w:ascii="Times New Roman" w:hAnsi="Times New Roman" w:cs="Times New Roman"/>
        </w:rPr>
      </w:pPr>
    </w:p>
    <w:p w14:paraId="0CE58098" w14:textId="77777777" w:rsidR="00B307DB" w:rsidRPr="00D84571" w:rsidRDefault="00B307DB" w:rsidP="00B307DB">
      <w:pPr>
        <w:spacing w:after="0" w:line="240" w:lineRule="auto"/>
        <w:ind w:right="-568"/>
        <w:jc w:val="center"/>
        <w:rPr>
          <w:rFonts w:ascii="Times New Roman" w:hAnsi="Times New Roman" w:cs="Times New Roman"/>
        </w:rPr>
      </w:pPr>
    </w:p>
    <w:p w14:paraId="5B82FA05" w14:textId="77777777" w:rsidR="00B307DB" w:rsidRPr="00D84571" w:rsidRDefault="00B307DB" w:rsidP="00B307DB">
      <w:pPr>
        <w:spacing w:after="0" w:line="240" w:lineRule="auto"/>
        <w:ind w:right="-568"/>
        <w:jc w:val="center"/>
        <w:rPr>
          <w:rFonts w:ascii="Times New Roman" w:hAnsi="Times New Roman" w:cs="Times New Roman"/>
        </w:rPr>
      </w:pPr>
    </w:p>
    <w:p w14:paraId="4ABE7180" w14:textId="77777777" w:rsidR="00B307DB" w:rsidRPr="00D84571" w:rsidRDefault="00B307DB" w:rsidP="00B307DB">
      <w:pPr>
        <w:spacing w:after="0" w:line="240" w:lineRule="auto"/>
        <w:ind w:right="-568"/>
        <w:jc w:val="center"/>
        <w:rPr>
          <w:rFonts w:ascii="Times New Roman" w:hAnsi="Times New Roman" w:cs="Times New Roman"/>
        </w:rPr>
      </w:pPr>
    </w:p>
    <w:p w14:paraId="0715139F" w14:textId="77777777" w:rsidR="00B307DB" w:rsidRPr="00D84571" w:rsidRDefault="00B307DB" w:rsidP="00B307DB">
      <w:pPr>
        <w:spacing w:after="0" w:line="240" w:lineRule="auto"/>
        <w:ind w:right="-568"/>
        <w:jc w:val="center"/>
        <w:rPr>
          <w:rFonts w:ascii="Times New Roman" w:hAnsi="Times New Roman" w:cs="Times New Roman"/>
        </w:rPr>
      </w:pPr>
    </w:p>
    <w:p w14:paraId="4E9E5F40" w14:textId="77777777" w:rsidR="00B307DB" w:rsidRPr="00D84571" w:rsidRDefault="00B307DB" w:rsidP="00B307DB">
      <w:pPr>
        <w:spacing w:after="0" w:line="240" w:lineRule="auto"/>
        <w:ind w:right="-568"/>
        <w:jc w:val="center"/>
        <w:rPr>
          <w:rFonts w:ascii="Times New Roman" w:hAnsi="Times New Roman" w:cs="Times New Roman"/>
        </w:rPr>
      </w:pPr>
    </w:p>
    <w:p w14:paraId="2CB905B3" w14:textId="77777777" w:rsidR="00B307DB" w:rsidRPr="00D84571" w:rsidRDefault="00B307DB" w:rsidP="00B307DB">
      <w:pPr>
        <w:spacing w:after="0" w:line="240" w:lineRule="auto"/>
        <w:ind w:right="-568"/>
        <w:jc w:val="center"/>
        <w:rPr>
          <w:rFonts w:ascii="Times New Roman" w:hAnsi="Times New Roman" w:cs="Times New Roman"/>
        </w:rPr>
      </w:pPr>
    </w:p>
    <w:p w14:paraId="511C69A3"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p>
    <w:p w14:paraId="4A0D623D" w14:textId="77777777" w:rsidR="00B307DB" w:rsidRPr="00D84571" w:rsidRDefault="00B307DB" w:rsidP="00B307DB">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7E7E97B2" w14:textId="77777777" w:rsidR="00B307DB" w:rsidRDefault="00B307DB" w:rsidP="00B307DB">
      <w:pPr>
        <w:spacing w:after="0" w:line="240" w:lineRule="auto"/>
        <w:ind w:right="-568"/>
        <w:jc w:val="center"/>
        <w:rPr>
          <w:rFonts w:ascii="Times New Roman" w:hAnsi="Times New Roman" w:cs="Times New Roman"/>
        </w:rPr>
      </w:pPr>
    </w:p>
    <w:p w14:paraId="598E8A30" w14:textId="77777777" w:rsidR="00B307DB" w:rsidRPr="00837AB8" w:rsidRDefault="00B307DB" w:rsidP="00B307DB">
      <w:pPr>
        <w:shd w:val="clear" w:color="auto" w:fill="A6A6A6" w:themeFill="background1" w:themeFillShade="A6"/>
        <w:spacing w:after="0" w:line="240" w:lineRule="auto"/>
        <w:ind w:right="-568"/>
        <w:jc w:val="center"/>
        <w:rPr>
          <w:rFonts w:ascii="Times New Roman" w:hAnsi="Times New Roman" w:cs="Times New Roman"/>
          <w:b/>
        </w:rPr>
      </w:pPr>
      <w:r w:rsidRPr="00837AB8">
        <w:rPr>
          <w:rFonts w:ascii="Times New Roman" w:hAnsi="Times New Roman" w:cs="Times New Roman"/>
          <w:b/>
        </w:rPr>
        <w:t>ANEXO X</w:t>
      </w:r>
      <w:r>
        <w:rPr>
          <w:rFonts w:ascii="Times New Roman" w:hAnsi="Times New Roman" w:cs="Times New Roman"/>
          <w:b/>
        </w:rPr>
        <w:t>I</w:t>
      </w:r>
      <w:r w:rsidRPr="00837AB8">
        <w:rPr>
          <w:rFonts w:ascii="Times New Roman" w:hAnsi="Times New Roman" w:cs="Times New Roman"/>
          <w:b/>
        </w:rPr>
        <w:t xml:space="preserve"> – RELAÇÃO DOS COMPROMISSOS ASSUMIDOS</w:t>
      </w:r>
    </w:p>
    <w:p w14:paraId="4C583D76" w14:textId="77777777" w:rsidR="00B307DB" w:rsidRDefault="00B307DB" w:rsidP="00B307DB">
      <w:pPr>
        <w:spacing w:after="0" w:line="240" w:lineRule="auto"/>
        <w:ind w:right="-568"/>
        <w:jc w:val="center"/>
        <w:rPr>
          <w:rFonts w:ascii="Times New Roman" w:hAnsi="Times New Roman" w:cs="Times New Roman"/>
        </w:rPr>
      </w:pPr>
    </w:p>
    <w:p w14:paraId="703AB287" w14:textId="77777777" w:rsidR="00B307DB" w:rsidRPr="005F5DEE" w:rsidRDefault="00B307DB" w:rsidP="00B307DB">
      <w:pPr>
        <w:spacing w:after="0" w:line="240" w:lineRule="auto"/>
        <w:ind w:right="-567" w:firstLine="708"/>
        <w:rPr>
          <w:rFonts w:ascii="Times New Roman" w:hAnsi="Times New Roman"/>
          <w:sz w:val="24"/>
          <w:szCs w:val="24"/>
        </w:rPr>
      </w:pPr>
      <w:r w:rsidRPr="005F5DEE">
        <w:rPr>
          <w:rFonts w:ascii="Times New Roman" w:hAnsi="Times New Roman"/>
          <w:sz w:val="24"/>
          <w:szCs w:val="24"/>
        </w:rPr>
        <w:t xml:space="preserve">O licitante ___________________________, inscrito no CPF/CNPJ nº ____________, DECLARA, nos termos do </w:t>
      </w:r>
      <w:hyperlink r:id="rId311" w:anchor="art63%C2%A71" w:history="1">
        <w:r w:rsidRPr="005F5DEE">
          <w:rPr>
            <w:rStyle w:val="Hyperlink"/>
            <w:rFonts w:ascii="Times New Roman" w:hAnsi="Times New Roman"/>
            <w:sz w:val="24"/>
            <w:szCs w:val="24"/>
          </w:rPr>
          <w:t>art. 69, § 3º da Lei nº 14.133/2021</w:t>
        </w:r>
      </w:hyperlink>
      <w:r w:rsidRPr="005F5DEE">
        <w:rPr>
          <w:rFonts w:ascii="Times New Roman" w:hAnsi="Times New Roman"/>
          <w:sz w:val="24"/>
          <w:szCs w:val="24"/>
        </w:rPr>
        <w:t>, que possui os seguintes contratos firmados com a iniciativa privada e a Administração Pública:</w:t>
      </w:r>
    </w:p>
    <w:tbl>
      <w:tblPr>
        <w:tblStyle w:val="Tabelacomgrade"/>
        <w:tblW w:w="8926" w:type="dxa"/>
        <w:tblLook w:val="04A0" w:firstRow="1" w:lastRow="0" w:firstColumn="1" w:lastColumn="0" w:noHBand="0" w:noVBand="1"/>
      </w:tblPr>
      <w:tblGrid>
        <w:gridCol w:w="3131"/>
        <w:gridCol w:w="2681"/>
        <w:gridCol w:w="3114"/>
      </w:tblGrid>
      <w:tr w:rsidR="00B307DB" w:rsidRPr="003B06A9" w14:paraId="1E0EE16B" w14:textId="77777777" w:rsidTr="00B307DB">
        <w:trPr>
          <w:trHeight w:val="371"/>
        </w:trPr>
        <w:tc>
          <w:tcPr>
            <w:tcW w:w="3131" w:type="dxa"/>
          </w:tcPr>
          <w:p w14:paraId="16DFDD02" w14:textId="77777777" w:rsidR="00B307DB" w:rsidRPr="003B06A9" w:rsidRDefault="00B307DB" w:rsidP="00B307DB">
            <w:pPr>
              <w:ind w:right="-92"/>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Nome do Órgão/Empresa</w:t>
            </w:r>
          </w:p>
        </w:tc>
        <w:tc>
          <w:tcPr>
            <w:tcW w:w="2681" w:type="dxa"/>
          </w:tcPr>
          <w:p w14:paraId="252E41DC" w14:textId="77777777" w:rsidR="00B307DB" w:rsidRPr="003B06A9" w:rsidRDefault="00B307DB" w:rsidP="00B307DB">
            <w:pPr>
              <w:ind w:right="-108"/>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Vigência do Contrato</w:t>
            </w:r>
          </w:p>
        </w:tc>
        <w:tc>
          <w:tcPr>
            <w:tcW w:w="3114" w:type="dxa"/>
          </w:tcPr>
          <w:p w14:paraId="7AA16E3C" w14:textId="77777777" w:rsidR="00B307DB" w:rsidRPr="003B06A9" w:rsidRDefault="00B307DB" w:rsidP="00B307DB">
            <w:pPr>
              <w:ind w:right="-247"/>
              <w:jc w:val="center"/>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 Contrato</w:t>
            </w:r>
          </w:p>
        </w:tc>
      </w:tr>
      <w:tr w:rsidR="00B307DB" w:rsidRPr="003B06A9" w14:paraId="46312F64" w14:textId="77777777" w:rsidTr="00B307DB">
        <w:trPr>
          <w:trHeight w:val="423"/>
        </w:trPr>
        <w:tc>
          <w:tcPr>
            <w:tcW w:w="3131" w:type="dxa"/>
          </w:tcPr>
          <w:p w14:paraId="3BEA95D2" w14:textId="77777777" w:rsidR="00B307DB" w:rsidRPr="003B06A9" w:rsidRDefault="00B307DB" w:rsidP="00B307DB">
            <w:pPr>
              <w:ind w:right="-567"/>
              <w:jc w:val="both"/>
              <w:rPr>
                <w:rFonts w:ascii="Times New Roman" w:eastAsia="Times New Roman" w:hAnsi="Times New Roman" w:cs="Times New Roman"/>
                <w:b/>
                <w:sz w:val="24"/>
                <w:szCs w:val="24"/>
              </w:rPr>
            </w:pPr>
          </w:p>
        </w:tc>
        <w:tc>
          <w:tcPr>
            <w:tcW w:w="2681" w:type="dxa"/>
          </w:tcPr>
          <w:p w14:paraId="31826BDC" w14:textId="77777777" w:rsidR="00B307DB" w:rsidRPr="003B06A9" w:rsidRDefault="00B307DB" w:rsidP="00B307DB">
            <w:pPr>
              <w:ind w:right="-567"/>
              <w:jc w:val="both"/>
              <w:rPr>
                <w:rFonts w:ascii="Times New Roman" w:eastAsia="Times New Roman" w:hAnsi="Times New Roman" w:cs="Times New Roman"/>
                <w:b/>
                <w:sz w:val="24"/>
                <w:szCs w:val="24"/>
              </w:rPr>
            </w:pPr>
          </w:p>
        </w:tc>
        <w:tc>
          <w:tcPr>
            <w:tcW w:w="3114" w:type="dxa"/>
          </w:tcPr>
          <w:p w14:paraId="7370B734" w14:textId="77777777" w:rsidR="00B307DB" w:rsidRPr="003B06A9" w:rsidRDefault="00B307DB" w:rsidP="00B307DB">
            <w:pPr>
              <w:ind w:right="-567"/>
              <w:jc w:val="both"/>
              <w:rPr>
                <w:rFonts w:ascii="Times New Roman" w:eastAsia="Times New Roman" w:hAnsi="Times New Roman" w:cs="Times New Roman"/>
                <w:b/>
                <w:sz w:val="24"/>
                <w:szCs w:val="24"/>
              </w:rPr>
            </w:pPr>
          </w:p>
        </w:tc>
      </w:tr>
      <w:tr w:rsidR="00B307DB" w:rsidRPr="003B06A9" w14:paraId="7863477C" w14:textId="77777777" w:rsidTr="00B307DB">
        <w:trPr>
          <w:trHeight w:val="415"/>
        </w:trPr>
        <w:tc>
          <w:tcPr>
            <w:tcW w:w="3131" w:type="dxa"/>
          </w:tcPr>
          <w:p w14:paraId="67F3DF93" w14:textId="77777777" w:rsidR="00B307DB" w:rsidRPr="003B06A9" w:rsidRDefault="00B307DB" w:rsidP="00B307DB">
            <w:pPr>
              <w:ind w:right="-567"/>
              <w:jc w:val="both"/>
              <w:rPr>
                <w:rFonts w:ascii="Times New Roman" w:eastAsia="Times New Roman" w:hAnsi="Times New Roman" w:cs="Times New Roman"/>
                <w:b/>
                <w:sz w:val="24"/>
                <w:szCs w:val="24"/>
              </w:rPr>
            </w:pPr>
          </w:p>
        </w:tc>
        <w:tc>
          <w:tcPr>
            <w:tcW w:w="2681" w:type="dxa"/>
          </w:tcPr>
          <w:p w14:paraId="11D4F8DA" w14:textId="77777777" w:rsidR="00B307DB" w:rsidRPr="003B06A9" w:rsidRDefault="00B307DB" w:rsidP="00B307DB">
            <w:pPr>
              <w:ind w:right="-567"/>
              <w:jc w:val="both"/>
              <w:rPr>
                <w:rFonts w:ascii="Times New Roman" w:eastAsia="Times New Roman" w:hAnsi="Times New Roman" w:cs="Times New Roman"/>
                <w:b/>
                <w:sz w:val="24"/>
                <w:szCs w:val="24"/>
              </w:rPr>
            </w:pPr>
          </w:p>
        </w:tc>
        <w:tc>
          <w:tcPr>
            <w:tcW w:w="3114" w:type="dxa"/>
          </w:tcPr>
          <w:p w14:paraId="325B6CA2" w14:textId="77777777" w:rsidR="00B307DB" w:rsidRPr="003B06A9" w:rsidRDefault="00B307DB" w:rsidP="00B307DB">
            <w:pPr>
              <w:ind w:right="-567"/>
              <w:jc w:val="both"/>
              <w:rPr>
                <w:rFonts w:ascii="Times New Roman" w:eastAsia="Times New Roman" w:hAnsi="Times New Roman" w:cs="Times New Roman"/>
                <w:b/>
                <w:sz w:val="24"/>
                <w:szCs w:val="24"/>
              </w:rPr>
            </w:pPr>
          </w:p>
        </w:tc>
      </w:tr>
      <w:tr w:rsidR="00B307DB" w:rsidRPr="003B06A9" w14:paraId="04D686D2" w14:textId="77777777" w:rsidTr="00B307DB">
        <w:trPr>
          <w:trHeight w:val="407"/>
        </w:trPr>
        <w:tc>
          <w:tcPr>
            <w:tcW w:w="3131" w:type="dxa"/>
          </w:tcPr>
          <w:p w14:paraId="13BA4893" w14:textId="77777777" w:rsidR="00B307DB" w:rsidRPr="003B06A9" w:rsidRDefault="00B307DB" w:rsidP="00B307DB">
            <w:pPr>
              <w:ind w:right="-567"/>
              <w:jc w:val="both"/>
              <w:rPr>
                <w:rFonts w:ascii="Times New Roman" w:eastAsia="Times New Roman" w:hAnsi="Times New Roman" w:cs="Times New Roman"/>
                <w:b/>
                <w:sz w:val="24"/>
                <w:szCs w:val="24"/>
              </w:rPr>
            </w:pPr>
          </w:p>
        </w:tc>
        <w:tc>
          <w:tcPr>
            <w:tcW w:w="2681" w:type="dxa"/>
          </w:tcPr>
          <w:p w14:paraId="6C7EF1DD" w14:textId="77777777" w:rsidR="00B307DB" w:rsidRPr="003B06A9" w:rsidRDefault="00B307DB" w:rsidP="00B307DB">
            <w:pPr>
              <w:ind w:right="-567"/>
              <w:jc w:val="both"/>
              <w:rPr>
                <w:rFonts w:ascii="Times New Roman" w:eastAsia="Times New Roman" w:hAnsi="Times New Roman" w:cs="Times New Roman"/>
                <w:b/>
                <w:sz w:val="24"/>
                <w:szCs w:val="24"/>
              </w:rPr>
            </w:pPr>
          </w:p>
        </w:tc>
        <w:tc>
          <w:tcPr>
            <w:tcW w:w="3114" w:type="dxa"/>
          </w:tcPr>
          <w:p w14:paraId="5D11898B" w14:textId="77777777" w:rsidR="00B307DB" w:rsidRPr="003B06A9" w:rsidRDefault="00B307DB" w:rsidP="00B307DB">
            <w:pPr>
              <w:ind w:right="-567"/>
              <w:jc w:val="both"/>
              <w:rPr>
                <w:rFonts w:ascii="Times New Roman" w:eastAsia="Times New Roman" w:hAnsi="Times New Roman" w:cs="Times New Roman"/>
                <w:b/>
                <w:sz w:val="24"/>
                <w:szCs w:val="24"/>
              </w:rPr>
            </w:pPr>
          </w:p>
        </w:tc>
      </w:tr>
      <w:tr w:rsidR="00B307DB" w:rsidRPr="003B06A9" w14:paraId="69DC20FF" w14:textId="77777777" w:rsidTr="00B307DB">
        <w:trPr>
          <w:trHeight w:val="281"/>
        </w:trPr>
        <w:tc>
          <w:tcPr>
            <w:tcW w:w="5812" w:type="dxa"/>
            <w:gridSpan w:val="2"/>
          </w:tcPr>
          <w:p w14:paraId="34FEDA4A" w14:textId="77777777" w:rsidR="00B307DB" w:rsidRPr="003B06A9" w:rsidRDefault="00B307DB" w:rsidP="00B307DB">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VALOR TOTAL DOS CONTRATOS</w:t>
            </w:r>
          </w:p>
        </w:tc>
        <w:tc>
          <w:tcPr>
            <w:tcW w:w="3114" w:type="dxa"/>
          </w:tcPr>
          <w:p w14:paraId="300924F9" w14:textId="77777777" w:rsidR="00B307DB" w:rsidRPr="003B06A9" w:rsidRDefault="00B307DB" w:rsidP="00B307DB">
            <w:pPr>
              <w:ind w:right="-567"/>
              <w:jc w:val="both"/>
              <w:rPr>
                <w:rFonts w:ascii="Times New Roman" w:eastAsia="Times New Roman" w:hAnsi="Times New Roman" w:cs="Times New Roman"/>
                <w:b/>
                <w:sz w:val="24"/>
                <w:szCs w:val="24"/>
              </w:rPr>
            </w:pPr>
            <w:r w:rsidRPr="003B06A9">
              <w:rPr>
                <w:rFonts w:ascii="Times New Roman" w:eastAsia="Times New Roman" w:hAnsi="Times New Roman" w:cs="Times New Roman"/>
                <w:b/>
                <w:sz w:val="24"/>
                <w:szCs w:val="24"/>
              </w:rPr>
              <w:t xml:space="preserve">R$ </w:t>
            </w:r>
          </w:p>
        </w:tc>
      </w:tr>
    </w:tbl>
    <w:p w14:paraId="3CEACDD9" w14:textId="77777777" w:rsidR="00B307DB" w:rsidRPr="005F5DEE" w:rsidRDefault="00B307DB" w:rsidP="00B307DB">
      <w:pPr>
        <w:spacing w:after="0" w:line="240" w:lineRule="auto"/>
        <w:ind w:right="-567"/>
        <w:jc w:val="both"/>
        <w:rPr>
          <w:rFonts w:ascii="Times New Roman" w:hAnsi="Times New Roman"/>
          <w:sz w:val="24"/>
          <w:szCs w:val="24"/>
        </w:rPr>
      </w:pPr>
      <w:r w:rsidRPr="005F5DEE">
        <w:rPr>
          <w:rFonts w:ascii="Times New Roman" w:hAnsi="Times New Roman"/>
          <w:sz w:val="24"/>
          <w:szCs w:val="24"/>
        </w:rPr>
        <w:t xml:space="preserve">Por ser expressão da verdade, assumo inteira responsabilidade por esta declaração, sob pena do </w:t>
      </w:r>
      <w:hyperlink r:id="rId312" w:anchor="art299" w:history="1">
        <w:r w:rsidRPr="005F5DEE">
          <w:rPr>
            <w:rStyle w:val="Hyperlink"/>
            <w:rFonts w:ascii="Times New Roman" w:hAnsi="Times New Roman"/>
            <w:sz w:val="24"/>
            <w:szCs w:val="24"/>
          </w:rPr>
          <w:t>art. 299 do Código Penal</w:t>
        </w:r>
      </w:hyperlink>
      <w:r w:rsidRPr="005F5DEE">
        <w:rPr>
          <w:rFonts w:ascii="Times New Roman" w:hAnsi="Times New Roman"/>
          <w:sz w:val="24"/>
          <w:szCs w:val="24"/>
        </w:rPr>
        <w:t>.</w:t>
      </w:r>
    </w:p>
    <w:p w14:paraId="16E7D74D" w14:textId="77777777" w:rsidR="00B307DB" w:rsidRPr="005F5DEE" w:rsidRDefault="00B307DB" w:rsidP="00B307DB">
      <w:pPr>
        <w:spacing w:after="0" w:line="240" w:lineRule="auto"/>
        <w:ind w:right="-567"/>
        <w:jc w:val="both"/>
        <w:rPr>
          <w:rFonts w:ascii="Times New Roman" w:hAnsi="Times New Roman"/>
          <w:sz w:val="24"/>
          <w:szCs w:val="24"/>
        </w:rPr>
      </w:pPr>
    </w:p>
    <w:p w14:paraId="573B53CD" w14:textId="77777777" w:rsidR="00B307DB" w:rsidRDefault="00B307DB" w:rsidP="00B307DB">
      <w:pPr>
        <w:spacing w:after="0" w:line="240" w:lineRule="auto"/>
        <w:ind w:right="-567"/>
        <w:jc w:val="center"/>
        <w:rPr>
          <w:rFonts w:ascii="Times New Roman" w:hAnsi="Times New Roman"/>
          <w:sz w:val="24"/>
          <w:szCs w:val="24"/>
        </w:rPr>
      </w:pPr>
    </w:p>
    <w:p w14:paraId="1A0ACD78" w14:textId="77777777" w:rsidR="00B307DB" w:rsidRPr="005F5DEE" w:rsidRDefault="00B307DB" w:rsidP="00B307DB">
      <w:pPr>
        <w:spacing w:after="0" w:line="240" w:lineRule="auto"/>
        <w:ind w:right="-567"/>
        <w:jc w:val="center"/>
        <w:rPr>
          <w:rFonts w:ascii="Times New Roman" w:hAnsi="Times New Roman"/>
          <w:sz w:val="24"/>
          <w:szCs w:val="24"/>
        </w:rPr>
      </w:pPr>
      <w:r w:rsidRPr="005F5DEE">
        <w:rPr>
          <w:rFonts w:ascii="Times New Roman" w:hAnsi="Times New Roman"/>
          <w:sz w:val="24"/>
          <w:szCs w:val="24"/>
        </w:rPr>
        <w:t>(LOCAL), (DATA).</w:t>
      </w:r>
    </w:p>
    <w:p w14:paraId="2B7940F2" w14:textId="77777777" w:rsidR="00B307DB" w:rsidRPr="005F5DEE" w:rsidRDefault="00B307DB" w:rsidP="00B307DB">
      <w:pPr>
        <w:spacing w:after="0" w:line="240" w:lineRule="auto"/>
        <w:ind w:right="-567"/>
        <w:jc w:val="center"/>
        <w:rPr>
          <w:rFonts w:ascii="Times New Roman" w:hAnsi="Times New Roman"/>
          <w:sz w:val="24"/>
          <w:szCs w:val="24"/>
        </w:rPr>
      </w:pPr>
    </w:p>
    <w:p w14:paraId="65BD6146" w14:textId="77777777" w:rsidR="00B307DB" w:rsidRPr="005F5DEE" w:rsidRDefault="00B307DB" w:rsidP="00B307DB">
      <w:pPr>
        <w:spacing w:after="0" w:line="240" w:lineRule="auto"/>
        <w:ind w:right="-567"/>
        <w:jc w:val="center"/>
        <w:rPr>
          <w:rFonts w:ascii="Times New Roman" w:hAnsi="Times New Roman"/>
          <w:sz w:val="24"/>
          <w:szCs w:val="24"/>
        </w:rPr>
      </w:pPr>
      <w:r w:rsidRPr="005F5DEE">
        <w:rPr>
          <w:rFonts w:ascii="Times New Roman" w:hAnsi="Times New Roman"/>
          <w:sz w:val="24"/>
          <w:szCs w:val="24"/>
        </w:rPr>
        <w:t>______________________________________</w:t>
      </w:r>
    </w:p>
    <w:p w14:paraId="2D49A0B5" w14:textId="77777777" w:rsidR="00B307DB" w:rsidRPr="005F5DEE" w:rsidRDefault="00B307DB" w:rsidP="00B307DB">
      <w:pPr>
        <w:spacing w:after="0" w:line="240" w:lineRule="auto"/>
        <w:ind w:right="-567"/>
        <w:jc w:val="center"/>
        <w:rPr>
          <w:rFonts w:ascii="Times New Roman" w:hAnsi="Times New Roman"/>
          <w:b/>
          <w:sz w:val="24"/>
          <w:szCs w:val="24"/>
        </w:rPr>
      </w:pPr>
      <w:r w:rsidRPr="005F5DEE">
        <w:rPr>
          <w:rFonts w:ascii="Times New Roman" w:hAnsi="Times New Roman"/>
          <w:sz w:val="24"/>
          <w:szCs w:val="24"/>
        </w:rPr>
        <w:t>(LICITANTE – CNPJ/CPF)</w:t>
      </w:r>
    </w:p>
    <w:p w14:paraId="7CA71744" w14:textId="77777777" w:rsidR="00B307DB" w:rsidRDefault="00B307DB" w:rsidP="00B307DB">
      <w:pPr>
        <w:spacing w:after="0" w:line="240" w:lineRule="auto"/>
        <w:ind w:right="-568"/>
        <w:jc w:val="center"/>
        <w:rPr>
          <w:rFonts w:ascii="Times New Roman" w:hAnsi="Times New Roman" w:cs="Times New Roman"/>
        </w:rPr>
      </w:pPr>
    </w:p>
    <w:p w14:paraId="313491E7" w14:textId="77777777" w:rsidR="00B307DB" w:rsidRDefault="00B307DB" w:rsidP="00B307DB">
      <w:pPr>
        <w:spacing w:after="0" w:line="240" w:lineRule="auto"/>
        <w:ind w:right="-568"/>
        <w:jc w:val="center"/>
        <w:rPr>
          <w:rFonts w:ascii="Times New Roman" w:hAnsi="Times New Roman" w:cs="Times New Roman"/>
        </w:rPr>
      </w:pPr>
    </w:p>
    <w:p w14:paraId="48CE0AAF" w14:textId="77777777" w:rsidR="00B307DB" w:rsidRDefault="00B307DB" w:rsidP="00B307DB">
      <w:pPr>
        <w:spacing w:after="0" w:line="240" w:lineRule="auto"/>
        <w:ind w:right="-568"/>
        <w:jc w:val="center"/>
        <w:rPr>
          <w:rFonts w:ascii="Times New Roman" w:hAnsi="Times New Roman" w:cs="Times New Roman"/>
        </w:rPr>
      </w:pPr>
    </w:p>
    <w:p w14:paraId="237CA528" w14:textId="77777777" w:rsidR="00B307DB" w:rsidRDefault="00B307DB" w:rsidP="00B307DB">
      <w:pPr>
        <w:spacing w:after="0" w:line="240" w:lineRule="auto"/>
        <w:ind w:right="-568"/>
        <w:jc w:val="center"/>
        <w:rPr>
          <w:rFonts w:ascii="Times New Roman" w:hAnsi="Times New Roman" w:cs="Times New Roman"/>
        </w:rPr>
      </w:pPr>
    </w:p>
    <w:p w14:paraId="7FD8B13D" w14:textId="77777777" w:rsidR="00B307DB" w:rsidRDefault="00B307DB" w:rsidP="00B307DB">
      <w:pPr>
        <w:spacing w:after="0" w:line="240" w:lineRule="auto"/>
        <w:ind w:right="-568"/>
        <w:jc w:val="center"/>
        <w:rPr>
          <w:rFonts w:ascii="Times New Roman" w:hAnsi="Times New Roman" w:cs="Times New Roman"/>
        </w:rPr>
      </w:pPr>
    </w:p>
    <w:p w14:paraId="37147CD4" w14:textId="77777777" w:rsidR="00B307DB" w:rsidRDefault="00B307DB" w:rsidP="00B307DB">
      <w:pPr>
        <w:spacing w:after="0" w:line="240" w:lineRule="auto"/>
        <w:ind w:right="-568"/>
        <w:jc w:val="center"/>
        <w:rPr>
          <w:rFonts w:ascii="Times New Roman" w:hAnsi="Times New Roman" w:cs="Times New Roman"/>
        </w:rPr>
      </w:pPr>
    </w:p>
    <w:p w14:paraId="28059AAC" w14:textId="77777777" w:rsidR="00B307DB" w:rsidRDefault="00B307DB" w:rsidP="00B307DB">
      <w:pPr>
        <w:spacing w:after="0" w:line="240" w:lineRule="auto"/>
        <w:ind w:right="-568"/>
        <w:jc w:val="center"/>
        <w:rPr>
          <w:rFonts w:ascii="Times New Roman" w:hAnsi="Times New Roman" w:cs="Times New Roman"/>
        </w:rPr>
      </w:pPr>
    </w:p>
    <w:p w14:paraId="7A0B8129" w14:textId="77777777" w:rsidR="00B307DB" w:rsidRDefault="00B307DB" w:rsidP="00B307DB">
      <w:pPr>
        <w:spacing w:after="0" w:line="240" w:lineRule="auto"/>
        <w:ind w:right="-568"/>
        <w:jc w:val="center"/>
        <w:rPr>
          <w:rFonts w:ascii="Times New Roman" w:hAnsi="Times New Roman" w:cs="Times New Roman"/>
        </w:rPr>
      </w:pPr>
    </w:p>
    <w:p w14:paraId="26670971" w14:textId="77777777" w:rsidR="00B307DB" w:rsidRDefault="00B307DB" w:rsidP="00B307DB">
      <w:pPr>
        <w:spacing w:after="0" w:line="240" w:lineRule="auto"/>
        <w:ind w:right="-568"/>
        <w:jc w:val="center"/>
        <w:rPr>
          <w:rFonts w:ascii="Times New Roman" w:hAnsi="Times New Roman" w:cs="Times New Roman"/>
        </w:rPr>
      </w:pPr>
    </w:p>
    <w:p w14:paraId="59E1FE27" w14:textId="77777777" w:rsidR="00B307DB" w:rsidRDefault="00B307DB" w:rsidP="00B307DB">
      <w:pPr>
        <w:spacing w:after="0" w:line="240" w:lineRule="auto"/>
        <w:ind w:right="-568"/>
        <w:jc w:val="center"/>
        <w:rPr>
          <w:rFonts w:ascii="Times New Roman" w:hAnsi="Times New Roman" w:cs="Times New Roman"/>
        </w:rPr>
      </w:pPr>
    </w:p>
    <w:p w14:paraId="4DE010A8" w14:textId="77777777" w:rsidR="00B307DB" w:rsidRDefault="00B307DB" w:rsidP="00B307DB">
      <w:pPr>
        <w:spacing w:after="0" w:line="240" w:lineRule="auto"/>
        <w:ind w:right="-568"/>
        <w:jc w:val="center"/>
        <w:rPr>
          <w:rFonts w:ascii="Times New Roman" w:hAnsi="Times New Roman" w:cs="Times New Roman"/>
        </w:rPr>
      </w:pPr>
    </w:p>
    <w:p w14:paraId="27EBEBDA" w14:textId="77777777" w:rsidR="00B307DB" w:rsidRDefault="00B307DB" w:rsidP="00B307DB">
      <w:pPr>
        <w:spacing w:after="0" w:line="240" w:lineRule="auto"/>
        <w:ind w:right="-568"/>
        <w:jc w:val="center"/>
        <w:rPr>
          <w:rFonts w:ascii="Times New Roman" w:hAnsi="Times New Roman" w:cs="Times New Roman"/>
        </w:rPr>
      </w:pPr>
    </w:p>
    <w:p w14:paraId="20C3D679" w14:textId="77777777" w:rsidR="00B307DB" w:rsidRDefault="00B307DB" w:rsidP="00B307DB">
      <w:pPr>
        <w:spacing w:after="0" w:line="240" w:lineRule="auto"/>
        <w:ind w:right="-568"/>
        <w:jc w:val="center"/>
        <w:rPr>
          <w:rFonts w:ascii="Times New Roman" w:hAnsi="Times New Roman" w:cs="Times New Roman"/>
        </w:rPr>
      </w:pPr>
    </w:p>
    <w:p w14:paraId="1407B65A" w14:textId="77777777" w:rsidR="00B307DB" w:rsidRDefault="00B307DB" w:rsidP="00B307DB">
      <w:pPr>
        <w:spacing w:after="0" w:line="240" w:lineRule="auto"/>
        <w:ind w:right="-568"/>
        <w:jc w:val="center"/>
        <w:rPr>
          <w:rFonts w:ascii="Times New Roman" w:hAnsi="Times New Roman" w:cs="Times New Roman"/>
        </w:rPr>
      </w:pPr>
    </w:p>
    <w:p w14:paraId="06EB5EBC" w14:textId="77777777" w:rsidR="00B307DB" w:rsidRDefault="00B307DB" w:rsidP="00B307DB">
      <w:pPr>
        <w:spacing w:after="0" w:line="240" w:lineRule="auto"/>
        <w:ind w:right="-568"/>
        <w:jc w:val="center"/>
        <w:rPr>
          <w:rFonts w:ascii="Times New Roman" w:hAnsi="Times New Roman" w:cs="Times New Roman"/>
        </w:rPr>
      </w:pPr>
    </w:p>
    <w:p w14:paraId="0E9E0314" w14:textId="77777777" w:rsidR="00B307DB" w:rsidRDefault="00B307DB" w:rsidP="00B307DB">
      <w:pPr>
        <w:spacing w:after="0" w:line="240" w:lineRule="auto"/>
        <w:ind w:right="-568"/>
        <w:jc w:val="center"/>
        <w:rPr>
          <w:rFonts w:ascii="Times New Roman" w:hAnsi="Times New Roman" w:cs="Times New Roman"/>
        </w:rPr>
      </w:pPr>
    </w:p>
    <w:p w14:paraId="5EE8D341" w14:textId="77777777" w:rsidR="00B307DB" w:rsidRDefault="00B307DB" w:rsidP="00B307DB">
      <w:pPr>
        <w:spacing w:after="0" w:line="240" w:lineRule="auto"/>
        <w:ind w:right="-568"/>
        <w:jc w:val="center"/>
        <w:rPr>
          <w:rFonts w:ascii="Times New Roman" w:hAnsi="Times New Roman" w:cs="Times New Roman"/>
        </w:rPr>
      </w:pPr>
    </w:p>
    <w:p w14:paraId="24FD5F46" w14:textId="77777777" w:rsidR="00B307DB" w:rsidRDefault="00B307DB" w:rsidP="00B307DB">
      <w:pPr>
        <w:spacing w:after="0" w:line="240" w:lineRule="auto"/>
        <w:ind w:right="-568"/>
        <w:jc w:val="center"/>
        <w:rPr>
          <w:rFonts w:ascii="Times New Roman" w:hAnsi="Times New Roman" w:cs="Times New Roman"/>
        </w:rPr>
      </w:pPr>
    </w:p>
    <w:p w14:paraId="273CC12B" w14:textId="77777777" w:rsidR="00B307DB" w:rsidRDefault="00B307DB" w:rsidP="00B307DB">
      <w:pPr>
        <w:spacing w:after="0" w:line="240" w:lineRule="auto"/>
        <w:ind w:right="-568"/>
        <w:jc w:val="center"/>
        <w:rPr>
          <w:rFonts w:ascii="Times New Roman" w:hAnsi="Times New Roman" w:cs="Times New Roman"/>
        </w:rPr>
      </w:pPr>
    </w:p>
    <w:p w14:paraId="60CB6610" w14:textId="77777777" w:rsidR="00B307DB" w:rsidRDefault="00B307DB" w:rsidP="00B307DB">
      <w:pPr>
        <w:spacing w:after="0" w:line="240" w:lineRule="auto"/>
        <w:ind w:right="-568"/>
        <w:jc w:val="center"/>
        <w:rPr>
          <w:rFonts w:ascii="Times New Roman" w:hAnsi="Times New Roman" w:cs="Times New Roman"/>
        </w:rPr>
      </w:pPr>
    </w:p>
    <w:p w14:paraId="76174CAD" w14:textId="77777777" w:rsidR="00B307DB" w:rsidRDefault="00B307DB" w:rsidP="00B307DB">
      <w:pPr>
        <w:spacing w:after="0" w:line="240" w:lineRule="auto"/>
        <w:ind w:right="-568"/>
        <w:jc w:val="center"/>
        <w:rPr>
          <w:rFonts w:ascii="Times New Roman" w:hAnsi="Times New Roman" w:cs="Times New Roman"/>
        </w:rPr>
      </w:pPr>
    </w:p>
    <w:p w14:paraId="76E57305" w14:textId="77777777" w:rsidR="00B307DB" w:rsidRDefault="00B307DB" w:rsidP="00B307DB">
      <w:pPr>
        <w:spacing w:after="0" w:line="240" w:lineRule="auto"/>
        <w:ind w:right="-568"/>
        <w:jc w:val="center"/>
        <w:rPr>
          <w:rFonts w:ascii="Times New Roman" w:hAnsi="Times New Roman" w:cs="Times New Roman"/>
        </w:rPr>
      </w:pPr>
    </w:p>
    <w:p w14:paraId="5B7A6F7D" w14:textId="77777777" w:rsidR="00B307DB" w:rsidRDefault="00B307DB" w:rsidP="00B307DB">
      <w:pPr>
        <w:spacing w:after="0" w:line="240" w:lineRule="auto"/>
        <w:ind w:right="-568"/>
        <w:jc w:val="center"/>
        <w:rPr>
          <w:rFonts w:ascii="Times New Roman" w:hAnsi="Times New Roman" w:cs="Times New Roman"/>
        </w:rPr>
      </w:pPr>
    </w:p>
    <w:p w14:paraId="0314052D" w14:textId="77777777" w:rsidR="00B307DB" w:rsidRDefault="00B307DB" w:rsidP="00B307DB">
      <w:pPr>
        <w:spacing w:after="0" w:line="240" w:lineRule="auto"/>
        <w:ind w:right="-568"/>
        <w:jc w:val="center"/>
        <w:rPr>
          <w:rFonts w:ascii="Times New Roman" w:hAnsi="Times New Roman" w:cs="Times New Roman"/>
        </w:rPr>
      </w:pPr>
    </w:p>
    <w:p w14:paraId="32173F01" w14:textId="77777777" w:rsidR="00B307DB" w:rsidRDefault="00B307DB" w:rsidP="00B307DB">
      <w:pPr>
        <w:spacing w:after="0" w:line="240" w:lineRule="auto"/>
        <w:ind w:right="-568"/>
        <w:jc w:val="center"/>
        <w:rPr>
          <w:rFonts w:ascii="Times New Roman" w:hAnsi="Times New Roman" w:cs="Times New Roman"/>
        </w:rPr>
      </w:pPr>
    </w:p>
    <w:p w14:paraId="40D8D0EC" w14:textId="77777777" w:rsidR="00B307DB" w:rsidRDefault="00B307DB" w:rsidP="00B307DB">
      <w:pPr>
        <w:spacing w:after="0" w:line="240" w:lineRule="auto"/>
        <w:ind w:right="-568"/>
        <w:jc w:val="center"/>
        <w:rPr>
          <w:rFonts w:ascii="Times New Roman" w:hAnsi="Times New Roman" w:cs="Times New Roman"/>
        </w:rPr>
      </w:pPr>
    </w:p>
    <w:p w14:paraId="58D3CA1F" w14:textId="77777777" w:rsidR="00B307DB" w:rsidRDefault="00B307DB" w:rsidP="00B307DB">
      <w:pPr>
        <w:spacing w:after="0" w:line="240" w:lineRule="auto"/>
        <w:ind w:right="-568"/>
        <w:jc w:val="center"/>
        <w:rPr>
          <w:rFonts w:ascii="Times New Roman" w:hAnsi="Times New Roman" w:cs="Times New Roman"/>
        </w:rPr>
      </w:pPr>
    </w:p>
    <w:p w14:paraId="4FFDDFAD" w14:textId="77777777" w:rsidR="00B307DB" w:rsidRDefault="00B307DB" w:rsidP="00B307DB">
      <w:pPr>
        <w:spacing w:after="0" w:line="240" w:lineRule="auto"/>
        <w:ind w:right="-568"/>
        <w:jc w:val="center"/>
        <w:rPr>
          <w:rFonts w:ascii="Times New Roman" w:hAnsi="Times New Roman" w:cs="Times New Roman"/>
        </w:rPr>
      </w:pPr>
    </w:p>
    <w:p w14:paraId="597AD693" w14:textId="77777777" w:rsidR="00B307DB" w:rsidRDefault="00B307DB" w:rsidP="00B307DB">
      <w:pPr>
        <w:spacing w:after="0" w:line="240" w:lineRule="auto"/>
        <w:ind w:right="-568"/>
        <w:jc w:val="center"/>
        <w:rPr>
          <w:rFonts w:ascii="Times New Roman" w:hAnsi="Times New Roman" w:cs="Times New Roman"/>
        </w:rPr>
      </w:pPr>
    </w:p>
    <w:p w14:paraId="5886A05D" w14:textId="77777777" w:rsidR="00B307DB" w:rsidRDefault="00B307DB" w:rsidP="00B307DB">
      <w:pPr>
        <w:spacing w:after="0" w:line="240" w:lineRule="auto"/>
        <w:ind w:right="-568"/>
        <w:jc w:val="center"/>
        <w:rPr>
          <w:rFonts w:ascii="Times New Roman" w:hAnsi="Times New Roman" w:cs="Times New Roman"/>
        </w:rPr>
      </w:pPr>
    </w:p>
    <w:p w14:paraId="3FC2FD41" w14:textId="77777777" w:rsidR="00B307DB" w:rsidRDefault="00B307DB" w:rsidP="00B307DB">
      <w:pPr>
        <w:spacing w:after="0" w:line="240" w:lineRule="auto"/>
        <w:ind w:right="-568"/>
        <w:jc w:val="center"/>
        <w:rPr>
          <w:rFonts w:ascii="Times New Roman" w:hAnsi="Times New Roman" w:cs="Times New Roman"/>
        </w:rPr>
      </w:pPr>
    </w:p>
    <w:p w14:paraId="367A8EEA" w14:textId="77777777" w:rsidR="00B307DB" w:rsidRPr="00D84571" w:rsidRDefault="00B307DB" w:rsidP="00B307D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D84571">
        <w:rPr>
          <w:rFonts w:ascii="Times New Roman" w:hAnsi="Times New Roman" w:cs="Times New Roman"/>
          <w:b/>
        </w:rPr>
        <w:t xml:space="preserve">PROCESSO LICITATÓRIO Nº </w:t>
      </w:r>
      <w:r>
        <w:rPr>
          <w:rFonts w:ascii="Times New Roman" w:hAnsi="Times New Roman" w:cs="Times New Roman"/>
          <w:b/>
        </w:rPr>
        <w:t>965/2024</w:t>
      </w:r>
    </w:p>
    <w:p w14:paraId="16C97ADB" w14:textId="77777777" w:rsidR="00B307DB" w:rsidRPr="00D84571" w:rsidRDefault="00B307DB" w:rsidP="00B307DB">
      <w:pPr>
        <w:widowControl w:val="0"/>
        <w:shd w:val="clear" w:color="auto" w:fill="A6A6A6" w:themeFill="background1" w:themeFillShade="A6"/>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D84571">
        <w:rPr>
          <w:rFonts w:ascii="Times New Roman" w:hAnsi="Times New Roman" w:cs="Times New Roman"/>
          <w:b/>
        </w:rPr>
        <w:t xml:space="preserve">PREGÃO ELETRÔNICO Nº </w:t>
      </w:r>
      <w:r>
        <w:rPr>
          <w:rFonts w:ascii="Times New Roman" w:hAnsi="Times New Roman" w:cs="Times New Roman"/>
          <w:b/>
        </w:rPr>
        <w:t>36/2024</w:t>
      </w:r>
    </w:p>
    <w:p w14:paraId="4A7AE0DA" w14:textId="77777777" w:rsidR="00B307DB" w:rsidRPr="00D84571" w:rsidRDefault="00B307DB" w:rsidP="00B307DB">
      <w:pPr>
        <w:spacing w:after="0" w:line="240" w:lineRule="auto"/>
        <w:ind w:right="-568"/>
        <w:jc w:val="center"/>
        <w:rPr>
          <w:rFonts w:ascii="Times New Roman" w:hAnsi="Times New Roman" w:cs="Times New Roman"/>
        </w:rPr>
      </w:pPr>
    </w:p>
    <w:p w14:paraId="6710D4FF" w14:textId="77777777" w:rsidR="00B307DB" w:rsidRPr="00D84571" w:rsidRDefault="00B307DB" w:rsidP="00B307DB">
      <w:pPr>
        <w:pStyle w:val="Ttulo1"/>
        <w:shd w:val="clear" w:color="auto" w:fill="A6A6A6" w:themeFill="background1" w:themeFillShade="A6"/>
        <w:spacing w:before="0" w:line="240" w:lineRule="auto"/>
        <w:ind w:right="-568"/>
        <w:jc w:val="center"/>
        <w:rPr>
          <w:rFonts w:ascii="Times New Roman" w:hAnsi="Times New Roman" w:cs="Times New Roman"/>
          <w:sz w:val="22"/>
          <w:szCs w:val="22"/>
        </w:rPr>
      </w:pPr>
      <w:r w:rsidRPr="00D84571">
        <w:rPr>
          <w:rFonts w:ascii="Times New Roman" w:hAnsi="Times New Roman" w:cs="Times New Roman"/>
          <w:sz w:val="22"/>
          <w:szCs w:val="22"/>
        </w:rPr>
        <w:t>ANEXO X</w:t>
      </w:r>
      <w:r>
        <w:rPr>
          <w:rFonts w:ascii="Times New Roman" w:hAnsi="Times New Roman" w:cs="Times New Roman"/>
          <w:sz w:val="22"/>
          <w:szCs w:val="22"/>
        </w:rPr>
        <w:t>II</w:t>
      </w:r>
      <w:r w:rsidRPr="00D84571">
        <w:rPr>
          <w:rFonts w:ascii="Times New Roman" w:hAnsi="Times New Roman" w:cs="Times New Roman"/>
          <w:sz w:val="22"/>
          <w:szCs w:val="22"/>
        </w:rPr>
        <w:t xml:space="preserve"> – CONTRATO ADMINISTRATIVO</w:t>
      </w:r>
    </w:p>
    <w:p w14:paraId="0BC8379F" w14:textId="77777777" w:rsidR="00B307DB" w:rsidRPr="00D84571" w:rsidRDefault="00B307DB" w:rsidP="00B307DB">
      <w:pPr>
        <w:spacing w:after="0" w:line="240" w:lineRule="auto"/>
        <w:ind w:right="-568"/>
        <w:jc w:val="center"/>
        <w:rPr>
          <w:rFonts w:ascii="Times New Roman" w:hAnsi="Times New Roman" w:cs="Times New Roman"/>
          <w:b/>
        </w:rPr>
      </w:pPr>
    </w:p>
    <w:p w14:paraId="1B0A8157" w14:textId="77777777" w:rsidR="00B307DB" w:rsidRPr="00D84571" w:rsidRDefault="00B307DB" w:rsidP="00B307DB">
      <w:pPr>
        <w:spacing w:after="0" w:line="240" w:lineRule="auto"/>
        <w:ind w:right="-568"/>
        <w:jc w:val="center"/>
        <w:rPr>
          <w:rFonts w:ascii="Times New Roman" w:hAnsi="Times New Roman" w:cs="Times New Roman"/>
          <w:b/>
        </w:rPr>
      </w:pPr>
      <w:r w:rsidRPr="00D84571">
        <w:rPr>
          <w:rFonts w:ascii="Times New Roman" w:hAnsi="Times New Roman" w:cs="Times New Roman"/>
          <w:b/>
        </w:rPr>
        <w:t>CONTRATO ADMINISTRATIVO Nº 000/2024</w:t>
      </w:r>
    </w:p>
    <w:p w14:paraId="7D10B161" w14:textId="77777777" w:rsidR="00B307DB" w:rsidRPr="00D84571" w:rsidRDefault="00B307DB" w:rsidP="00B307DB">
      <w:pPr>
        <w:spacing w:after="0" w:line="240" w:lineRule="auto"/>
        <w:ind w:right="-568"/>
        <w:jc w:val="both"/>
        <w:rPr>
          <w:rFonts w:ascii="Times New Roman" w:hAnsi="Times New Roman" w:cs="Times New Roman"/>
          <w:b/>
        </w:rPr>
      </w:pPr>
    </w:p>
    <w:p w14:paraId="0471E116" w14:textId="5ED49715"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rPr>
        <w:t xml:space="preserve">O </w:t>
      </w:r>
      <w:r w:rsidRPr="00D84571">
        <w:rPr>
          <w:rFonts w:ascii="Times New Roman" w:hAnsi="Times New Roman" w:cs="Times New Roman"/>
          <w:b/>
        </w:rPr>
        <w:t>MUNICÍPIO DE RIQUEZA</w:t>
      </w:r>
      <w:r w:rsidRPr="00D84571">
        <w:rPr>
          <w:rFonts w:ascii="Times New Roman" w:hAnsi="Times New Roman" w:cs="Times New Roman"/>
        </w:rPr>
        <w:t>, pessoa jurídica de direito público interno, inscrito no CNPJ nº 95.988.309/0001-48, com sede na Rua João Mari, nº 55, centro do Munícipio de Riqueza, Estado de Santa Catarina, CEP: 89.895-000</w:t>
      </w:r>
      <w:r>
        <w:rPr>
          <w:rFonts w:ascii="Times New Roman" w:hAnsi="Times New Roman" w:cs="Times New Roman"/>
        </w:rPr>
        <w:t xml:space="preserve"> </w:t>
      </w:r>
      <w:r w:rsidRPr="000E31B1">
        <w:rPr>
          <w:rFonts w:ascii="Times New Roman" w:hAnsi="Times New Roman" w:cs="Times New Roman"/>
        </w:rPr>
        <w:t xml:space="preserve">e o </w:t>
      </w:r>
      <w:r w:rsidRPr="000E31B1">
        <w:rPr>
          <w:rFonts w:ascii="Times New Roman" w:hAnsi="Times New Roman" w:cs="Times New Roman"/>
          <w:b/>
        </w:rPr>
        <w:t>FUNDO MUNICIPAL DE SAÚDE DE RIQUEZA</w:t>
      </w:r>
      <w:r w:rsidRPr="000E31B1">
        <w:rPr>
          <w:rFonts w:ascii="Times New Roman" w:hAnsi="Times New Roman" w:cs="Times New Roman"/>
        </w:rPr>
        <w:t>, p</w:t>
      </w:r>
      <w:r w:rsidRPr="003846AC">
        <w:rPr>
          <w:rFonts w:ascii="Times New Roman" w:hAnsi="Times New Roman" w:cs="Times New Roman"/>
        </w:rPr>
        <w:t>essoa jurídica de direito público, inscrito no CNPJ nº 11.366.369/0001-39, com sede na Rua Presidente Castelo Branco, 59, Centro do Município de Riqueza, CEP: 89.895-000</w:t>
      </w:r>
      <w:r w:rsidRPr="00D84571">
        <w:rPr>
          <w:rFonts w:ascii="Times New Roman" w:hAnsi="Times New Roman" w:cs="Times New Roman"/>
        </w:rPr>
        <w:t xml:space="preserve">, doravante denominado </w:t>
      </w:r>
      <w:r w:rsidRPr="00D84571">
        <w:rPr>
          <w:rFonts w:ascii="Times New Roman" w:hAnsi="Times New Roman" w:cs="Times New Roman"/>
          <w:b/>
        </w:rPr>
        <w:t>CONTRATANTE</w:t>
      </w:r>
      <w:r w:rsidRPr="00D84571">
        <w:rPr>
          <w:rFonts w:ascii="Times New Roman" w:hAnsi="Times New Roman" w:cs="Times New Roman"/>
        </w:rPr>
        <w:t>, neste ato representado pelo Prefeito</w:t>
      </w:r>
      <w:r w:rsidR="003B2A6C">
        <w:rPr>
          <w:rFonts w:ascii="Times New Roman" w:hAnsi="Times New Roman" w:cs="Times New Roman"/>
        </w:rPr>
        <w:t xml:space="preserve"> em Exercício</w:t>
      </w:r>
      <w:r w:rsidRPr="00D84571">
        <w:rPr>
          <w:rFonts w:ascii="Times New Roman" w:hAnsi="Times New Roman" w:cs="Times New Roman"/>
        </w:rPr>
        <w:t xml:space="preserve">, Sr. </w:t>
      </w:r>
      <w:r w:rsidR="003B2A6C">
        <w:rPr>
          <w:rFonts w:ascii="Times New Roman" w:hAnsi="Times New Roman" w:cs="Times New Roman"/>
        </w:rPr>
        <w:t>Leandro José Alba</w:t>
      </w:r>
      <w:r w:rsidRPr="00D84571">
        <w:rPr>
          <w:rFonts w:ascii="Times New Roman" w:hAnsi="Times New Roman" w:cs="Times New Roman"/>
        </w:rPr>
        <w:t xml:space="preserve">, e </w:t>
      </w:r>
      <w:r>
        <w:rPr>
          <w:rFonts w:ascii="Times New Roman" w:hAnsi="Times New Roman" w:cs="Times New Roman"/>
        </w:rPr>
        <w:t xml:space="preserve">a empresa </w:t>
      </w:r>
      <w:r w:rsidRPr="00D84571">
        <w:rPr>
          <w:rFonts w:ascii="Times New Roman" w:hAnsi="Times New Roman" w:cs="Times New Roman"/>
          <w:b/>
        </w:rPr>
        <w:t>XXX</w:t>
      </w:r>
      <w:r w:rsidRPr="00D84571">
        <w:rPr>
          <w:rFonts w:ascii="Times New Roman" w:hAnsi="Times New Roman" w:cs="Times New Roman"/>
        </w:rPr>
        <w:t xml:space="preserve">, inscrito no CNPJ/CPF nº 000, com endereço em XXX, doravante denominada </w:t>
      </w:r>
      <w:r w:rsidRPr="00D84571">
        <w:rPr>
          <w:rFonts w:ascii="Times New Roman" w:hAnsi="Times New Roman" w:cs="Times New Roman"/>
          <w:b/>
        </w:rPr>
        <w:t>CONTRATADA</w:t>
      </w:r>
      <w:r w:rsidRPr="00D84571">
        <w:rPr>
          <w:rFonts w:ascii="Times New Roman" w:hAnsi="Times New Roman" w:cs="Times New Roman"/>
        </w:rPr>
        <w:t xml:space="preserve">, neste ato representado pelo seu Sócio, Sr. XXX, resolvem celebrar este contrato, em decorrência do Processo Licitatório nº </w:t>
      </w:r>
      <w:r>
        <w:rPr>
          <w:rFonts w:ascii="Times New Roman" w:hAnsi="Times New Roman" w:cs="Times New Roman"/>
        </w:rPr>
        <w:t>965/2024</w:t>
      </w:r>
      <w:r w:rsidRPr="00D84571">
        <w:rPr>
          <w:rFonts w:ascii="Times New Roman" w:hAnsi="Times New Roman" w:cs="Times New Roman"/>
        </w:rPr>
        <w:t xml:space="preserve">, Pregão Eletrônico nº </w:t>
      </w:r>
      <w:r>
        <w:rPr>
          <w:rFonts w:ascii="Times New Roman" w:hAnsi="Times New Roman" w:cs="Times New Roman"/>
        </w:rPr>
        <w:t>36/2024</w:t>
      </w:r>
      <w:r w:rsidRPr="00D84571">
        <w:rPr>
          <w:rFonts w:ascii="Times New Roman" w:hAnsi="Times New Roman" w:cs="Times New Roman"/>
        </w:rPr>
        <w:t>, homologado em 00/00/202X, mediante as cláusulas a seguir:</w:t>
      </w:r>
    </w:p>
    <w:p w14:paraId="1FD4AC70" w14:textId="77777777" w:rsidR="00B307DB" w:rsidRPr="00D84571" w:rsidRDefault="00B307DB" w:rsidP="00B307DB">
      <w:pPr>
        <w:spacing w:after="0" w:line="240" w:lineRule="auto"/>
        <w:ind w:right="-568"/>
        <w:jc w:val="both"/>
        <w:rPr>
          <w:rFonts w:ascii="Times New Roman" w:hAnsi="Times New Roman" w:cs="Times New Roman"/>
        </w:rPr>
      </w:pPr>
    </w:p>
    <w:p w14:paraId="3CE7F4F1"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PRIMEIRA: OBJETO E SEUS ELEMENTOS CARACTERÍSTICOS (</w:t>
      </w:r>
      <w:hyperlink r:id="rId313" w:anchor="art92i" w:history="1">
        <w:r w:rsidRPr="00D84571">
          <w:rPr>
            <w:rStyle w:val="Hyperlink"/>
            <w:rFonts w:ascii="Times New Roman" w:hAnsi="Times New Roman" w:cs="Times New Roman"/>
            <w:b/>
          </w:rPr>
          <w:t>art. 92, I</w:t>
        </w:r>
      </w:hyperlink>
      <w:r w:rsidRPr="00D84571">
        <w:rPr>
          <w:rFonts w:ascii="Times New Roman" w:hAnsi="Times New Roman" w:cs="Times New Roman"/>
          <w:b/>
        </w:rPr>
        <w:t>)</w:t>
      </w:r>
    </w:p>
    <w:p w14:paraId="29AC9A7E" w14:textId="77777777" w:rsidR="00B307DB" w:rsidRPr="00BB2BC3" w:rsidRDefault="00B307DB" w:rsidP="00B307D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r w:rsidRPr="00D84571">
        <w:rPr>
          <w:rFonts w:ascii="Times New Roman" w:hAnsi="Times New Roman" w:cs="Times New Roman"/>
          <w:b/>
        </w:rPr>
        <w:t>1.1</w:t>
      </w:r>
      <w:r w:rsidRPr="00D84571">
        <w:rPr>
          <w:rFonts w:ascii="Times New Roman" w:hAnsi="Times New Roman" w:cs="Times New Roman"/>
        </w:rPr>
        <w:t xml:space="preserve"> O objeto deste contrato é a </w:t>
      </w:r>
      <w:r w:rsidRPr="00BB2BC3">
        <w:rPr>
          <w:rFonts w:ascii="Times New Roman" w:hAnsi="Times New Roman" w:cs="Times New Roman"/>
        </w:rPr>
        <w:t>locação de sistema web integrado de gestão pública municipal, em nuvem, incluindo serviços complementares implantação, manutenção (corretiva, adaptativa e evolutiva), suporte técnico e treinamento de servidores públicos municipais, armazenamento e segurança da informação, para atendimento das necessidades da administração municipal e do Poder Legislativo, conforme especificações constantes no edital e seus anexos</w:t>
      </w:r>
      <w:r>
        <w:rPr>
          <w:rFonts w:ascii="Times New Roman" w:hAnsi="Times New Roman" w:cs="Times New Roman"/>
        </w:rPr>
        <w:t>;</w:t>
      </w:r>
    </w:p>
    <w:p w14:paraId="5DAF9E8D" w14:textId="77777777" w:rsidR="00B307DB" w:rsidRDefault="00B307DB" w:rsidP="00B307D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Pr>
          <w:rFonts w:ascii="Times New Roman" w:hAnsi="Times New Roman" w:cs="Times New Roman"/>
          <w:b/>
        </w:rPr>
        <w:t xml:space="preserve">1.2 </w:t>
      </w:r>
      <w:r w:rsidRPr="007A2F90">
        <w:rPr>
          <w:rFonts w:ascii="Times New Roman" w:hAnsi="Times New Roman" w:cs="Times New Roman"/>
        </w:rPr>
        <w:t xml:space="preserve">A CONTRATADA fará a Conversão de Dados/Migração de todos os módulos e informações que o Município possui atualmente no </w:t>
      </w:r>
      <w:r>
        <w:rPr>
          <w:rFonts w:ascii="Times New Roman" w:hAnsi="Times New Roman" w:cs="Times New Roman"/>
        </w:rPr>
        <w:t>sistema, sem cobrança adicional;</w:t>
      </w:r>
    </w:p>
    <w:p w14:paraId="35626BB4" w14:textId="77777777" w:rsidR="00B307DB" w:rsidRPr="007A2F90" w:rsidRDefault="00B307DB" w:rsidP="00B307D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7A2F90">
        <w:rPr>
          <w:rFonts w:ascii="Times New Roman" w:hAnsi="Times New Roman" w:cs="Times New Roman"/>
          <w:b/>
        </w:rPr>
        <w:t xml:space="preserve">1.3 </w:t>
      </w:r>
      <w:r w:rsidRPr="007A2F90">
        <w:rPr>
          <w:rFonts w:ascii="Times New Roman" w:hAnsi="Times New Roman" w:cs="Times New Roman"/>
        </w:rPr>
        <w:t>A CONTRATADA do certame é responsável pelo Backup diário em nuvem</w:t>
      </w:r>
      <w:r>
        <w:rPr>
          <w:rFonts w:ascii="Times New Roman" w:hAnsi="Times New Roman" w:cs="Times New Roman"/>
        </w:rPr>
        <w:t>;</w:t>
      </w:r>
    </w:p>
    <w:p w14:paraId="1BCAA21F" w14:textId="77777777" w:rsidR="00B307DB" w:rsidRDefault="00B307DB" w:rsidP="00B307D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Pr>
          <w:rFonts w:ascii="Times New Roman" w:hAnsi="Times New Roman" w:cs="Times New Roman"/>
          <w:b/>
        </w:rPr>
        <w:t xml:space="preserve">1.4 </w:t>
      </w:r>
      <w:r w:rsidRPr="007A2F90">
        <w:rPr>
          <w:rFonts w:ascii="Times New Roman" w:hAnsi="Times New Roman" w:cs="Times New Roman"/>
        </w:rPr>
        <w:t>No valor contratado não há limite de usuários. Se houver a necessidade de criar mais login e senha para usuários a CONTRATADA não poderá cobrar valor adicional;</w:t>
      </w:r>
    </w:p>
    <w:p w14:paraId="47BA4EE9" w14:textId="77777777" w:rsidR="00B307DB" w:rsidRPr="00D66D29" w:rsidRDefault="00B307DB" w:rsidP="00B307D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strike/>
          <w:color w:val="FF0000"/>
        </w:rPr>
      </w:pPr>
      <w:r w:rsidRPr="007A2F90">
        <w:rPr>
          <w:rFonts w:ascii="Times New Roman" w:hAnsi="Times New Roman" w:cs="Times New Roman"/>
          <w:b/>
        </w:rPr>
        <w:t xml:space="preserve">1.5 </w:t>
      </w:r>
      <w:r w:rsidRPr="003E5154">
        <w:rPr>
          <w:rFonts w:ascii="Times New Roman" w:hAnsi="Times New Roman" w:cs="Times New Roman"/>
        </w:rPr>
        <w:t>Os serviços de atendimentos realizados via sistema/web/ e/ou telefone estão inclusos no preço total e não terão cobrança adicional;</w:t>
      </w:r>
    </w:p>
    <w:p w14:paraId="51721DB4" w14:textId="77777777" w:rsidR="00B307DB" w:rsidRPr="007A2F90" w:rsidRDefault="00B307DB" w:rsidP="00B307D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Pr>
          <w:rFonts w:ascii="Times New Roman" w:hAnsi="Times New Roman" w:cs="Times New Roman"/>
          <w:b/>
        </w:rPr>
        <w:t xml:space="preserve">1.6 </w:t>
      </w:r>
      <w:r w:rsidRPr="007A2F90">
        <w:rPr>
          <w:rFonts w:ascii="Times New Roman" w:hAnsi="Times New Roman" w:cs="Times New Roman"/>
        </w:rPr>
        <w:t xml:space="preserve">A CONTRATADA deverá ter disponível uma equipe técnica para prestar assessoria/assistência através de telefone, e-mail, chat para resoluções de problemas, dúvidas e adequações do sistema. Este </w:t>
      </w:r>
      <w:r>
        <w:rPr>
          <w:rFonts w:ascii="Times New Roman" w:hAnsi="Times New Roman" w:cs="Times New Roman"/>
        </w:rPr>
        <w:t>serviço</w:t>
      </w:r>
      <w:r w:rsidRPr="007A2F90">
        <w:rPr>
          <w:rFonts w:ascii="Times New Roman" w:hAnsi="Times New Roman" w:cs="Times New Roman"/>
        </w:rPr>
        <w:t xml:space="preserve"> será prestado sem custo a CONTRATANTE;</w:t>
      </w:r>
    </w:p>
    <w:p w14:paraId="21EA7329" w14:textId="77777777" w:rsidR="00B307DB" w:rsidRPr="007A2F90" w:rsidRDefault="00B307DB" w:rsidP="00B307D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rPr>
      </w:pPr>
      <w:r w:rsidRPr="007A2F90">
        <w:rPr>
          <w:rFonts w:ascii="Times New Roman" w:hAnsi="Times New Roman" w:cs="Times New Roman"/>
          <w:b/>
        </w:rPr>
        <w:t>1.7</w:t>
      </w:r>
      <w:r w:rsidRPr="007A2F90">
        <w:rPr>
          <w:rFonts w:ascii="Times New Roman" w:hAnsi="Times New Roman" w:cs="Times New Roman"/>
        </w:rPr>
        <w:t xml:space="preserve"> A CONTRATADA deverá disponibilizar o sistema que atenda as condições estabelecidas no Decreto Federal nº10.540/2022 e na Instrução Normativa TC – 35/2024.</w:t>
      </w:r>
    </w:p>
    <w:p w14:paraId="3A50AD88" w14:textId="77777777" w:rsidR="00B307DB" w:rsidRPr="00D84571" w:rsidRDefault="00B307DB" w:rsidP="00B307DB">
      <w:pPr>
        <w:widowControl w:val="0"/>
        <w:tabs>
          <w:tab w:val="left" w:pos="1701"/>
          <w:tab w:val="right" w:pos="8080"/>
        </w:tabs>
        <w:adjustRightInd w:val="0"/>
        <w:spacing w:after="0" w:line="240" w:lineRule="auto"/>
        <w:ind w:right="-568"/>
        <w:jc w:val="both"/>
        <w:textAlignment w:val="baseline"/>
        <w:rPr>
          <w:rFonts w:ascii="Times New Roman" w:hAnsi="Times New Roman" w:cs="Times New Roman"/>
          <w:b/>
        </w:rPr>
      </w:pPr>
    </w:p>
    <w:p w14:paraId="441E18BE"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SEGUNDA: VINCULAÇÃO AO EDITAL DE LICITAÇÃO E À PROPOSTA DO LICITANTE VENCEDOR (</w:t>
      </w:r>
      <w:hyperlink r:id="rId314" w:anchor="art92ii" w:history="1">
        <w:r w:rsidRPr="00D84571">
          <w:rPr>
            <w:rStyle w:val="Hyperlink"/>
            <w:rFonts w:ascii="Times New Roman" w:hAnsi="Times New Roman" w:cs="Times New Roman"/>
            <w:b/>
          </w:rPr>
          <w:t>art. 92, II</w:t>
        </w:r>
      </w:hyperlink>
      <w:r w:rsidRPr="00D84571">
        <w:rPr>
          <w:rFonts w:ascii="Times New Roman" w:hAnsi="Times New Roman" w:cs="Times New Roman"/>
          <w:b/>
        </w:rPr>
        <w:t>)</w:t>
      </w:r>
    </w:p>
    <w:p w14:paraId="51A7FECC" w14:textId="77777777" w:rsidR="00B307DB"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2.1</w:t>
      </w:r>
      <w:r w:rsidRPr="00D84571">
        <w:rPr>
          <w:rFonts w:ascii="Times New Roman" w:hAnsi="Times New Roman" w:cs="Times New Roman"/>
        </w:rPr>
        <w:t xml:space="preserve"> Este contrato é vinculado ao edital do Processo Licitatório nº </w:t>
      </w:r>
      <w:r>
        <w:rPr>
          <w:rFonts w:ascii="Times New Roman" w:hAnsi="Times New Roman" w:cs="Times New Roman"/>
        </w:rPr>
        <w:t>965/2024</w:t>
      </w:r>
      <w:r w:rsidRPr="00D84571">
        <w:rPr>
          <w:rFonts w:ascii="Times New Roman" w:hAnsi="Times New Roman" w:cs="Times New Roman"/>
        </w:rPr>
        <w:t xml:space="preserve">, Pregão Eletrônico nº </w:t>
      </w:r>
      <w:r>
        <w:rPr>
          <w:rFonts w:ascii="Times New Roman" w:hAnsi="Times New Roman" w:cs="Times New Roman"/>
        </w:rPr>
        <w:t>36/2024</w:t>
      </w:r>
      <w:r w:rsidRPr="00D84571">
        <w:rPr>
          <w:rFonts w:ascii="Times New Roman" w:hAnsi="Times New Roman" w:cs="Times New Roman"/>
        </w:rPr>
        <w:t xml:space="preserve">, homologado em 00/00/202X e à proposta vencedora </w:t>
      </w:r>
      <w:r>
        <w:rPr>
          <w:rFonts w:ascii="Times New Roman" w:hAnsi="Times New Roman" w:cs="Times New Roman"/>
        </w:rPr>
        <w:t xml:space="preserve">datada em </w:t>
      </w:r>
      <w:r w:rsidRPr="00D84571">
        <w:rPr>
          <w:rFonts w:ascii="Times New Roman" w:hAnsi="Times New Roman" w:cs="Times New Roman"/>
        </w:rPr>
        <w:t>XXX.</w:t>
      </w:r>
    </w:p>
    <w:p w14:paraId="34E6C6C8" w14:textId="77777777" w:rsidR="00B307DB" w:rsidRDefault="00B307DB" w:rsidP="00B307DB">
      <w:pPr>
        <w:spacing w:after="0" w:line="240" w:lineRule="auto"/>
        <w:ind w:right="-568"/>
        <w:jc w:val="both"/>
        <w:rPr>
          <w:rFonts w:ascii="Times New Roman" w:hAnsi="Times New Roman" w:cs="Times New Roman"/>
        </w:rPr>
      </w:pPr>
      <w:r w:rsidRPr="00206C0B">
        <w:rPr>
          <w:rFonts w:ascii="Times New Roman" w:hAnsi="Times New Roman" w:cs="Times New Roman"/>
          <w:b/>
        </w:rPr>
        <w:t xml:space="preserve">2.2 </w:t>
      </w:r>
      <w:r w:rsidRPr="00206C0B">
        <w:rPr>
          <w:rFonts w:ascii="Times New Roman" w:hAnsi="Times New Roman" w:cs="Times New Roman"/>
        </w:rPr>
        <w:t>Somente serão pagos os valores referentes a locação mensal para os sistemas efetivamente em uso. Fica a critério da CONTRATANTE definir quais sistemas usarão. O pagamento será proporcional referente a área já implantada/em uso, inclusive quanto a sua locação também, conforme os valores abaixo especificados:</w:t>
      </w:r>
    </w:p>
    <w:tbl>
      <w:tblPr>
        <w:tblStyle w:val="Tabelacomgrade"/>
        <w:tblW w:w="8966" w:type="dxa"/>
        <w:tblLook w:val="04A0" w:firstRow="1" w:lastRow="0" w:firstColumn="1" w:lastColumn="0" w:noHBand="0" w:noVBand="1"/>
      </w:tblPr>
      <w:tblGrid>
        <w:gridCol w:w="1494"/>
        <w:gridCol w:w="1494"/>
        <w:gridCol w:w="1494"/>
        <w:gridCol w:w="1494"/>
        <w:gridCol w:w="1495"/>
        <w:gridCol w:w="1495"/>
      </w:tblGrid>
      <w:tr w:rsidR="00B307DB" w14:paraId="4FE52C5E" w14:textId="77777777" w:rsidTr="00B307DB">
        <w:trPr>
          <w:trHeight w:val="249"/>
        </w:trPr>
        <w:tc>
          <w:tcPr>
            <w:tcW w:w="1494" w:type="dxa"/>
          </w:tcPr>
          <w:p w14:paraId="1464A500" w14:textId="77777777" w:rsidR="00B307DB" w:rsidRDefault="00B307DB" w:rsidP="00B307DB">
            <w:pPr>
              <w:ind w:right="-568"/>
              <w:jc w:val="both"/>
              <w:rPr>
                <w:rFonts w:ascii="Times New Roman" w:hAnsi="Times New Roman" w:cs="Times New Roman"/>
                <w:b/>
              </w:rPr>
            </w:pPr>
            <w:r>
              <w:rPr>
                <w:rFonts w:ascii="Times New Roman" w:hAnsi="Times New Roman" w:cs="Times New Roman"/>
                <w:b/>
              </w:rPr>
              <w:t xml:space="preserve">Item </w:t>
            </w:r>
          </w:p>
        </w:tc>
        <w:tc>
          <w:tcPr>
            <w:tcW w:w="1494" w:type="dxa"/>
          </w:tcPr>
          <w:p w14:paraId="741AA945" w14:textId="77777777" w:rsidR="00B307DB" w:rsidRDefault="00B307DB" w:rsidP="00B307DB">
            <w:pPr>
              <w:ind w:right="-568"/>
              <w:jc w:val="both"/>
              <w:rPr>
                <w:rFonts w:ascii="Times New Roman" w:hAnsi="Times New Roman" w:cs="Times New Roman"/>
                <w:b/>
              </w:rPr>
            </w:pPr>
            <w:r>
              <w:rPr>
                <w:rFonts w:ascii="Times New Roman" w:hAnsi="Times New Roman" w:cs="Times New Roman"/>
                <w:b/>
              </w:rPr>
              <w:t>Quant</w:t>
            </w:r>
          </w:p>
        </w:tc>
        <w:tc>
          <w:tcPr>
            <w:tcW w:w="1494" w:type="dxa"/>
          </w:tcPr>
          <w:p w14:paraId="3DDCA5B7" w14:textId="77777777" w:rsidR="00B307DB" w:rsidRDefault="00B307DB" w:rsidP="00B307DB">
            <w:pPr>
              <w:ind w:right="-568"/>
              <w:jc w:val="both"/>
              <w:rPr>
                <w:rFonts w:ascii="Times New Roman" w:hAnsi="Times New Roman" w:cs="Times New Roman"/>
                <w:b/>
              </w:rPr>
            </w:pPr>
            <w:r>
              <w:rPr>
                <w:rFonts w:ascii="Times New Roman" w:hAnsi="Times New Roman" w:cs="Times New Roman"/>
                <w:b/>
              </w:rPr>
              <w:t>Unid</w:t>
            </w:r>
          </w:p>
        </w:tc>
        <w:tc>
          <w:tcPr>
            <w:tcW w:w="1494" w:type="dxa"/>
          </w:tcPr>
          <w:p w14:paraId="54CE3BD0" w14:textId="77777777" w:rsidR="00B307DB" w:rsidRDefault="00B307DB" w:rsidP="00B307DB">
            <w:pPr>
              <w:ind w:right="-568"/>
              <w:jc w:val="both"/>
              <w:rPr>
                <w:rFonts w:ascii="Times New Roman" w:hAnsi="Times New Roman" w:cs="Times New Roman"/>
                <w:b/>
              </w:rPr>
            </w:pPr>
            <w:r>
              <w:rPr>
                <w:rFonts w:ascii="Times New Roman" w:hAnsi="Times New Roman" w:cs="Times New Roman"/>
                <w:b/>
              </w:rPr>
              <w:t>Descrição</w:t>
            </w:r>
          </w:p>
        </w:tc>
        <w:tc>
          <w:tcPr>
            <w:tcW w:w="1495" w:type="dxa"/>
          </w:tcPr>
          <w:p w14:paraId="06D98EB5" w14:textId="77777777" w:rsidR="00B307DB" w:rsidRDefault="00B307DB" w:rsidP="00B307DB">
            <w:pPr>
              <w:ind w:right="-568"/>
              <w:jc w:val="both"/>
              <w:rPr>
                <w:rFonts w:ascii="Times New Roman" w:hAnsi="Times New Roman" w:cs="Times New Roman"/>
                <w:b/>
              </w:rPr>
            </w:pPr>
            <w:r>
              <w:rPr>
                <w:rFonts w:ascii="Times New Roman" w:hAnsi="Times New Roman" w:cs="Times New Roman"/>
                <w:b/>
              </w:rPr>
              <w:t>Valor Unit.</w:t>
            </w:r>
          </w:p>
        </w:tc>
        <w:tc>
          <w:tcPr>
            <w:tcW w:w="1495" w:type="dxa"/>
          </w:tcPr>
          <w:p w14:paraId="634457B2" w14:textId="77777777" w:rsidR="00B307DB" w:rsidRDefault="00B307DB" w:rsidP="00B307DB">
            <w:pPr>
              <w:ind w:right="-568"/>
              <w:jc w:val="both"/>
              <w:rPr>
                <w:rFonts w:ascii="Times New Roman" w:hAnsi="Times New Roman" w:cs="Times New Roman"/>
                <w:b/>
              </w:rPr>
            </w:pPr>
            <w:r>
              <w:rPr>
                <w:rFonts w:ascii="Times New Roman" w:hAnsi="Times New Roman" w:cs="Times New Roman"/>
                <w:b/>
              </w:rPr>
              <w:t>Valor Máx</w:t>
            </w:r>
          </w:p>
        </w:tc>
      </w:tr>
      <w:tr w:rsidR="00B307DB" w14:paraId="0A73ADD7" w14:textId="77777777" w:rsidTr="00B307DB">
        <w:trPr>
          <w:trHeight w:val="249"/>
        </w:trPr>
        <w:tc>
          <w:tcPr>
            <w:tcW w:w="1494" w:type="dxa"/>
          </w:tcPr>
          <w:p w14:paraId="25E3F0C9" w14:textId="77777777" w:rsidR="00B307DB" w:rsidRDefault="00B307DB" w:rsidP="00B307DB">
            <w:pPr>
              <w:ind w:right="-568"/>
              <w:jc w:val="both"/>
              <w:rPr>
                <w:rFonts w:ascii="Times New Roman" w:hAnsi="Times New Roman" w:cs="Times New Roman"/>
                <w:b/>
              </w:rPr>
            </w:pPr>
          </w:p>
        </w:tc>
        <w:tc>
          <w:tcPr>
            <w:tcW w:w="1494" w:type="dxa"/>
          </w:tcPr>
          <w:p w14:paraId="3499124E" w14:textId="77777777" w:rsidR="00B307DB" w:rsidRDefault="00B307DB" w:rsidP="00B307DB">
            <w:pPr>
              <w:ind w:right="-568"/>
              <w:jc w:val="both"/>
              <w:rPr>
                <w:rFonts w:ascii="Times New Roman" w:hAnsi="Times New Roman" w:cs="Times New Roman"/>
                <w:b/>
              </w:rPr>
            </w:pPr>
          </w:p>
        </w:tc>
        <w:tc>
          <w:tcPr>
            <w:tcW w:w="1494" w:type="dxa"/>
          </w:tcPr>
          <w:p w14:paraId="6F601885" w14:textId="77777777" w:rsidR="00B307DB" w:rsidRDefault="00B307DB" w:rsidP="00B307DB">
            <w:pPr>
              <w:ind w:right="-568"/>
              <w:jc w:val="both"/>
              <w:rPr>
                <w:rFonts w:ascii="Times New Roman" w:hAnsi="Times New Roman" w:cs="Times New Roman"/>
                <w:b/>
              </w:rPr>
            </w:pPr>
          </w:p>
        </w:tc>
        <w:tc>
          <w:tcPr>
            <w:tcW w:w="1494" w:type="dxa"/>
          </w:tcPr>
          <w:p w14:paraId="54998C85" w14:textId="77777777" w:rsidR="00B307DB" w:rsidRDefault="00B307DB" w:rsidP="00B307DB">
            <w:pPr>
              <w:ind w:right="-568"/>
              <w:jc w:val="both"/>
              <w:rPr>
                <w:rFonts w:ascii="Times New Roman" w:hAnsi="Times New Roman" w:cs="Times New Roman"/>
                <w:b/>
              </w:rPr>
            </w:pPr>
          </w:p>
        </w:tc>
        <w:tc>
          <w:tcPr>
            <w:tcW w:w="1495" w:type="dxa"/>
          </w:tcPr>
          <w:p w14:paraId="21B09ADE" w14:textId="77777777" w:rsidR="00B307DB" w:rsidRDefault="00B307DB" w:rsidP="00B307DB">
            <w:pPr>
              <w:ind w:right="-568"/>
              <w:jc w:val="both"/>
              <w:rPr>
                <w:rFonts w:ascii="Times New Roman" w:hAnsi="Times New Roman" w:cs="Times New Roman"/>
                <w:b/>
              </w:rPr>
            </w:pPr>
          </w:p>
        </w:tc>
        <w:tc>
          <w:tcPr>
            <w:tcW w:w="1495" w:type="dxa"/>
          </w:tcPr>
          <w:p w14:paraId="0F31F43E" w14:textId="77777777" w:rsidR="00B307DB" w:rsidRDefault="00B307DB" w:rsidP="00B307DB">
            <w:pPr>
              <w:ind w:right="-568"/>
              <w:jc w:val="both"/>
              <w:rPr>
                <w:rFonts w:ascii="Times New Roman" w:hAnsi="Times New Roman" w:cs="Times New Roman"/>
                <w:b/>
              </w:rPr>
            </w:pPr>
          </w:p>
        </w:tc>
      </w:tr>
    </w:tbl>
    <w:p w14:paraId="12E0D73E" w14:textId="77777777" w:rsidR="00B307DB" w:rsidRPr="00137FDD" w:rsidRDefault="00B307DB" w:rsidP="00B307DB">
      <w:pPr>
        <w:spacing w:after="0" w:line="240" w:lineRule="auto"/>
        <w:ind w:right="-568"/>
        <w:jc w:val="both"/>
        <w:rPr>
          <w:rFonts w:ascii="Times New Roman" w:hAnsi="Times New Roman" w:cs="Times New Roman"/>
          <w:b/>
        </w:rPr>
      </w:pPr>
      <w:r w:rsidRPr="00137FDD">
        <w:rPr>
          <w:rFonts w:ascii="Times New Roman" w:hAnsi="Times New Roman" w:cs="Times New Roman"/>
          <w:b/>
        </w:rPr>
        <w:t>2.3</w:t>
      </w:r>
      <w:r>
        <w:rPr>
          <w:rFonts w:ascii="Times New Roman" w:hAnsi="Times New Roman" w:cs="Times New Roman"/>
        </w:rPr>
        <w:t xml:space="preserve"> </w:t>
      </w:r>
      <w:r w:rsidRPr="00137FDD">
        <w:rPr>
          <w:rFonts w:ascii="Times New Roman" w:hAnsi="Times New Roman" w:cs="Times New Roman"/>
        </w:rPr>
        <w:t>Serviços de horas técnicas após a implantação é sob demanda variável: os serviços ofertados por hora técnica (sob demanda) serão pagos de acordo com o número de horas técnicas utilizadas no mês anterior ao mês do pagamento, em conjunto com as parcelas mensais.</w:t>
      </w:r>
    </w:p>
    <w:p w14:paraId="56AE1999" w14:textId="77777777" w:rsidR="00B307DB" w:rsidRPr="00D84571" w:rsidRDefault="00B307DB" w:rsidP="00B307DB">
      <w:pPr>
        <w:spacing w:after="0" w:line="240" w:lineRule="auto"/>
        <w:ind w:right="-568"/>
        <w:jc w:val="both"/>
        <w:rPr>
          <w:rFonts w:ascii="Times New Roman" w:hAnsi="Times New Roman" w:cs="Times New Roman"/>
          <w:b/>
        </w:rPr>
      </w:pPr>
    </w:p>
    <w:p w14:paraId="7018E5A2"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TERCEIRA: LEGISLAÇÃO APLICÁVEL À EXECUÇÃO DO CONTRATO, INCLUSIVE QUANTO AOS CASOS OMISSOS (</w:t>
      </w:r>
      <w:hyperlink r:id="rId315" w:anchor="art92iii" w:history="1">
        <w:r w:rsidRPr="00D84571">
          <w:rPr>
            <w:rStyle w:val="Hyperlink"/>
            <w:rFonts w:ascii="Times New Roman" w:hAnsi="Times New Roman" w:cs="Times New Roman"/>
            <w:b/>
          </w:rPr>
          <w:t>art. 92, III</w:t>
        </w:r>
      </w:hyperlink>
      <w:r w:rsidRPr="00D84571">
        <w:rPr>
          <w:rFonts w:ascii="Times New Roman" w:hAnsi="Times New Roman" w:cs="Times New Roman"/>
          <w:b/>
        </w:rPr>
        <w:t>)</w:t>
      </w:r>
    </w:p>
    <w:p w14:paraId="062E7D01"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3.1</w:t>
      </w:r>
      <w:r w:rsidRPr="00D84571">
        <w:rPr>
          <w:rFonts w:ascii="Times New Roman" w:hAnsi="Times New Roman" w:cs="Times New Roman"/>
        </w:rPr>
        <w:t xml:space="preserve"> Este contrato rege-se pelas disposições expressas na </w:t>
      </w:r>
      <w:hyperlink r:id="rId316" w:history="1">
        <w:r w:rsidRPr="00D84571">
          <w:rPr>
            <w:rStyle w:val="Hyperlink"/>
            <w:rFonts w:ascii="Times New Roman" w:hAnsi="Times New Roman" w:cs="Times New Roman"/>
          </w:rPr>
          <w:t>Lei nº 14.133/20211</w:t>
        </w:r>
      </w:hyperlink>
      <w:r w:rsidRPr="00D84571">
        <w:rPr>
          <w:rFonts w:ascii="Times New Roman" w:hAnsi="Times New Roman" w:cs="Times New Roman"/>
        </w:rPr>
        <w:t xml:space="preserve"> e pelos preceitos de direito público, sendo aplicados, supletivamente, os princípios da teoria geral dos contratos e as</w:t>
      </w:r>
      <w:r>
        <w:rPr>
          <w:rFonts w:ascii="Times New Roman" w:hAnsi="Times New Roman" w:cs="Times New Roman"/>
        </w:rPr>
        <w:t xml:space="preserve"> disposições de direito privado;</w:t>
      </w:r>
      <w:r w:rsidRPr="00D84571">
        <w:rPr>
          <w:rFonts w:ascii="Times New Roman" w:hAnsi="Times New Roman" w:cs="Times New Roman"/>
        </w:rPr>
        <w:t xml:space="preserve"> </w:t>
      </w:r>
    </w:p>
    <w:p w14:paraId="407E3A4C" w14:textId="77777777" w:rsidR="00B307DB"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3.2</w:t>
      </w:r>
      <w:r w:rsidRPr="00D84571">
        <w:rPr>
          <w:rFonts w:ascii="Times New Roman" w:hAnsi="Times New Roman" w:cs="Times New Roman"/>
        </w:rPr>
        <w:t xml:space="preserve"> Os casos omissos serão resolvidos à luz da referida lei, recorrendo-se à analogia, aos costumes e aos princípios gerais do direito</w:t>
      </w:r>
      <w:r>
        <w:rPr>
          <w:rFonts w:ascii="Times New Roman" w:hAnsi="Times New Roman" w:cs="Times New Roman"/>
        </w:rPr>
        <w:t>;</w:t>
      </w:r>
    </w:p>
    <w:p w14:paraId="458F5285" w14:textId="77777777" w:rsidR="00B307DB" w:rsidRPr="00D84571" w:rsidRDefault="00B307DB" w:rsidP="00B307DB">
      <w:pPr>
        <w:spacing w:after="0" w:line="240" w:lineRule="auto"/>
        <w:ind w:right="-568"/>
        <w:jc w:val="both"/>
        <w:rPr>
          <w:rFonts w:ascii="Times New Roman" w:hAnsi="Times New Roman" w:cs="Times New Roman"/>
          <w:b/>
        </w:rPr>
      </w:pPr>
    </w:p>
    <w:p w14:paraId="265D9B26"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QUARTA: REGIME DE EXECUÇÃO (</w:t>
      </w:r>
      <w:hyperlink r:id="rId317" w:anchor="art92iv" w:history="1">
        <w:r w:rsidRPr="00D84571">
          <w:rPr>
            <w:rStyle w:val="Hyperlink"/>
            <w:rFonts w:ascii="Times New Roman" w:hAnsi="Times New Roman" w:cs="Times New Roman"/>
            <w:b/>
          </w:rPr>
          <w:t>art. 92, IV</w:t>
        </w:r>
      </w:hyperlink>
      <w:r w:rsidRPr="00D84571">
        <w:rPr>
          <w:rFonts w:ascii="Times New Roman" w:hAnsi="Times New Roman" w:cs="Times New Roman"/>
          <w:b/>
        </w:rPr>
        <w:t>)</w:t>
      </w:r>
    </w:p>
    <w:p w14:paraId="7015CAAE" w14:textId="77777777" w:rsidR="00B307DB" w:rsidRPr="0091308A" w:rsidRDefault="00B307DB" w:rsidP="00B307DB">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rPr>
        <w:t>4.</w:t>
      </w:r>
      <w:r w:rsidRPr="0091308A">
        <w:rPr>
          <w:rFonts w:ascii="Times New Roman" w:hAnsi="Times New Roman" w:cs="Times New Roman"/>
          <w:b/>
        </w:rPr>
        <w:t xml:space="preserve">1 </w:t>
      </w:r>
      <w:r w:rsidRPr="0091308A">
        <w:rPr>
          <w:rFonts w:ascii="Times New Roman" w:hAnsi="Times New Roman" w:cs="Times New Roman"/>
          <w:color w:val="000000" w:themeColor="text1"/>
        </w:rPr>
        <w:t>O objeto do presente contrato será realizado sob a Forma/Regime Execução: Indireta.</w:t>
      </w:r>
    </w:p>
    <w:p w14:paraId="0F0D792A" w14:textId="77777777" w:rsidR="00B307DB" w:rsidRPr="0091308A" w:rsidRDefault="00B307DB" w:rsidP="00B307DB">
      <w:pPr>
        <w:spacing w:after="0" w:line="240" w:lineRule="auto"/>
        <w:ind w:right="-568"/>
        <w:jc w:val="both"/>
        <w:rPr>
          <w:rFonts w:ascii="Times New Roman" w:hAnsi="Times New Roman" w:cs="Times New Roman"/>
        </w:rPr>
      </w:pPr>
      <w:r w:rsidRPr="0091308A">
        <w:rPr>
          <w:rFonts w:ascii="Times New Roman" w:hAnsi="Times New Roman" w:cs="Times New Roman"/>
          <w:b/>
          <w:color w:val="000000" w:themeColor="text1"/>
        </w:rPr>
        <w:t xml:space="preserve">4.2 </w:t>
      </w:r>
      <w:r w:rsidRPr="0091308A">
        <w:rPr>
          <w:rFonts w:ascii="Times New Roman" w:hAnsi="Times New Roman" w:cs="Times New Roman"/>
        </w:rPr>
        <w:t xml:space="preserve">A Implantação dos sistemas e conversão do banco de dados (de tudo o que possui no sistema atual de todos os módulos) deverá ser concluída em até </w:t>
      </w:r>
      <w:r>
        <w:rPr>
          <w:rFonts w:ascii="Times New Roman" w:hAnsi="Times New Roman" w:cs="Times New Roman"/>
        </w:rPr>
        <w:t>9</w:t>
      </w:r>
      <w:r w:rsidRPr="0091308A">
        <w:rPr>
          <w:rFonts w:ascii="Times New Roman" w:hAnsi="Times New Roman" w:cs="Times New Roman"/>
        </w:rPr>
        <w:t>0 (</w:t>
      </w:r>
      <w:r>
        <w:rPr>
          <w:rFonts w:ascii="Times New Roman" w:hAnsi="Times New Roman" w:cs="Times New Roman"/>
        </w:rPr>
        <w:t>noventa</w:t>
      </w:r>
      <w:r w:rsidRPr="0091308A">
        <w:rPr>
          <w:rFonts w:ascii="Times New Roman" w:hAnsi="Times New Roman" w:cs="Times New Roman"/>
        </w:rPr>
        <w:t>) dias consecutivos após a emissão da ordem de serviço emitido pelo município de Riqueza/SC;</w:t>
      </w:r>
    </w:p>
    <w:p w14:paraId="12EDEECB" w14:textId="77777777" w:rsidR="00B307DB" w:rsidRPr="0091308A" w:rsidRDefault="00B307DB" w:rsidP="00B307DB">
      <w:pPr>
        <w:spacing w:after="0" w:line="240" w:lineRule="auto"/>
        <w:ind w:right="-568"/>
        <w:jc w:val="both"/>
        <w:rPr>
          <w:rFonts w:ascii="Times New Roman" w:hAnsi="Times New Roman" w:cs="Times New Roman"/>
        </w:rPr>
      </w:pPr>
      <w:r w:rsidRPr="0091308A">
        <w:rPr>
          <w:rFonts w:ascii="Times New Roman" w:hAnsi="Times New Roman" w:cs="Times New Roman"/>
          <w:b/>
        </w:rPr>
        <w:t xml:space="preserve">4.3 </w:t>
      </w:r>
      <w:r w:rsidRPr="0091308A">
        <w:rPr>
          <w:rFonts w:ascii="Times New Roman" w:hAnsi="Times New Roman" w:cs="Times New Roman"/>
        </w:rPr>
        <w:t xml:space="preserve"> Os serviços contratado deverão atender ao Termo de Referência do Edital</w:t>
      </w:r>
      <w:r>
        <w:rPr>
          <w:rFonts w:ascii="Times New Roman" w:hAnsi="Times New Roman" w:cs="Times New Roman"/>
        </w:rPr>
        <w:t>.</w:t>
      </w:r>
    </w:p>
    <w:p w14:paraId="4CEE8D81" w14:textId="77777777" w:rsidR="00B307DB" w:rsidRPr="0091308A" w:rsidRDefault="00B307DB" w:rsidP="00B307DB">
      <w:pPr>
        <w:spacing w:after="0" w:line="240" w:lineRule="auto"/>
        <w:ind w:right="-568"/>
        <w:jc w:val="both"/>
        <w:rPr>
          <w:rFonts w:ascii="Times New Roman" w:hAnsi="Times New Roman" w:cs="Times New Roman"/>
          <w:b/>
          <w:color w:val="FF0000"/>
          <w:highlight w:val="yellow"/>
        </w:rPr>
      </w:pPr>
    </w:p>
    <w:p w14:paraId="76B76AB2"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18" w:anchor="art92v" w:history="1">
        <w:r w:rsidRPr="00D84571">
          <w:rPr>
            <w:rStyle w:val="Hyperlink"/>
            <w:rFonts w:ascii="Times New Roman" w:hAnsi="Times New Roman" w:cs="Times New Roman"/>
            <w:b/>
          </w:rPr>
          <w:t>art. 92, V</w:t>
        </w:r>
      </w:hyperlink>
      <w:r w:rsidRPr="00D84571">
        <w:rPr>
          <w:rFonts w:ascii="Times New Roman" w:hAnsi="Times New Roman" w:cs="Times New Roman"/>
          <w:b/>
        </w:rPr>
        <w:t>)</w:t>
      </w:r>
    </w:p>
    <w:p w14:paraId="758530E3" w14:textId="77777777" w:rsidR="00B307DB" w:rsidRPr="00245688"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5.</w:t>
      </w:r>
      <w:r w:rsidRPr="00245688">
        <w:rPr>
          <w:rFonts w:ascii="Times New Roman" w:hAnsi="Times New Roman" w:cs="Times New Roman"/>
          <w:b/>
        </w:rPr>
        <w:t xml:space="preserve">1 </w:t>
      </w:r>
      <w:r w:rsidRPr="00245688">
        <w:rPr>
          <w:rFonts w:ascii="Times New Roman" w:hAnsi="Times New Roman" w:cs="Times New Roman"/>
        </w:rPr>
        <w:t>A CONTRATANTE pagará a CONTRATADA o preço total de R$ xxx (xxx). Este valor será dividido em xx (xx) parcelas mensais no valor de R$ xxx (xxx).</w:t>
      </w:r>
    </w:p>
    <w:p w14:paraId="11B168FB" w14:textId="77777777" w:rsidR="00B307DB" w:rsidRDefault="00B307DB" w:rsidP="00B307DB">
      <w:pPr>
        <w:spacing w:after="0" w:line="240" w:lineRule="auto"/>
        <w:ind w:right="-568"/>
        <w:jc w:val="both"/>
        <w:rPr>
          <w:rFonts w:ascii="Times New Roman" w:hAnsi="Times New Roman" w:cs="Times New Roman"/>
        </w:rPr>
      </w:pPr>
      <w:r w:rsidRPr="00245688">
        <w:rPr>
          <w:rFonts w:ascii="Times New Roman" w:hAnsi="Times New Roman" w:cs="Times New Roman"/>
          <w:b/>
        </w:rPr>
        <w:t xml:space="preserve">5.1.1 </w:t>
      </w:r>
      <w:r w:rsidRPr="00245688">
        <w:rPr>
          <w:rFonts w:ascii="Times New Roman" w:hAnsi="Times New Roman" w:cs="Times New Roman"/>
        </w:rPr>
        <w:t>Somente serão pagos os itens efetivamente contratados e entregues ao CONTRATANTE, não gerando a obrigação de aquisição de todos os itens e quantidades registradas, mas somente aqueles necessários, de acordo co</w:t>
      </w:r>
      <w:r>
        <w:rPr>
          <w:rFonts w:ascii="Times New Roman" w:hAnsi="Times New Roman" w:cs="Times New Roman"/>
        </w:rPr>
        <w:t>m as requisições do CONTRATANTE;</w:t>
      </w:r>
    </w:p>
    <w:p w14:paraId="5E152A0B" w14:textId="77777777" w:rsidR="00B307DB" w:rsidRPr="00245688" w:rsidRDefault="00B307DB" w:rsidP="00B307DB">
      <w:pPr>
        <w:spacing w:after="0" w:line="240" w:lineRule="auto"/>
        <w:ind w:right="-568"/>
        <w:jc w:val="both"/>
        <w:rPr>
          <w:rFonts w:ascii="Times New Roman" w:hAnsi="Times New Roman" w:cs="Times New Roman"/>
          <w:b/>
        </w:rPr>
      </w:pPr>
      <w:r w:rsidRPr="00245688">
        <w:rPr>
          <w:rFonts w:ascii="Times New Roman" w:hAnsi="Times New Roman" w:cs="Times New Roman"/>
          <w:b/>
        </w:rPr>
        <w:t>5.1.2</w:t>
      </w:r>
      <w:r w:rsidRPr="00245688">
        <w:rPr>
          <w:rFonts w:ascii="Times New Roman" w:hAnsi="Times New Roman" w:cs="Times New Roman"/>
        </w:rPr>
        <w:t xml:space="preserve"> Serviços de horas técnicas após a implantação é sob demanda variável: os serviços ofertados por hora técnica (sob demanda) serão pagos de acordo com o número de horas técnicas utilizadas no mês anterior ao mês do pagamento, em conjunto com as parcelas mensais.</w:t>
      </w:r>
    </w:p>
    <w:p w14:paraId="6CFABF0F"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5.2 </w:t>
      </w:r>
      <w:r w:rsidRPr="00D84571">
        <w:rPr>
          <w:rFonts w:ascii="Times New Roman" w:hAnsi="Times New Roman" w:cs="Times New Roman"/>
        </w:rPr>
        <w:t>O pagamento dos fornecimentos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6A80A532" w14:textId="77777777" w:rsidR="00B307DB" w:rsidRPr="00D84571" w:rsidRDefault="00B307DB" w:rsidP="00B307DB">
      <w:pPr>
        <w:spacing w:after="0" w:line="240" w:lineRule="auto"/>
        <w:ind w:right="-568"/>
        <w:jc w:val="both"/>
        <w:rPr>
          <w:rFonts w:ascii="Times New Roman" w:hAnsi="Times New Roman" w:cs="Times New Roman"/>
          <w:b/>
        </w:rPr>
      </w:pPr>
      <w:r w:rsidRPr="00D84571">
        <w:rPr>
          <w:rFonts w:ascii="Times New Roman" w:hAnsi="Times New Roman" w:cs="Times New Roman"/>
          <w:b/>
        </w:rPr>
        <w:t>5.2.1</w:t>
      </w:r>
      <w:r w:rsidRPr="00D84571">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w:t>
      </w:r>
    </w:p>
    <w:p w14:paraId="644E6E04"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rPr>
        <w:t xml:space="preserve">licitante vencedora, endereço, nome da contratada, dados bancários na qual será efetuado o depósito para o pagamento do objeto. </w:t>
      </w:r>
    </w:p>
    <w:p w14:paraId="2FDF7D26" w14:textId="77777777" w:rsidR="00B307DB" w:rsidRPr="00D84571" w:rsidRDefault="00B307DB" w:rsidP="00B307DB">
      <w:pPr>
        <w:spacing w:after="0" w:line="240" w:lineRule="auto"/>
        <w:ind w:right="-568"/>
        <w:jc w:val="both"/>
        <w:rPr>
          <w:rFonts w:ascii="Times New Roman" w:hAnsi="Times New Roman" w:cs="Times New Roman"/>
        </w:rPr>
      </w:pPr>
      <w:r>
        <w:rPr>
          <w:rFonts w:ascii="Times New Roman" w:hAnsi="Times New Roman" w:cs="Times New Roman"/>
          <w:b/>
        </w:rPr>
        <w:t>5.2.2</w:t>
      </w:r>
      <w:r w:rsidRPr="00D84571">
        <w:rPr>
          <w:rFonts w:ascii="Times New Roman" w:hAnsi="Times New Roman" w:cs="Times New Roman"/>
          <w:b/>
        </w:rPr>
        <w:t xml:space="preserve"> </w:t>
      </w:r>
      <w:r w:rsidRPr="00D84571">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2BD0F1A6"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5.3 </w:t>
      </w:r>
      <w:r w:rsidRPr="00D84571">
        <w:rPr>
          <w:rFonts w:ascii="Times New Roman" w:hAnsi="Times New Roman" w:cs="Times New Roman"/>
        </w:rPr>
        <w:t xml:space="preserve">As notas fiscais eletrônicas deverão ser encaminhadas para o e-mail: </w:t>
      </w:r>
      <w:r w:rsidRPr="00D84571">
        <w:rPr>
          <w:rFonts w:ascii="Times New Roman" w:hAnsi="Times New Roman" w:cs="Times New Roman"/>
          <w:u w:val="single"/>
        </w:rPr>
        <w:t>licitacao@riqueza.sc.gov.br</w:t>
      </w:r>
      <w:r w:rsidRPr="00D84571">
        <w:rPr>
          <w:rFonts w:ascii="Times New Roman" w:hAnsi="Times New Roman" w:cs="Times New Roman"/>
        </w:rPr>
        <w:t xml:space="preserve">, nos arquivos com extensão XML e PDF. </w:t>
      </w:r>
    </w:p>
    <w:p w14:paraId="09D334CA" w14:textId="77777777" w:rsidR="00B307DB" w:rsidRPr="00D84571" w:rsidRDefault="00B307DB" w:rsidP="00B307DB">
      <w:pPr>
        <w:spacing w:after="0" w:line="240" w:lineRule="auto"/>
        <w:ind w:right="-568"/>
        <w:jc w:val="both"/>
        <w:rPr>
          <w:rFonts w:ascii="Times New Roman" w:hAnsi="Times New Roman" w:cs="Times New Roman"/>
          <w:b/>
        </w:rPr>
      </w:pPr>
      <w:r w:rsidRPr="00D84571">
        <w:rPr>
          <w:rFonts w:ascii="Times New Roman" w:hAnsi="Times New Roman" w:cs="Times New Roman"/>
          <w:b/>
        </w:rPr>
        <w:t>5.4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069CE7CD"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5.5</w:t>
      </w:r>
      <w:r w:rsidRPr="00D84571">
        <w:rPr>
          <w:rFonts w:ascii="Times New Roman" w:hAnsi="Times New Roman" w:cs="Times New Roman"/>
        </w:rPr>
        <w:t xml:space="preserve"> Juntamente com a Nota Fiscal deverá ser encaminhado Prova de Regularidade da Fazenda Federal </w:t>
      </w:r>
      <w:r>
        <w:rPr>
          <w:rFonts w:ascii="Times New Roman" w:hAnsi="Times New Roman" w:cs="Times New Roman"/>
        </w:rPr>
        <w:t xml:space="preserve">Certidão Negativa Trabalhista </w:t>
      </w:r>
      <w:r w:rsidRPr="00D84571">
        <w:rPr>
          <w:rFonts w:ascii="Times New Roman" w:hAnsi="Times New Roman" w:cs="Times New Roman"/>
        </w:rPr>
        <w:t>e Fundo de Garantia do Tempo de Serviço (FGTS).</w:t>
      </w:r>
    </w:p>
    <w:p w14:paraId="4C7562B6"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5.6</w:t>
      </w:r>
      <w:r w:rsidRPr="00D84571">
        <w:rPr>
          <w:rFonts w:ascii="Times New Roman" w:hAnsi="Times New Roman" w:cs="Times New Roman"/>
        </w:rPr>
        <w:t xml:space="preserve"> Os preços serão fixos e irreajustáveis, em conformidade com o que dispõe o parágrafo 1º. Do Artigo 28, da Lei Federal nº. 9.069 de 26/06/1995. </w:t>
      </w:r>
    </w:p>
    <w:p w14:paraId="4E58C5A5"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5.7 </w:t>
      </w:r>
      <w:r w:rsidRPr="00D84571">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3EA32980" w14:textId="77777777" w:rsidR="00B307DB" w:rsidRPr="003F4A32"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5.8</w:t>
      </w:r>
      <w:r w:rsidRPr="00D84571">
        <w:rPr>
          <w:rFonts w:ascii="Times New Roman" w:hAnsi="Times New Roman" w:cs="Times New Roman"/>
        </w:rPr>
        <w:t xml:space="preserve"> </w:t>
      </w:r>
      <w:r w:rsidRPr="00D84571">
        <w:rPr>
          <w:rFonts w:ascii="Times New Roman" w:hAnsi="Times New Roman" w:cs="Times New Roman"/>
          <w:bCs/>
        </w:rPr>
        <w:t xml:space="preserve">O prazo de vigência do contrato será </w:t>
      </w:r>
      <w:r>
        <w:rPr>
          <w:rFonts w:ascii="Times New Roman" w:hAnsi="Times New Roman" w:cs="Times New Roman"/>
          <w:bCs/>
        </w:rPr>
        <w:t>de 12 (doze) meses</w:t>
      </w:r>
      <w:r w:rsidRPr="00D84571">
        <w:rPr>
          <w:rFonts w:ascii="Times New Roman" w:hAnsi="Times New Roman" w:cs="Times New Roman"/>
          <w:bCs/>
        </w:rPr>
        <w:t xml:space="preserve">, podendo ser prorrogado </w:t>
      </w:r>
      <w:r>
        <w:rPr>
          <w:rFonts w:ascii="Times New Roman" w:hAnsi="Times New Roman" w:cs="Times New Roman"/>
          <w:bCs/>
        </w:rPr>
        <w:t>nos termos dos artigos 106 e 107</w:t>
      </w:r>
      <w:r w:rsidRPr="00D84571">
        <w:rPr>
          <w:rFonts w:ascii="Times New Roman" w:hAnsi="Times New Roman" w:cs="Times New Roman"/>
          <w:bCs/>
        </w:rPr>
        <w:t xml:space="preserve"> </w:t>
      </w:r>
      <w:r>
        <w:rPr>
          <w:rFonts w:ascii="Times New Roman" w:hAnsi="Times New Roman" w:cs="Times New Roman"/>
          <w:bCs/>
        </w:rPr>
        <w:t>da Lei 14.133, de 2021</w:t>
      </w:r>
      <w:r w:rsidRPr="003F4A32">
        <w:rPr>
          <w:rFonts w:ascii="Times New Roman" w:hAnsi="Times New Roman" w:cs="Times New Roman"/>
          <w:bCs/>
        </w:rPr>
        <w:t>;</w:t>
      </w:r>
    </w:p>
    <w:p w14:paraId="147BF62F" w14:textId="77777777" w:rsidR="00B307DB" w:rsidRPr="00D84571" w:rsidRDefault="00B307DB" w:rsidP="00B307DB">
      <w:pPr>
        <w:spacing w:after="0" w:line="240" w:lineRule="auto"/>
        <w:ind w:right="-568"/>
        <w:jc w:val="both"/>
        <w:rPr>
          <w:rFonts w:ascii="Times New Roman" w:hAnsi="Times New Roman" w:cs="Times New Roman"/>
          <w:b/>
        </w:rPr>
      </w:pPr>
      <w:r w:rsidRPr="00413C08">
        <w:rPr>
          <w:rFonts w:ascii="Times New Roman" w:hAnsi="Times New Roman" w:cs="Times New Roman"/>
          <w:b/>
        </w:rPr>
        <w:t xml:space="preserve">5.9 </w:t>
      </w:r>
      <w:r w:rsidRPr="00413C08">
        <w:rPr>
          <w:rFonts w:ascii="Times New Roman" w:hAnsi="Times New Roman" w:cs="Times New Roman"/>
        </w:rPr>
        <w:t>Data-base: 04 de novembro de 2024.</w:t>
      </w:r>
    </w:p>
    <w:p w14:paraId="72A02504" w14:textId="77777777" w:rsidR="00B307DB" w:rsidRPr="00D84571" w:rsidRDefault="00B307DB" w:rsidP="00B307DB">
      <w:pPr>
        <w:spacing w:after="0" w:line="240" w:lineRule="auto"/>
        <w:ind w:right="-568"/>
        <w:jc w:val="both"/>
        <w:rPr>
          <w:rFonts w:ascii="Times New Roman" w:hAnsi="Times New Roman" w:cs="Times New Roman"/>
          <w:color w:val="FF0000"/>
        </w:rPr>
      </w:pPr>
    </w:p>
    <w:p w14:paraId="04B8F049"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SEXTA: OS CRITÉRIOS E A PERIODICIDADE DA MEDIÇÃO, </w:t>
      </w:r>
      <w:r w:rsidRPr="00D84571">
        <w:rPr>
          <w:rFonts w:ascii="Times New Roman" w:hAnsi="Times New Roman" w:cs="Times New Roman"/>
          <w:b/>
          <w:u w:val="single"/>
        </w:rPr>
        <w:t>QUANDO FOR O CASO</w:t>
      </w:r>
      <w:r w:rsidRPr="00D84571">
        <w:rPr>
          <w:rFonts w:ascii="Times New Roman" w:hAnsi="Times New Roman" w:cs="Times New Roman"/>
          <w:b/>
        </w:rPr>
        <w:t>, E O PRAZO PARA LIQUIDAÇÃO E PARA PAGAMENTO (</w:t>
      </w:r>
      <w:hyperlink r:id="rId319" w:anchor="art92vi" w:history="1">
        <w:r w:rsidRPr="00D84571">
          <w:rPr>
            <w:rStyle w:val="Hyperlink"/>
            <w:rFonts w:ascii="Times New Roman" w:hAnsi="Times New Roman" w:cs="Times New Roman"/>
            <w:b/>
          </w:rPr>
          <w:t>art. 92, VI</w:t>
        </w:r>
      </w:hyperlink>
      <w:r w:rsidRPr="00D84571">
        <w:rPr>
          <w:rFonts w:ascii="Times New Roman" w:hAnsi="Times New Roman" w:cs="Times New Roman"/>
          <w:b/>
        </w:rPr>
        <w:t>)</w:t>
      </w:r>
    </w:p>
    <w:p w14:paraId="45E6CE4D" w14:textId="77777777" w:rsidR="00B307DB" w:rsidRPr="001F15EC" w:rsidRDefault="00B307DB" w:rsidP="00B307DB">
      <w:pPr>
        <w:spacing w:after="0" w:line="240" w:lineRule="auto"/>
        <w:ind w:right="-568"/>
        <w:jc w:val="both"/>
        <w:rPr>
          <w:rFonts w:ascii="Times New Roman" w:hAnsi="Times New Roman" w:cs="Times New Roman"/>
        </w:rPr>
      </w:pPr>
      <w:r w:rsidRPr="001F15EC">
        <w:rPr>
          <w:rFonts w:ascii="Times New Roman" w:hAnsi="Times New Roman" w:cs="Times New Roman"/>
          <w:b/>
        </w:rPr>
        <w:t xml:space="preserve">6.1 </w:t>
      </w:r>
      <w:r w:rsidRPr="001F15EC">
        <w:rPr>
          <w:rFonts w:ascii="Times New Roman" w:hAnsi="Times New Roman" w:cs="Times New Roman"/>
        </w:rPr>
        <w:t>O pagamento dos serviços fornecidos, será feito através de crédito em conta, no banco indicado pela Licitante, em até 10 (dez) dias após o fornecimento, mediante apresentação da Nota Fiscal, não acarretando qualquer acréscimo nos valores contratados, a nota fiscal deverá estar devidamente atestada pela pessoa indicada pelo Recebimento do objeto.</w:t>
      </w:r>
    </w:p>
    <w:p w14:paraId="42853923" w14:textId="77777777" w:rsidR="00B307DB" w:rsidRPr="00D16922" w:rsidRDefault="00B307DB" w:rsidP="00B307DB">
      <w:pPr>
        <w:spacing w:after="0" w:line="240" w:lineRule="auto"/>
        <w:ind w:right="-568"/>
        <w:jc w:val="both"/>
        <w:rPr>
          <w:rFonts w:ascii="Times New Roman" w:hAnsi="Times New Roman" w:cs="Times New Roman"/>
        </w:rPr>
      </w:pPr>
      <w:r>
        <w:rPr>
          <w:rFonts w:ascii="Times New Roman" w:hAnsi="Times New Roman" w:cs="Times New Roman"/>
          <w:b/>
        </w:rPr>
        <w:t xml:space="preserve">6.1.1 </w:t>
      </w:r>
      <w:r w:rsidRPr="00D16922">
        <w:rPr>
          <w:rFonts w:ascii="Times New Roman" w:hAnsi="Times New Roman" w:cs="Times New Roman"/>
        </w:rPr>
        <w:t xml:space="preserve">O Termo de Aceite da Implantação se dará por sistema / módulo, </w:t>
      </w:r>
      <w:r>
        <w:rPr>
          <w:rFonts w:ascii="Times New Roman" w:hAnsi="Times New Roman" w:cs="Times New Roman"/>
        </w:rPr>
        <w:t>sendo o pagamento efetivado conforme a implantação dos módulos</w:t>
      </w:r>
      <w:r w:rsidRPr="00D16922">
        <w:rPr>
          <w:rFonts w:ascii="Times New Roman" w:hAnsi="Times New Roman" w:cs="Times New Roman"/>
        </w:rPr>
        <w:t>;</w:t>
      </w:r>
    </w:p>
    <w:p w14:paraId="0BEDD367"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b/>
        </w:rPr>
        <w:t>6.2</w:t>
      </w:r>
      <w:r w:rsidRPr="00D16922">
        <w:rPr>
          <w:rFonts w:ascii="Times New Roman" w:hAnsi="Times New Roman" w:cs="Times New Roman"/>
        </w:rPr>
        <w:t xml:space="preserve"> Módulos não ativados, não poderão ser cobrados.</w:t>
      </w:r>
    </w:p>
    <w:p w14:paraId="3DD3C82C" w14:textId="77777777" w:rsidR="00B307DB" w:rsidRPr="00D16922" w:rsidRDefault="00B307DB" w:rsidP="00B307DB">
      <w:pPr>
        <w:spacing w:after="0" w:line="240" w:lineRule="auto"/>
        <w:ind w:right="-568"/>
        <w:jc w:val="both"/>
        <w:rPr>
          <w:rFonts w:ascii="Times New Roman" w:hAnsi="Times New Roman" w:cs="Times New Roman"/>
          <w:b/>
        </w:rPr>
      </w:pPr>
      <w:r w:rsidRPr="00D16922">
        <w:rPr>
          <w:rFonts w:ascii="Times New Roman" w:hAnsi="Times New Roman" w:cs="Times New Roman"/>
          <w:b/>
        </w:rPr>
        <w:t xml:space="preserve"> </w:t>
      </w:r>
    </w:p>
    <w:p w14:paraId="00B30AD8"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SÉTIMA: OS PRAZOS DE ENTREGA, OBSERVAÇÃO E RECEBIMENTO DEFINITIVO,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320" w:anchor="art92vii" w:history="1">
        <w:r w:rsidRPr="00D84571">
          <w:rPr>
            <w:rStyle w:val="Hyperlink"/>
            <w:rFonts w:ascii="Times New Roman" w:hAnsi="Times New Roman" w:cs="Times New Roman"/>
            <w:b/>
          </w:rPr>
          <w:t>art. 92, VII</w:t>
        </w:r>
      </w:hyperlink>
      <w:r w:rsidRPr="00D84571">
        <w:rPr>
          <w:rFonts w:ascii="Times New Roman" w:hAnsi="Times New Roman" w:cs="Times New Roman"/>
          <w:b/>
        </w:rPr>
        <w:t>)</w:t>
      </w:r>
    </w:p>
    <w:p w14:paraId="6FB39F30" w14:textId="77777777" w:rsidR="00B307DB" w:rsidRDefault="00B307DB" w:rsidP="00B307DB">
      <w:pPr>
        <w:spacing w:after="0" w:line="240" w:lineRule="auto"/>
        <w:ind w:right="-568"/>
        <w:jc w:val="both"/>
        <w:rPr>
          <w:rFonts w:ascii="Times New Roman" w:hAnsi="Times New Roman" w:cs="Times New Roman"/>
        </w:rPr>
      </w:pPr>
      <w:r w:rsidRPr="00955CDF">
        <w:rPr>
          <w:rFonts w:ascii="Times New Roman" w:hAnsi="Times New Roman" w:cs="Times New Roman"/>
          <w:b/>
        </w:rPr>
        <w:t>7.1</w:t>
      </w:r>
      <w:r w:rsidRPr="00955CDF">
        <w:rPr>
          <w:rFonts w:ascii="Times New Roman" w:hAnsi="Times New Roman" w:cs="Times New Roman"/>
        </w:rPr>
        <w:t xml:space="preserve"> O prazo de início de execução será imediato, após a Ordem de Serviço ou outro documento equivalente.</w:t>
      </w:r>
    </w:p>
    <w:p w14:paraId="58EEE069" w14:textId="77777777" w:rsidR="00B307DB" w:rsidRPr="00F042DA" w:rsidRDefault="00B307DB" w:rsidP="00B307DB">
      <w:pPr>
        <w:spacing w:after="0" w:line="240" w:lineRule="auto"/>
        <w:ind w:right="-568"/>
        <w:jc w:val="both"/>
        <w:rPr>
          <w:rFonts w:ascii="Times New Roman" w:hAnsi="Times New Roman" w:cs="Times New Roman"/>
        </w:rPr>
      </w:pPr>
      <w:r>
        <w:rPr>
          <w:rFonts w:ascii="Times New Roman" w:hAnsi="Times New Roman" w:cs="Times New Roman"/>
          <w:b/>
        </w:rPr>
        <w:t>7.2</w:t>
      </w:r>
      <w:r w:rsidRPr="0091308A">
        <w:rPr>
          <w:rFonts w:ascii="Times New Roman" w:hAnsi="Times New Roman" w:cs="Times New Roman"/>
          <w:b/>
        </w:rPr>
        <w:t xml:space="preserve"> </w:t>
      </w:r>
      <w:r w:rsidRPr="0091308A">
        <w:rPr>
          <w:rFonts w:ascii="Times New Roman" w:hAnsi="Times New Roman" w:cs="Times New Roman"/>
        </w:rPr>
        <w:t>Os materiais/serviços deverão ser entregues/disponibilizados na Prefeitura Municipal de Riqueza, situada na Rua João Mari, nº 55, Centro de Riqueza/SC, na Câmara Municipal de Vereadores, situada no endereço: Rua João Mari, nº 89, Centro de Riqueza</w:t>
      </w:r>
      <w:r>
        <w:rPr>
          <w:rFonts w:ascii="Times New Roman" w:hAnsi="Times New Roman" w:cs="Times New Roman"/>
        </w:rPr>
        <w:t>/</w:t>
      </w:r>
      <w:r w:rsidRPr="0091308A">
        <w:rPr>
          <w:rFonts w:ascii="Times New Roman" w:hAnsi="Times New Roman" w:cs="Times New Roman"/>
        </w:rPr>
        <w:t>SC, n</w:t>
      </w:r>
      <w:r>
        <w:rPr>
          <w:rFonts w:ascii="Times New Roman" w:hAnsi="Times New Roman" w:cs="Times New Roman"/>
        </w:rPr>
        <w:t>o Fundo Municipal de Saúde, situado na</w:t>
      </w:r>
      <w:r w:rsidRPr="0091308A">
        <w:rPr>
          <w:rFonts w:ascii="Times New Roman" w:hAnsi="Times New Roman" w:cs="Times New Roman"/>
        </w:rPr>
        <w:t xml:space="preserve"> Rua Presidente Castelo Branco, nº 59, Centro de Riqueza</w:t>
      </w:r>
      <w:r>
        <w:rPr>
          <w:rFonts w:ascii="Times New Roman" w:hAnsi="Times New Roman" w:cs="Times New Roman"/>
        </w:rPr>
        <w:t xml:space="preserve">/SC e Departamento de Assistência Social, </w:t>
      </w:r>
      <w:r w:rsidRPr="00F042DA">
        <w:rPr>
          <w:rFonts w:ascii="Times New Roman" w:hAnsi="Times New Roman" w:cs="Times New Roman"/>
        </w:rPr>
        <w:t>situada na Rua Iracema, nº 99, Centro de Riqueza/SC</w:t>
      </w:r>
      <w:r>
        <w:rPr>
          <w:rFonts w:ascii="Times New Roman" w:hAnsi="Times New Roman" w:cs="Times New Roman"/>
        </w:rPr>
        <w:t xml:space="preserve"> e ainda de maneira remota</w:t>
      </w:r>
      <w:r w:rsidRPr="00F042DA">
        <w:rPr>
          <w:rFonts w:ascii="Times New Roman" w:hAnsi="Times New Roman" w:cs="Times New Roman"/>
        </w:rPr>
        <w:t>;</w:t>
      </w:r>
    </w:p>
    <w:p w14:paraId="5F23F7C8" w14:textId="77777777" w:rsidR="00B307DB" w:rsidRPr="00F042DA" w:rsidRDefault="00B307DB" w:rsidP="00B307DB">
      <w:pPr>
        <w:spacing w:after="0" w:line="240" w:lineRule="auto"/>
        <w:ind w:right="-568"/>
        <w:jc w:val="both"/>
        <w:rPr>
          <w:rFonts w:ascii="Times New Roman" w:hAnsi="Times New Roman" w:cs="Times New Roman"/>
        </w:rPr>
      </w:pPr>
      <w:r>
        <w:rPr>
          <w:rFonts w:ascii="Times New Roman" w:hAnsi="Times New Roman" w:cs="Times New Roman"/>
          <w:b/>
        </w:rPr>
        <w:t>7.3</w:t>
      </w:r>
      <w:r w:rsidRPr="00F042DA">
        <w:rPr>
          <w:rFonts w:ascii="Times New Roman" w:hAnsi="Times New Roman" w:cs="Times New Roman"/>
          <w:b/>
        </w:rPr>
        <w:t xml:space="preserve"> </w:t>
      </w:r>
      <w:r w:rsidRPr="00F042DA">
        <w:rPr>
          <w:rFonts w:ascii="Times New Roman" w:hAnsi="Times New Roman" w:cs="Times New Roman"/>
        </w:rPr>
        <w:t>Os serviços serão solicitados pela Secret</w:t>
      </w:r>
      <w:r>
        <w:rPr>
          <w:rFonts w:ascii="Times New Roman" w:hAnsi="Times New Roman" w:cs="Times New Roman"/>
        </w:rPr>
        <w:t>aria Municipal de Administração e</w:t>
      </w:r>
      <w:r w:rsidRPr="00F042DA">
        <w:rPr>
          <w:rFonts w:ascii="Times New Roman" w:hAnsi="Times New Roman" w:cs="Times New Roman"/>
        </w:rPr>
        <w:t xml:space="preserve"> Finanças do Município de </w:t>
      </w:r>
      <w:r>
        <w:rPr>
          <w:rFonts w:ascii="Times New Roman" w:hAnsi="Times New Roman" w:cs="Times New Roman"/>
        </w:rPr>
        <w:t>Riqueza</w:t>
      </w:r>
      <w:r w:rsidRPr="00F042DA">
        <w:rPr>
          <w:rFonts w:ascii="Times New Roman" w:hAnsi="Times New Roman" w:cs="Times New Roman"/>
        </w:rPr>
        <w:t>/SC, conforme AF (autorização de fornecimento) que será encaminhada via e-mail para a empresa vencedora do certame, ou via WhatsApp;</w:t>
      </w:r>
    </w:p>
    <w:p w14:paraId="01E5931E" w14:textId="77777777" w:rsidR="00B307DB" w:rsidRPr="00D84571" w:rsidRDefault="00B307DB" w:rsidP="00B307DB">
      <w:pPr>
        <w:spacing w:after="0" w:line="240" w:lineRule="auto"/>
        <w:ind w:right="-568"/>
        <w:jc w:val="both"/>
        <w:rPr>
          <w:rFonts w:ascii="Times New Roman" w:hAnsi="Times New Roman" w:cs="Times New Roman"/>
        </w:rPr>
      </w:pPr>
    </w:p>
    <w:p w14:paraId="5F49A91C"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OITAVA: O CRÉDITO PELO QUAL CORRERÁ A DESPESA, COM A INDICAÇÃO DA CLASSIFICAÇÃO FUNCIONAL PROGRAMÁTICA E DA CATEGORIA ECONÔMICA (</w:t>
      </w:r>
      <w:hyperlink r:id="rId321" w:anchor="art92viii" w:history="1">
        <w:r w:rsidRPr="00D84571">
          <w:rPr>
            <w:rStyle w:val="Hyperlink"/>
            <w:rFonts w:ascii="Times New Roman" w:hAnsi="Times New Roman" w:cs="Times New Roman"/>
            <w:b/>
          </w:rPr>
          <w:t>art. 92, VIII</w:t>
        </w:r>
      </w:hyperlink>
      <w:r w:rsidRPr="00D84571">
        <w:rPr>
          <w:rFonts w:ascii="Times New Roman" w:hAnsi="Times New Roman" w:cs="Times New Roman"/>
          <w:b/>
        </w:rPr>
        <w:t>)</w:t>
      </w:r>
    </w:p>
    <w:p w14:paraId="27E96E64"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8.1 </w:t>
      </w:r>
      <w:r w:rsidRPr="00D84571">
        <w:rPr>
          <w:rFonts w:ascii="Times New Roman" w:hAnsi="Times New Roman" w:cs="Times New Roman"/>
        </w:rPr>
        <w:t>As despesas decorrentes do objeto da presente licitação correrão por conta da seguinte dotação:</w:t>
      </w:r>
    </w:p>
    <w:tbl>
      <w:tblPr>
        <w:tblW w:w="9067"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B307DB" w:rsidRPr="00D16922" w14:paraId="18C8837C"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3CCD4B" w14:textId="77777777" w:rsidR="00B307DB" w:rsidRPr="00D16922" w:rsidRDefault="00B307DB" w:rsidP="00B307DB">
            <w:pPr>
              <w:spacing w:after="0" w:line="240" w:lineRule="auto"/>
              <w:ind w:right="-568"/>
              <w:jc w:val="both"/>
              <w:rPr>
                <w:rFonts w:ascii="Times New Roman" w:hAnsi="Times New Roman" w:cs="Times New Roman"/>
                <w:iCs/>
              </w:rPr>
            </w:pPr>
            <w:r w:rsidRPr="00D16922">
              <w:rPr>
                <w:rFonts w:ascii="Times New Roman" w:hAnsi="Times New Roman" w:cs="Times New Roman"/>
                <w:b/>
                <w:iCs/>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9C7D5A" w14:textId="77777777" w:rsidR="00B307DB" w:rsidRPr="00D16922" w:rsidRDefault="00B307DB" w:rsidP="00B307DB">
            <w:pPr>
              <w:spacing w:after="0" w:line="240" w:lineRule="auto"/>
              <w:ind w:right="-568"/>
              <w:jc w:val="both"/>
              <w:rPr>
                <w:rFonts w:ascii="Times New Roman" w:hAnsi="Times New Roman" w:cs="Times New Roman"/>
                <w:iCs/>
              </w:rPr>
            </w:pPr>
            <w:r w:rsidRPr="00D16922">
              <w:rPr>
                <w:rFonts w:ascii="Times New Roman" w:hAnsi="Times New Roman" w:cs="Times New Roman"/>
                <w:b/>
                <w:iCs/>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81CE00" w14:textId="77777777" w:rsidR="00B307DB" w:rsidRPr="00D16922" w:rsidRDefault="00B307DB" w:rsidP="00B307DB">
            <w:pPr>
              <w:spacing w:after="0" w:line="240" w:lineRule="auto"/>
              <w:ind w:right="-568"/>
              <w:jc w:val="both"/>
              <w:rPr>
                <w:rFonts w:ascii="Times New Roman" w:hAnsi="Times New Roman" w:cs="Times New Roman"/>
                <w:iCs/>
              </w:rPr>
            </w:pPr>
            <w:r w:rsidRPr="00D16922">
              <w:rPr>
                <w:rFonts w:ascii="Times New Roman" w:hAnsi="Times New Roman" w:cs="Times New Roman"/>
                <w:b/>
                <w:iCs/>
              </w:rPr>
              <w:t xml:space="preserve">CÓDIGO </w:t>
            </w:r>
          </w:p>
        </w:tc>
      </w:tr>
      <w:tr w:rsidR="00B307DB" w:rsidRPr="00D16922" w14:paraId="555953C7"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68E956"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CC7869"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SECRETARIA DE ADMINISTRAÇÃO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342AC2"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04</w:t>
            </w:r>
          </w:p>
        </w:tc>
      </w:tr>
      <w:tr w:rsidR="00B307DB" w:rsidRPr="00D16922" w14:paraId="2FD6AA87"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EFEA82"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Unidade Orçamento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0468AD"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Dpto. De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307A76"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01</w:t>
            </w:r>
          </w:p>
        </w:tc>
      </w:tr>
      <w:tr w:rsidR="00B307DB" w:rsidRPr="00D16922" w14:paraId="23DEBD35"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58D695"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2CEE4B"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Administração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BE76C2"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04</w:t>
            </w:r>
          </w:p>
        </w:tc>
      </w:tr>
      <w:tr w:rsidR="00B307DB" w:rsidRPr="00D16922" w14:paraId="0F4AD841"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0D4DBB"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6BD09C"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Administração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2EA3B2"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122</w:t>
            </w:r>
          </w:p>
        </w:tc>
      </w:tr>
      <w:tr w:rsidR="00B307DB" w:rsidRPr="00D16922" w14:paraId="758442BE"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57015E"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DC3F20"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6E8F81"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0003</w:t>
            </w:r>
          </w:p>
        </w:tc>
      </w:tr>
      <w:tr w:rsidR="00B307DB" w:rsidRPr="00D16922" w14:paraId="049F8A25"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016F07"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0D510F"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Manutenção Atividades Administração Geral e Finanças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EB8D7B"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2.003</w:t>
            </w:r>
          </w:p>
        </w:tc>
      </w:tr>
      <w:tr w:rsidR="00B307DB" w:rsidRPr="00D16922" w14:paraId="11AAB689" w14:textId="77777777" w:rsidTr="00B307DB">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83547A"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CBE84"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357A8A"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1500</w:t>
            </w:r>
          </w:p>
        </w:tc>
      </w:tr>
      <w:tr w:rsidR="00B307DB" w:rsidRPr="00D16922" w14:paraId="1593E019"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D29544C"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b/>
              </w:rPr>
              <w:t>II – CARACTERIZAÇÃO DO PROJETO/ATIVIDADE</w:t>
            </w:r>
          </w:p>
        </w:tc>
      </w:tr>
      <w:tr w:rsidR="00B307DB" w:rsidRPr="00D16922" w14:paraId="1EF58473" w14:textId="77777777" w:rsidTr="00B307DB">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508D58E"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rPr>
              <w:t>3.3.90.40.01.00.00 – LOCAÇÃO DE EQUIPAMEMTOS E SOFTWARES</w:t>
            </w:r>
          </w:p>
        </w:tc>
      </w:tr>
    </w:tbl>
    <w:p w14:paraId="4BE6FDC7" w14:textId="77777777" w:rsidR="00B307DB" w:rsidRPr="00D84571" w:rsidRDefault="00B307DB" w:rsidP="00B307DB">
      <w:pPr>
        <w:spacing w:after="0" w:line="240" w:lineRule="auto"/>
        <w:ind w:right="-568"/>
        <w:jc w:val="both"/>
        <w:rPr>
          <w:rFonts w:ascii="Times New Roman" w:hAnsi="Times New Roman" w:cs="Times New Roman"/>
        </w:rPr>
      </w:pPr>
    </w:p>
    <w:p w14:paraId="77A29880"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NONA: O PRAZO PARA RESPOSTA AO PEDIDO DE REPACTUAÇÃO DE PREÇOS,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r w:rsidRPr="000824D8">
        <w:rPr>
          <w:rFonts w:ascii="Times New Roman" w:hAnsi="Times New Roman" w:cs="Times New Roman"/>
          <w:b/>
          <w:color w:val="5B9BD5" w:themeColor="accent1"/>
        </w:rPr>
        <w:t>art. 92, X</w:t>
      </w:r>
      <w:r w:rsidRPr="00D84571">
        <w:rPr>
          <w:rFonts w:ascii="Times New Roman" w:hAnsi="Times New Roman" w:cs="Times New Roman"/>
          <w:b/>
        </w:rPr>
        <w:t>)</w:t>
      </w:r>
    </w:p>
    <w:p w14:paraId="33C16534" w14:textId="77777777" w:rsidR="00B307DB" w:rsidRPr="00D84571" w:rsidRDefault="00B307DB" w:rsidP="00B307DB">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rPr>
        <w:t xml:space="preserve">9.1 </w:t>
      </w:r>
      <w:r w:rsidRPr="00D84571">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1D545BBA" w14:textId="77777777" w:rsidR="00B307DB" w:rsidRPr="00D84571" w:rsidRDefault="00B307DB" w:rsidP="00B307DB">
      <w:pPr>
        <w:spacing w:after="0" w:line="240" w:lineRule="auto"/>
        <w:ind w:right="-568"/>
        <w:jc w:val="both"/>
        <w:rPr>
          <w:rFonts w:ascii="Times New Roman" w:hAnsi="Times New Roman" w:cs="Times New Roman"/>
          <w:color w:val="000000" w:themeColor="text1"/>
        </w:rPr>
      </w:pPr>
      <w:r w:rsidRPr="00D84571">
        <w:rPr>
          <w:rFonts w:ascii="Times New Roman" w:hAnsi="Times New Roman" w:cs="Times New Roman"/>
          <w:b/>
          <w:color w:val="000000" w:themeColor="text1"/>
        </w:rPr>
        <w:t xml:space="preserve">9.2 </w:t>
      </w:r>
      <w:r w:rsidRPr="00D84571">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484FAE42" w14:textId="77777777" w:rsidR="00B307DB" w:rsidRPr="00D84571" w:rsidRDefault="00B307DB" w:rsidP="00B307DB">
      <w:pPr>
        <w:spacing w:after="0" w:line="240" w:lineRule="auto"/>
        <w:ind w:right="-568"/>
        <w:jc w:val="both"/>
        <w:rPr>
          <w:rFonts w:ascii="Times New Roman" w:hAnsi="Times New Roman" w:cs="Times New Roman"/>
          <w:b/>
        </w:rPr>
      </w:pPr>
    </w:p>
    <w:p w14:paraId="33DD02F4"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CLÁUSULA DÉCIMA: O PRAZO PARA RESPOSTA AO PEDIDO DE RESTABELECIMENTO DO EQUILÍBRIO ECONÔMICO-FINANCEIRO, </w:t>
      </w:r>
      <w:r w:rsidRPr="00D84571">
        <w:rPr>
          <w:rFonts w:ascii="Times New Roman" w:hAnsi="Times New Roman" w:cs="Times New Roman"/>
          <w:b/>
          <w:u w:val="single"/>
        </w:rPr>
        <w:t>QUANDO FOR O CASO</w:t>
      </w:r>
      <w:r w:rsidRPr="00D84571">
        <w:rPr>
          <w:rFonts w:ascii="Times New Roman" w:hAnsi="Times New Roman" w:cs="Times New Roman"/>
          <w:b/>
        </w:rPr>
        <w:t xml:space="preserve"> (</w:t>
      </w:r>
      <w:hyperlink r:id="rId322" w:anchor="art92xi" w:history="1">
        <w:r w:rsidRPr="00D84571">
          <w:rPr>
            <w:rStyle w:val="Hyperlink"/>
            <w:rFonts w:ascii="Times New Roman" w:hAnsi="Times New Roman" w:cs="Times New Roman"/>
            <w:b/>
          </w:rPr>
          <w:t>art. 92, XI</w:t>
        </w:r>
      </w:hyperlink>
      <w:r w:rsidRPr="00D84571">
        <w:rPr>
          <w:rFonts w:ascii="Times New Roman" w:hAnsi="Times New Roman" w:cs="Times New Roman"/>
          <w:b/>
        </w:rPr>
        <w:t>)</w:t>
      </w:r>
    </w:p>
    <w:p w14:paraId="40C71079"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10.1</w:t>
      </w:r>
      <w:r w:rsidRPr="00D84571">
        <w:rPr>
          <w:rFonts w:ascii="Times New Roman" w:hAnsi="Times New Roman" w:cs="Times New Roman"/>
        </w:rPr>
        <w:t xml:space="preserve"> O equilíbrio econômico-financeiro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w:t>
      </w:r>
      <w:r w:rsidRPr="00D84571">
        <w:rPr>
          <w:rFonts w:ascii="Times New Roman" w:hAnsi="Times New Roman" w:cs="Times New Roman"/>
        </w:rPr>
        <w:lastRenderedPageBreak/>
        <w:t xml:space="preserve">a resposta de deferimento ou indeferimento do pedido ocorrerá sempre no primeiro dia do mês subsequente a requisição. </w:t>
      </w:r>
    </w:p>
    <w:p w14:paraId="2FCFD6E3"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10.2</w:t>
      </w:r>
      <w:r w:rsidRPr="00D84571">
        <w:rPr>
          <w:rFonts w:ascii="Times New Roman" w:hAnsi="Times New Roman" w:cs="Times New Roman"/>
        </w:rPr>
        <w:t xml:space="preserve"> Se concedido o equilíbrio este atingirá somente serviços futuros, posteriores ao pedido, não recaindo nas compras já solicitadas e empenhadas. Devendo o fornecedor entregar os bens ou prestar os serviços já empenhados pelo valor da licitação.</w:t>
      </w:r>
    </w:p>
    <w:p w14:paraId="53738FA4" w14:textId="77777777" w:rsidR="00B307DB" w:rsidRPr="00D84571" w:rsidRDefault="00B307DB" w:rsidP="00B307DB">
      <w:pPr>
        <w:spacing w:after="0" w:line="240" w:lineRule="auto"/>
        <w:ind w:right="-568"/>
        <w:jc w:val="both"/>
        <w:rPr>
          <w:rFonts w:ascii="Times New Roman" w:hAnsi="Times New Roman" w:cs="Times New Roman"/>
          <w:b/>
        </w:rPr>
      </w:pPr>
    </w:p>
    <w:p w14:paraId="135A63DE"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PRIMEIRA: OS DIREITOS E AS RESPONSABILIDADES DAS PARTES, AS PENALIDADES CABÍVEIS E OS VALORES DAS MULTAS E SUAS BASES DE CÁLCULO (</w:t>
      </w:r>
      <w:hyperlink r:id="rId323" w:anchor="art92xiv" w:history="1">
        <w:r w:rsidRPr="00D84571">
          <w:rPr>
            <w:rStyle w:val="Hyperlink"/>
            <w:rFonts w:ascii="Times New Roman" w:hAnsi="Times New Roman" w:cs="Times New Roman"/>
            <w:b/>
          </w:rPr>
          <w:t>art. 92, XIV</w:t>
        </w:r>
      </w:hyperlink>
      <w:r w:rsidRPr="00D84571">
        <w:rPr>
          <w:rFonts w:ascii="Times New Roman" w:hAnsi="Times New Roman" w:cs="Times New Roman"/>
          <w:b/>
        </w:rPr>
        <w:t>)</w:t>
      </w:r>
    </w:p>
    <w:p w14:paraId="0DB5F499" w14:textId="77777777" w:rsidR="00B307DB" w:rsidRPr="00D84571" w:rsidRDefault="00B307DB" w:rsidP="00B307DB">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11.1  Compete à CONTRATANTE: </w:t>
      </w:r>
    </w:p>
    <w:p w14:paraId="187546DC" w14:textId="77777777" w:rsidR="00B307DB" w:rsidRPr="00D84571" w:rsidRDefault="00B307DB" w:rsidP="00B307DB">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11.1.1 </w:t>
      </w:r>
      <w:r w:rsidRPr="00D84571">
        <w:rPr>
          <w:rFonts w:ascii="Times New Roman" w:hAnsi="Times New Roman" w:cs="Times New Roman"/>
          <w:bCs/>
        </w:rPr>
        <w:t>Realizar os atos relativos à cobrança do cumprimento pela CONTRATADA das obrigações contratualmente assumidas e aplicar sanções, garantindo a ampla defesa e o contraditório, decorrentes do descumprimento das obrigações contratuais, em relação às suas próprias contratações, informando as ocorrências ao Órgão Gerenciador.</w:t>
      </w:r>
      <w:r w:rsidRPr="00D84571">
        <w:rPr>
          <w:rFonts w:ascii="Times New Roman" w:hAnsi="Times New Roman" w:cs="Times New Roman"/>
          <w:b/>
          <w:bCs/>
        </w:rPr>
        <w:t xml:space="preserve"> </w:t>
      </w:r>
    </w:p>
    <w:p w14:paraId="662C1F04" w14:textId="77777777" w:rsidR="00B307DB" w:rsidRPr="00D84571"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11.1.2 </w:t>
      </w:r>
      <w:r w:rsidRPr="00D84571">
        <w:rPr>
          <w:rFonts w:ascii="Times New Roman" w:hAnsi="Times New Roman" w:cs="Times New Roman"/>
          <w:bCs/>
        </w:rPr>
        <w:t xml:space="preserve">Efetuar o pagamento à CONTRATADA, de acordo com o estabelecido no instrumento contratual; </w:t>
      </w:r>
    </w:p>
    <w:p w14:paraId="45AEC607" w14:textId="77777777" w:rsidR="00B307DB" w:rsidRPr="00D84571"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11.1.3 </w:t>
      </w:r>
      <w:r w:rsidRPr="00D84571">
        <w:rPr>
          <w:rFonts w:ascii="Times New Roman" w:hAnsi="Times New Roman" w:cs="Times New Roman"/>
          <w:bCs/>
        </w:rPr>
        <w:t xml:space="preserve">Promover o acompanhamento e a fiscalização da execução dos serviços anotando em registro próprio as falhas detectadas; </w:t>
      </w:r>
    </w:p>
    <w:p w14:paraId="5CEFD1C2" w14:textId="77777777" w:rsidR="00B307DB" w:rsidRPr="00D84571"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11.1.4 </w:t>
      </w:r>
      <w:r w:rsidRPr="00D84571">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Edital e seus anexos; </w:t>
      </w:r>
    </w:p>
    <w:p w14:paraId="774EE9CC" w14:textId="77777777" w:rsidR="00B307DB" w:rsidRPr="00D84571" w:rsidRDefault="00B307DB" w:rsidP="00B307DB">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11.1.5 </w:t>
      </w:r>
      <w:r w:rsidRPr="00D84571">
        <w:rPr>
          <w:rFonts w:ascii="Times New Roman" w:hAnsi="Times New Roman" w:cs="Times New Roman"/>
          <w:bCs/>
        </w:rPr>
        <w:t xml:space="preserve">Notificar previamente à CONTRATADA, quando da aplicação de sanções administrativas. </w:t>
      </w:r>
    </w:p>
    <w:p w14:paraId="296C2DA6" w14:textId="77777777" w:rsidR="00B307DB" w:rsidRPr="00D84571" w:rsidRDefault="00B307DB" w:rsidP="00B307DB">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 Compete à CONTRATADA: </w:t>
      </w:r>
    </w:p>
    <w:p w14:paraId="361FFA91" w14:textId="77777777" w:rsidR="00B307DB" w:rsidRPr="00D84571" w:rsidRDefault="00B307DB" w:rsidP="00B307DB">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11.2.1 </w:t>
      </w:r>
      <w:r w:rsidRPr="00D84571">
        <w:rPr>
          <w:rFonts w:ascii="Times New Roman" w:hAnsi="Times New Roman" w:cs="Times New Roman"/>
          <w:bCs/>
        </w:rPr>
        <w:t>Envidar todo o empenho e a dedicação necessários ao fiel e adequado cumprimento dos encargos que lhe são confiados;</w:t>
      </w:r>
      <w:r w:rsidRPr="00D84571">
        <w:rPr>
          <w:rFonts w:ascii="Times New Roman" w:hAnsi="Times New Roman" w:cs="Times New Roman"/>
          <w:b/>
          <w:bCs/>
        </w:rPr>
        <w:t xml:space="preserve"> </w:t>
      </w:r>
    </w:p>
    <w:p w14:paraId="03DC6E89" w14:textId="77777777" w:rsidR="00B307DB" w:rsidRPr="00D84571" w:rsidRDefault="00B307DB" w:rsidP="00B307DB">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11.2.2 </w:t>
      </w:r>
      <w:r w:rsidRPr="00D84571">
        <w:rPr>
          <w:rFonts w:ascii="Times New Roman" w:hAnsi="Times New Roman" w:cs="Times New Roman"/>
          <w:bCs/>
        </w:rPr>
        <w:t>Assinar o instrumento contratual;</w:t>
      </w:r>
      <w:r w:rsidRPr="00D84571">
        <w:rPr>
          <w:rFonts w:ascii="Times New Roman" w:hAnsi="Times New Roman" w:cs="Times New Roman"/>
          <w:b/>
          <w:bCs/>
        </w:rPr>
        <w:t xml:space="preserve"> </w:t>
      </w:r>
    </w:p>
    <w:p w14:paraId="3A8939CA" w14:textId="77777777" w:rsidR="00B307DB" w:rsidRPr="00D84571"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11.2.3 </w:t>
      </w:r>
      <w:r w:rsidRPr="00D84571">
        <w:rPr>
          <w:rFonts w:ascii="Times New Roman" w:hAnsi="Times New Roman" w:cs="Times New Roman"/>
          <w:bCs/>
        </w:rPr>
        <w:t xml:space="preserve">Tomar todas as providências necessárias para o fiel cumprimento das disposições contidas no edital, anexos e no Instrumento de Contrato; </w:t>
      </w:r>
    </w:p>
    <w:p w14:paraId="3D7AC0D1" w14:textId="77777777" w:rsidR="00B307DB" w:rsidRPr="00D84571"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11.2.4 </w:t>
      </w:r>
      <w:r w:rsidRPr="00D84571">
        <w:rPr>
          <w:rFonts w:ascii="Times New Roman" w:hAnsi="Times New Roman" w:cs="Times New Roman"/>
          <w:bCs/>
        </w:rPr>
        <w:t xml:space="preserve">Executar os serviços, conforme descrito no edital e seus anexos; </w:t>
      </w:r>
    </w:p>
    <w:p w14:paraId="2943E1E0" w14:textId="77777777" w:rsidR="00B307DB" w:rsidRPr="00D84571"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11.2.5 </w:t>
      </w:r>
      <w:r w:rsidRPr="00D84571">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2C3D20F3" w14:textId="77777777" w:rsidR="00B307DB" w:rsidRPr="00D84571"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11.2.6 </w:t>
      </w:r>
      <w:r w:rsidRPr="00D84571">
        <w:rPr>
          <w:rFonts w:ascii="Times New Roman" w:hAnsi="Times New Roman" w:cs="Times New Roman"/>
          <w:bCs/>
        </w:rPr>
        <w:t xml:space="preserve">Não efetuar, sob nenhum pretexto, a transferência de responsabilidade para outros, sejam fabricantes, técnicos ou quaisquer outros; </w:t>
      </w:r>
    </w:p>
    <w:p w14:paraId="4025C432" w14:textId="77777777" w:rsidR="00B307DB" w:rsidRPr="00D84571"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11.2.7 </w:t>
      </w:r>
      <w:r w:rsidRPr="00D84571">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03E49BAB" w14:textId="77777777" w:rsidR="00B307DB" w:rsidRPr="00D84571" w:rsidRDefault="00B307DB" w:rsidP="00B307DB">
      <w:pPr>
        <w:spacing w:after="0" w:line="240" w:lineRule="auto"/>
        <w:ind w:right="-568"/>
        <w:jc w:val="both"/>
        <w:rPr>
          <w:rFonts w:ascii="Times New Roman" w:hAnsi="Times New Roman" w:cs="Times New Roman"/>
          <w:b/>
          <w:bCs/>
        </w:rPr>
      </w:pPr>
      <w:r w:rsidRPr="00D84571">
        <w:rPr>
          <w:rFonts w:ascii="Times New Roman" w:hAnsi="Times New Roman" w:cs="Times New Roman"/>
          <w:b/>
          <w:bCs/>
        </w:rPr>
        <w:t xml:space="preserve">11.2.8 </w:t>
      </w:r>
      <w:r w:rsidRPr="00D84571">
        <w:rPr>
          <w:rFonts w:ascii="Times New Roman" w:hAnsi="Times New Roman" w:cs="Times New Roman"/>
          <w:bCs/>
        </w:rPr>
        <w:t>Informar ao Órgão Gerenciador ou à CONTRATANTE, conforme o caso, a ocorrência de fatos que possam interferir, direta ou indiretamente, na regularidade do fornecimento;</w:t>
      </w:r>
    </w:p>
    <w:p w14:paraId="74349901" w14:textId="77777777" w:rsidR="00B307DB" w:rsidRPr="00D84571"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11.2.9 </w:t>
      </w:r>
      <w:r w:rsidRPr="00D84571">
        <w:rPr>
          <w:rFonts w:ascii="Times New Roman" w:hAnsi="Times New Roman" w:cs="Times New Roman"/>
          <w:bCs/>
        </w:rPr>
        <w:t xml:space="preserve">No preço proposto pela CONTRATADA já deverão estar incluídos todos os custos necessários para o cumprimento do objeto, bem como todos os impostos, encargos trabalhistas, previdenciários, fiscais, comerciais, deslocamento, </w:t>
      </w:r>
      <w:r>
        <w:rPr>
          <w:rFonts w:ascii="Times New Roman" w:hAnsi="Times New Roman" w:cs="Times New Roman"/>
          <w:bCs/>
        </w:rPr>
        <w:t>alimentação</w:t>
      </w:r>
      <w:r w:rsidRPr="00D84571">
        <w:rPr>
          <w:rFonts w:ascii="Times New Roman" w:hAnsi="Times New Roman" w:cs="Times New Roman"/>
          <w:bCs/>
        </w:rPr>
        <w:t>, seguros e quaisquer outros que incidam ou venham a incidir sobre os serviços contratados.</w:t>
      </w:r>
    </w:p>
    <w:p w14:paraId="20DEA9CF" w14:textId="77777777" w:rsidR="00B307DB" w:rsidRPr="00D16922" w:rsidRDefault="00B307DB" w:rsidP="00B307DB">
      <w:pPr>
        <w:spacing w:after="0" w:line="240" w:lineRule="auto"/>
        <w:ind w:right="-568"/>
        <w:jc w:val="both"/>
        <w:rPr>
          <w:rFonts w:ascii="Times New Roman" w:hAnsi="Times New Roman" w:cs="Times New Roman"/>
          <w:bCs/>
        </w:rPr>
      </w:pPr>
      <w:r w:rsidRPr="00D84571">
        <w:rPr>
          <w:rFonts w:ascii="Times New Roman" w:hAnsi="Times New Roman" w:cs="Times New Roman"/>
          <w:b/>
          <w:bCs/>
        </w:rPr>
        <w:t xml:space="preserve">11.2.10 </w:t>
      </w:r>
      <w:r w:rsidRPr="00D16922">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19253A27"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b/>
          <w:bCs/>
        </w:rPr>
        <w:t>11.2.11</w:t>
      </w:r>
      <w:r w:rsidRPr="00D16922">
        <w:rPr>
          <w:rFonts w:ascii="Times New Roman" w:hAnsi="Times New Roman" w:cs="Times New Roman"/>
          <w:bCs/>
        </w:rPr>
        <w:t xml:space="preserve"> </w:t>
      </w:r>
      <w:r w:rsidRPr="00D16922">
        <w:rPr>
          <w:rFonts w:ascii="Times New Roman" w:hAnsi="Times New Roman" w:cs="Times New Roman"/>
        </w:rPr>
        <w:t>executar a configuração, migração de informações e demais atividades necessárias à implantação dos módulos do sistema contratado, autorizados formalmente pela CONTRATANTE, através de ordem de início de serviço, no prazo máximo declarado no contrato;</w:t>
      </w:r>
    </w:p>
    <w:p w14:paraId="44349660" w14:textId="77777777" w:rsidR="00B307DB"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b/>
          <w:bCs/>
        </w:rPr>
        <w:t>11.2.12</w:t>
      </w:r>
      <w:r w:rsidRPr="00D16922">
        <w:rPr>
          <w:rFonts w:ascii="Times New Roman" w:hAnsi="Times New Roman" w:cs="Times New Roman"/>
          <w:bCs/>
        </w:rPr>
        <w:t xml:space="preserve"> </w:t>
      </w:r>
      <w:r w:rsidRPr="00D16922">
        <w:rPr>
          <w:rFonts w:ascii="Times New Roman" w:hAnsi="Times New Roman" w:cs="Times New Roman"/>
        </w:rPr>
        <w:t xml:space="preserve">efetuar a manutenção legal do sistema para adaptação às alterações legais (legislação federal e estadual) inerentes às suas funcionalidades, durante toda a vigência do contrato, devendo executar as atualizações que se fizerem necessárias para o seu perfeito funcionamento e enquadramento as mudanças nas legislações; </w:t>
      </w:r>
    </w:p>
    <w:p w14:paraId="3079C129" w14:textId="77777777" w:rsidR="00B307DB" w:rsidRDefault="00B307DB" w:rsidP="00B307DB">
      <w:pPr>
        <w:spacing w:after="0" w:line="240" w:lineRule="auto"/>
        <w:ind w:right="-568"/>
        <w:jc w:val="both"/>
        <w:rPr>
          <w:rFonts w:ascii="Times New Roman" w:hAnsi="Times New Roman" w:cs="Times New Roman"/>
        </w:rPr>
      </w:pPr>
      <w:r>
        <w:rPr>
          <w:rFonts w:ascii="Times New Roman" w:hAnsi="Times New Roman" w:cs="Times New Roman"/>
          <w:b/>
        </w:rPr>
        <w:t xml:space="preserve">11.2.13 </w:t>
      </w:r>
      <w:r w:rsidRPr="00D16922">
        <w:rPr>
          <w:rFonts w:ascii="Times New Roman" w:hAnsi="Times New Roman" w:cs="Times New Roman"/>
        </w:rPr>
        <w:t>efetuar a manutenção corretiva do sistema, corrigindo eventuais falhas, independentemente de serem obs</w:t>
      </w:r>
      <w:r>
        <w:rPr>
          <w:rFonts w:ascii="Times New Roman" w:hAnsi="Times New Roman" w:cs="Times New Roman"/>
        </w:rPr>
        <w:t xml:space="preserve">ervadas ou não pelos usuários; </w:t>
      </w:r>
    </w:p>
    <w:p w14:paraId="49F40508" w14:textId="77777777" w:rsidR="00B307DB" w:rsidRDefault="00B307DB" w:rsidP="00B307DB">
      <w:pPr>
        <w:spacing w:after="0" w:line="240" w:lineRule="auto"/>
        <w:ind w:right="-568"/>
        <w:jc w:val="both"/>
        <w:rPr>
          <w:rFonts w:ascii="Times New Roman" w:hAnsi="Times New Roman" w:cs="Times New Roman"/>
        </w:rPr>
      </w:pPr>
      <w:r>
        <w:rPr>
          <w:rFonts w:ascii="Times New Roman" w:hAnsi="Times New Roman" w:cs="Times New Roman"/>
          <w:b/>
        </w:rPr>
        <w:t>11.2.14</w:t>
      </w:r>
      <w:r w:rsidRPr="00D16922">
        <w:rPr>
          <w:rFonts w:ascii="Times New Roman" w:hAnsi="Times New Roman" w:cs="Times New Roman"/>
        </w:rPr>
        <w:t xml:space="preserve"> prestar o serviço de suporte técnico conforme disposições do termo de referên</w:t>
      </w:r>
      <w:r>
        <w:rPr>
          <w:rFonts w:ascii="Times New Roman" w:hAnsi="Times New Roman" w:cs="Times New Roman"/>
        </w:rPr>
        <w:t xml:space="preserve">cia e contrato; </w:t>
      </w:r>
    </w:p>
    <w:p w14:paraId="3171D428" w14:textId="77777777" w:rsidR="00B307DB" w:rsidRDefault="00B307DB" w:rsidP="00B307DB">
      <w:pPr>
        <w:spacing w:after="0" w:line="240" w:lineRule="auto"/>
        <w:ind w:right="-568"/>
        <w:jc w:val="both"/>
        <w:rPr>
          <w:rFonts w:ascii="Times New Roman" w:hAnsi="Times New Roman" w:cs="Times New Roman"/>
        </w:rPr>
      </w:pPr>
      <w:r>
        <w:rPr>
          <w:rFonts w:ascii="Times New Roman" w:hAnsi="Times New Roman" w:cs="Times New Roman"/>
          <w:b/>
        </w:rPr>
        <w:t>11.2.15</w:t>
      </w:r>
      <w:r w:rsidRPr="00D16922">
        <w:rPr>
          <w:rFonts w:ascii="Times New Roman" w:hAnsi="Times New Roman" w:cs="Times New Roman"/>
        </w:rPr>
        <w:t xml:space="preserve"> avaliar, em prazo razoável, a viabilidade técnica e jurídica das solicitações de alteração específicas encaminhadas eletronicamente pelo CONTRATANTE, e repassar orçamento acompanhado de cronograma para execução dos serviços; </w:t>
      </w:r>
    </w:p>
    <w:p w14:paraId="76E4CA9C" w14:textId="77777777" w:rsidR="00B307DB" w:rsidRPr="00D16922" w:rsidRDefault="00B307DB" w:rsidP="00B307DB">
      <w:pPr>
        <w:spacing w:after="0" w:line="240" w:lineRule="auto"/>
        <w:ind w:right="-568"/>
        <w:jc w:val="both"/>
        <w:rPr>
          <w:rFonts w:ascii="Times New Roman" w:hAnsi="Times New Roman" w:cs="Times New Roman"/>
        </w:rPr>
      </w:pPr>
      <w:r>
        <w:rPr>
          <w:rFonts w:ascii="Times New Roman" w:hAnsi="Times New Roman" w:cs="Times New Roman"/>
          <w:b/>
        </w:rPr>
        <w:lastRenderedPageBreak/>
        <w:t>11.2.16</w:t>
      </w:r>
      <w:r w:rsidRPr="00D16922">
        <w:rPr>
          <w:rFonts w:ascii="Times New Roman" w:hAnsi="Times New Roman" w:cs="Times New Roman"/>
        </w:rPr>
        <w:t xml:space="preserve"> executar as customizações do sistema, conforme viabilidade técnica e solicitações da CONTRATANTE, mediante orçamento prévio aprovado e acordo de nível de serviços; </w:t>
      </w:r>
    </w:p>
    <w:p w14:paraId="423DB8D6"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b/>
        </w:rPr>
        <w:t>11.2.17</w:t>
      </w:r>
      <w:r w:rsidRPr="00D16922">
        <w:rPr>
          <w:rFonts w:ascii="Times New Roman" w:hAnsi="Times New Roman" w:cs="Times New Roman"/>
        </w:rPr>
        <w:t xml:space="preserve"> com relação ao data center, manter os sistemas básicos (Sistema Operacional, Servidor de Aplicação, Servidor de Banco de Dados, etc.) em constante atualização, especialmente quando falhas de segurança forem reportadas pelos fabricantes (quando licenciados) ou comunidade (quando software livre).</w:t>
      </w:r>
    </w:p>
    <w:p w14:paraId="54E8AE73" w14:textId="77777777" w:rsidR="00B307DB" w:rsidRPr="00D16922" w:rsidRDefault="00B307DB" w:rsidP="00B307DB">
      <w:pPr>
        <w:spacing w:after="0" w:line="240" w:lineRule="auto"/>
        <w:ind w:right="-568"/>
        <w:jc w:val="both"/>
        <w:rPr>
          <w:rFonts w:ascii="Times New Roman" w:hAnsi="Times New Roman" w:cs="Times New Roman"/>
          <w:bCs/>
        </w:rPr>
      </w:pPr>
      <w:r w:rsidRPr="00D16922">
        <w:rPr>
          <w:rFonts w:ascii="Times New Roman" w:hAnsi="Times New Roman" w:cs="Times New Roman"/>
          <w:b/>
        </w:rPr>
        <w:t xml:space="preserve">11.2.18 </w:t>
      </w:r>
      <w:r w:rsidRPr="00D16922">
        <w:rPr>
          <w:rFonts w:ascii="Times New Roman" w:hAnsi="Times New Roman" w:cs="Times New Roman"/>
        </w:rPr>
        <w:t>tratar como confidenciais informações e dados contidos nos sistemas da Contratante, guardando total sigilo perante terceiros, nos termos da Lei 13.709/2018 (Lei Geral da Proteção de Dados Pessoais – LGPD);</w:t>
      </w:r>
    </w:p>
    <w:p w14:paraId="7D796144" w14:textId="77777777" w:rsidR="00B307DB" w:rsidRPr="00D16922" w:rsidRDefault="00B307DB" w:rsidP="00B307DB">
      <w:pPr>
        <w:spacing w:after="0" w:line="240" w:lineRule="auto"/>
        <w:ind w:right="-568"/>
        <w:jc w:val="both"/>
        <w:rPr>
          <w:rFonts w:ascii="Times New Roman" w:hAnsi="Times New Roman" w:cs="Times New Roman"/>
          <w:bCs/>
        </w:rPr>
      </w:pPr>
      <w:r w:rsidRPr="00D16922">
        <w:rPr>
          <w:rFonts w:ascii="Times New Roman" w:hAnsi="Times New Roman" w:cs="Times New Roman"/>
          <w:b/>
        </w:rPr>
        <w:t xml:space="preserve">11.2.19 </w:t>
      </w:r>
      <w:r w:rsidRPr="00D16922">
        <w:rPr>
          <w:rFonts w:ascii="Times New Roman" w:hAnsi="Times New Roman" w:cs="Times New Roman"/>
        </w:rPr>
        <w:t>responsabilizar-se por quaisquer danos ou prejuízos causados a contratante ou terceiros em função do desempenho de suas atividades, se apurada culpa ou responsabilidade civil, nos termos da legislação, observado o direito à ampla defesa e ao contraditório;</w:t>
      </w:r>
    </w:p>
    <w:p w14:paraId="349578B2"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b/>
        </w:rPr>
        <w:t xml:space="preserve">11.2.20 </w:t>
      </w:r>
      <w:r w:rsidRPr="00D16922">
        <w:rPr>
          <w:rFonts w:ascii="Times New Roman" w:hAnsi="Times New Roman" w:cs="Times New Roman"/>
        </w:rPr>
        <w:t xml:space="preserve">realizar a atualização/upgrades ou releases constantes da solução de ERP, com melhorias tecnológicas, atualizações e incremento de requisitos de forma permanente, sem impactar em novos custos de aquisição por parte da administração municipal, garantindo ainda que tais upgrades na solução não inviabilizem a integração com os diversos módulos de softwares; </w:t>
      </w:r>
    </w:p>
    <w:p w14:paraId="65441C67" w14:textId="77777777" w:rsidR="00B307DB" w:rsidRPr="00D16922" w:rsidRDefault="00B307DB" w:rsidP="00B307DB">
      <w:pPr>
        <w:spacing w:after="0" w:line="240" w:lineRule="auto"/>
        <w:ind w:right="-568"/>
        <w:jc w:val="both"/>
        <w:rPr>
          <w:rFonts w:ascii="Times New Roman" w:hAnsi="Times New Roman" w:cs="Times New Roman"/>
        </w:rPr>
      </w:pPr>
      <w:r w:rsidRPr="00D16922">
        <w:rPr>
          <w:rFonts w:ascii="Times New Roman" w:hAnsi="Times New Roman" w:cs="Times New Roman"/>
          <w:b/>
        </w:rPr>
        <w:t>11.2.21</w:t>
      </w:r>
      <w:r w:rsidRPr="00D16922">
        <w:rPr>
          <w:rFonts w:ascii="Times New Roman" w:hAnsi="Times New Roman" w:cs="Times New Roman"/>
        </w:rPr>
        <w:t xml:space="preserve"> indicar um preposto para o contrato, sendo este o interlocutor da CONTRATADA junto à CONTRATANTE para os assuntos relativos ao cumprimento das cláusulas contratuais e para participar de reuniões de acompanhamento, sempre que solicitado.</w:t>
      </w:r>
    </w:p>
    <w:p w14:paraId="01029029" w14:textId="77777777" w:rsidR="00B307DB" w:rsidRDefault="00B307DB" w:rsidP="00B307DB">
      <w:pPr>
        <w:spacing w:after="0" w:line="240" w:lineRule="auto"/>
        <w:ind w:right="-568"/>
        <w:jc w:val="both"/>
        <w:rPr>
          <w:rFonts w:ascii="Times New Roman" w:hAnsi="Times New Roman" w:cs="Times New Roman"/>
        </w:rPr>
      </w:pPr>
      <w:r w:rsidRPr="003D53B8">
        <w:rPr>
          <w:rFonts w:ascii="Times New Roman" w:hAnsi="Times New Roman" w:cs="Times New Roman"/>
          <w:b/>
        </w:rPr>
        <w:t>11.2.22</w:t>
      </w:r>
      <w:r w:rsidRPr="00D16922">
        <w:rPr>
          <w:rFonts w:ascii="Times New Roman" w:hAnsi="Times New Roman" w:cs="Times New Roman"/>
        </w:rPr>
        <w:t xml:space="preserve"> Obrigações Acessórias da Contratada</w:t>
      </w:r>
      <w:r>
        <w:rPr>
          <w:rFonts w:ascii="Times New Roman" w:hAnsi="Times New Roman" w:cs="Times New Roman"/>
        </w:rPr>
        <w:t>:</w:t>
      </w:r>
    </w:p>
    <w:p w14:paraId="5A612838" w14:textId="77777777" w:rsidR="00B307DB" w:rsidRDefault="00B307DB" w:rsidP="00B307DB">
      <w:pPr>
        <w:spacing w:after="0" w:line="240" w:lineRule="auto"/>
        <w:ind w:right="-568"/>
        <w:jc w:val="both"/>
        <w:rPr>
          <w:rFonts w:ascii="Times New Roman" w:hAnsi="Times New Roman" w:cs="Times New Roman"/>
        </w:rPr>
      </w:pPr>
      <w:r w:rsidRPr="003D53B8">
        <w:rPr>
          <w:rFonts w:ascii="Times New Roman" w:hAnsi="Times New Roman" w:cs="Times New Roman"/>
          <w:b/>
        </w:rPr>
        <w:t>11.2.22.1</w:t>
      </w:r>
      <w:r w:rsidRPr="00D16922">
        <w:rPr>
          <w:rFonts w:ascii="Times New Roman" w:hAnsi="Times New Roman" w:cs="Times New Roman"/>
        </w:rPr>
        <w:t xml:space="preserve"> Com base na Instrução Normativa N. TC-35/2024 do Tribunal de Contas do Estado de Santa Catarina (TCE/SC), que altera a Instrução Normativa N. TC-28/2021, estabelecendo a versão online do Sistema de Fiscalização Integrada de Gestão (e-SFINGE online) e regulamentando o envio de dados e informações por meio eletrônico pelas unidades gestoras do Estado e dos Municípios de Santa Catarina, fica incluído neste contrato cláusulas que assegurem a qualidade do serviço prestado e a devida responsabilização nos casos de inexecução ou execução defeituosa do contrato em conformidade com o artigo 29 da referida instrução: </w:t>
      </w:r>
    </w:p>
    <w:p w14:paraId="5C50D671" w14:textId="77777777" w:rsidR="00B307DB" w:rsidRDefault="00B307DB" w:rsidP="00B307DB">
      <w:pPr>
        <w:spacing w:after="0" w:line="240" w:lineRule="auto"/>
        <w:ind w:left="567" w:right="-568"/>
        <w:jc w:val="both"/>
        <w:rPr>
          <w:rFonts w:ascii="Times New Roman" w:hAnsi="Times New Roman" w:cs="Times New Roman"/>
        </w:rPr>
      </w:pPr>
      <w:r w:rsidRPr="003D53B8">
        <w:rPr>
          <w:rFonts w:ascii="Times New Roman" w:hAnsi="Times New Roman" w:cs="Times New Roman"/>
          <w:b/>
        </w:rPr>
        <w:t>I -</w:t>
      </w:r>
      <w:r w:rsidRPr="00D16922">
        <w:rPr>
          <w:rFonts w:ascii="Times New Roman" w:hAnsi="Times New Roman" w:cs="Times New Roman"/>
        </w:rPr>
        <w:t xml:space="preserve"> Acordo de nível de serviço, que estabeleça prazos e garanta o atendimento e resolução célere de problemas relacionados à disponibilidade dos sistemas de gestão e à remessa dos dados ao TCE/SC; </w:t>
      </w:r>
    </w:p>
    <w:p w14:paraId="243F9A26" w14:textId="77777777" w:rsidR="00B307DB" w:rsidRDefault="00B307DB" w:rsidP="00B307DB">
      <w:pPr>
        <w:spacing w:after="0" w:line="240" w:lineRule="auto"/>
        <w:ind w:left="567" w:right="-568"/>
        <w:jc w:val="both"/>
        <w:rPr>
          <w:rFonts w:ascii="Times New Roman" w:hAnsi="Times New Roman" w:cs="Times New Roman"/>
        </w:rPr>
      </w:pPr>
      <w:r w:rsidRPr="003D53B8">
        <w:rPr>
          <w:rFonts w:ascii="Times New Roman" w:hAnsi="Times New Roman" w:cs="Times New Roman"/>
          <w:b/>
        </w:rPr>
        <w:t>II -</w:t>
      </w:r>
      <w:r w:rsidRPr="00D16922">
        <w:rPr>
          <w:rFonts w:ascii="Times New Roman" w:hAnsi="Times New Roman" w:cs="Times New Roman"/>
        </w:rPr>
        <w:t xml:space="preserve"> Previsão de responsabilização da contratada por descumprimento ao acordo previsto no inciso I, com especificação e gradação das penalidades; </w:t>
      </w:r>
    </w:p>
    <w:p w14:paraId="37096944" w14:textId="77777777" w:rsidR="00B307DB" w:rsidRDefault="00B307DB" w:rsidP="00B307DB">
      <w:pPr>
        <w:spacing w:after="0" w:line="240" w:lineRule="auto"/>
        <w:ind w:left="567" w:right="-568"/>
        <w:jc w:val="both"/>
        <w:rPr>
          <w:rFonts w:ascii="Times New Roman" w:hAnsi="Times New Roman" w:cs="Times New Roman"/>
        </w:rPr>
      </w:pPr>
      <w:r w:rsidRPr="003D53B8">
        <w:rPr>
          <w:rFonts w:ascii="Times New Roman" w:hAnsi="Times New Roman" w:cs="Times New Roman"/>
          <w:b/>
        </w:rPr>
        <w:t>III -</w:t>
      </w:r>
      <w:r w:rsidRPr="00D16922">
        <w:rPr>
          <w:rFonts w:ascii="Times New Roman" w:hAnsi="Times New Roman" w:cs="Times New Roman"/>
        </w:rPr>
        <w:t xml:space="preserve"> Responsabilidade pela inexecução total ou parcial de qualquer obrigação assumida em decorrência da contratação; </w:t>
      </w:r>
    </w:p>
    <w:p w14:paraId="7F1817C9" w14:textId="77777777" w:rsidR="00B307DB" w:rsidRDefault="00B307DB" w:rsidP="00B307DB">
      <w:pPr>
        <w:spacing w:after="0" w:line="240" w:lineRule="auto"/>
        <w:ind w:left="567" w:right="-568"/>
        <w:jc w:val="both"/>
        <w:rPr>
          <w:rFonts w:ascii="Times New Roman" w:hAnsi="Times New Roman" w:cs="Times New Roman"/>
        </w:rPr>
      </w:pPr>
      <w:r w:rsidRPr="003D53B8">
        <w:rPr>
          <w:rFonts w:ascii="Times New Roman" w:hAnsi="Times New Roman" w:cs="Times New Roman"/>
          <w:b/>
        </w:rPr>
        <w:t>IV -</w:t>
      </w:r>
      <w:r w:rsidRPr="00D16922">
        <w:rPr>
          <w:rFonts w:ascii="Times New Roman" w:hAnsi="Times New Roman" w:cs="Times New Roman"/>
        </w:rPr>
        <w:t xml:space="preserve"> Propriedade dos dados à unidade jurisdicionada contratante; </w:t>
      </w:r>
    </w:p>
    <w:p w14:paraId="5A55822A" w14:textId="77777777" w:rsidR="00B307DB" w:rsidRDefault="00B307DB" w:rsidP="00B307DB">
      <w:pPr>
        <w:spacing w:after="0" w:line="240" w:lineRule="auto"/>
        <w:ind w:left="567" w:right="-568"/>
        <w:jc w:val="both"/>
        <w:rPr>
          <w:rFonts w:ascii="Times New Roman" w:hAnsi="Times New Roman" w:cs="Times New Roman"/>
        </w:rPr>
      </w:pPr>
      <w:r w:rsidRPr="003D53B8">
        <w:rPr>
          <w:rFonts w:ascii="Times New Roman" w:hAnsi="Times New Roman" w:cs="Times New Roman"/>
          <w:b/>
        </w:rPr>
        <w:t>V -</w:t>
      </w:r>
      <w:r w:rsidRPr="00D16922">
        <w:rPr>
          <w:rFonts w:ascii="Times New Roman" w:hAnsi="Times New Roman" w:cs="Times New Roman"/>
        </w:rPr>
        <w:t xml:space="preserve"> Disponibilização tempestiva para a contratante de todos os dados, informações e documentos necessários à migração para outro prestador contratado, sob pena de declaração de inidoneidade; </w:t>
      </w:r>
    </w:p>
    <w:p w14:paraId="1D6F60BF" w14:textId="77777777" w:rsidR="00B307DB" w:rsidRPr="00837366" w:rsidRDefault="00B307DB" w:rsidP="00B307DB">
      <w:pPr>
        <w:spacing w:after="0" w:line="240" w:lineRule="auto"/>
        <w:ind w:left="567" w:right="-568"/>
        <w:jc w:val="both"/>
        <w:rPr>
          <w:rFonts w:ascii="Times New Roman" w:hAnsi="Times New Roman" w:cs="Times New Roman"/>
        </w:rPr>
      </w:pPr>
      <w:r w:rsidRPr="003D53B8">
        <w:rPr>
          <w:rFonts w:ascii="Times New Roman" w:hAnsi="Times New Roman" w:cs="Times New Roman"/>
          <w:b/>
        </w:rPr>
        <w:t>VI -</w:t>
      </w:r>
      <w:r w:rsidRPr="00D16922">
        <w:rPr>
          <w:rFonts w:ascii="Times New Roman" w:hAnsi="Times New Roman" w:cs="Times New Roman"/>
        </w:rPr>
        <w:t xml:space="preserve"> Obrigatoriedade de implementar nos sistemas contratados as regras de consistência (CONs) impeditivas e de alerta divulgadas pelo TCE/SC. VII - Vedação à disponibilização de funcionalidade que propicie inserir, apagar ou modificar informações contábeis e/ou de auditoria, </w:t>
      </w:r>
      <w:r w:rsidRPr="00837366">
        <w:rPr>
          <w:rFonts w:ascii="Times New Roman" w:hAnsi="Times New Roman" w:cs="Times New Roman"/>
        </w:rPr>
        <w:t>em desacordo com as técnicas e princípios contábeis e as demais normas aplicáveis;</w:t>
      </w:r>
    </w:p>
    <w:p w14:paraId="54DF50E8" w14:textId="77777777" w:rsidR="00B307DB" w:rsidRPr="00837366" w:rsidRDefault="00B307DB" w:rsidP="00B307DB">
      <w:pPr>
        <w:spacing w:after="0" w:line="240" w:lineRule="auto"/>
        <w:ind w:right="-567"/>
        <w:jc w:val="both"/>
        <w:rPr>
          <w:rFonts w:ascii="Times New Roman" w:hAnsi="Times New Roman" w:cs="Times New Roman"/>
        </w:rPr>
      </w:pPr>
      <w:r w:rsidRPr="00837366">
        <w:rPr>
          <w:rFonts w:ascii="Times New Roman" w:hAnsi="Times New Roman" w:cs="Times New Roman"/>
          <w:b/>
        </w:rPr>
        <w:t xml:space="preserve">11.2.23 </w:t>
      </w:r>
      <w:r w:rsidRPr="00837366">
        <w:rPr>
          <w:rFonts w:ascii="Times New Roman" w:hAnsi="Times New Roman" w:cs="Times New Roman"/>
        </w:rPr>
        <w:t>Deverá possuir serviço de validação indicando que o domínio possui um certificado digital SSL, garantindo que o software é AUTENTICO e que as informações são CRIPTOGRAFADAS. Essa validação deverá ser realizada periodicamente e emitida por empresa terceirizada especializada em segurança, a cargo da CONTRATADA;</w:t>
      </w:r>
    </w:p>
    <w:p w14:paraId="162FC61A" w14:textId="77777777" w:rsidR="00B307DB" w:rsidRPr="00837366" w:rsidRDefault="00B307DB" w:rsidP="00B307DB">
      <w:pPr>
        <w:spacing w:after="0" w:line="240" w:lineRule="auto"/>
        <w:ind w:right="-567"/>
        <w:jc w:val="both"/>
        <w:rPr>
          <w:rFonts w:ascii="Times New Roman" w:hAnsi="Times New Roman" w:cs="Times New Roman"/>
          <w:b/>
        </w:rPr>
      </w:pPr>
      <w:r w:rsidRPr="00837366">
        <w:rPr>
          <w:rFonts w:ascii="Times New Roman" w:hAnsi="Times New Roman" w:cs="Times New Roman"/>
          <w:b/>
        </w:rPr>
        <w:t xml:space="preserve">11.2.24 </w:t>
      </w:r>
      <w:r w:rsidRPr="00837366">
        <w:rPr>
          <w:rFonts w:ascii="Times New Roman" w:hAnsi="Times New Roman" w:cs="Times New Roman"/>
        </w:rPr>
        <w:t>O serviço a ser contratado permitirá a portabilidade de dados e aplicativos e que as informações do órgão contratante estejam disponíveis para transferência e restauração em prazo adequado e sem custo adicional, de modo a garantir a continuidade do negócio e poss</w:t>
      </w:r>
      <w:r>
        <w:rPr>
          <w:rFonts w:ascii="Times New Roman" w:hAnsi="Times New Roman" w:cs="Times New Roman"/>
        </w:rPr>
        <w:t>ibilitar a transição contratual;</w:t>
      </w:r>
    </w:p>
    <w:p w14:paraId="41CF838D" w14:textId="77777777" w:rsidR="00B307DB" w:rsidRPr="007162A7" w:rsidRDefault="00B307DB" w:rsidP="00B307DB">
      <w:pPr>
        <w:pStyle w:val="PargrafodaLista"/>
        <w:numPr>
          <w:ilvl w:val="2"/>
          <w:numId w:val="109"/>
        </w:numPr>
        <w:spacing w:after="0" w:line="240" w:lineRule="auto"/>
        <w:ind w:left="0" w:right="-567" w:firstLine="0"/>
        <w:jc w:val="both"/>
        <w:rPr>
          <w:rFonts w:ascii="Times New Roman" w:hAnsi="Times New Roman" w:cs="Times New Roman"/>
        </w:rPr>
      </w:pPr>
      <w:r w:rsidRPr="007162A7">
        <w:rPr>
          <w:rFonts w:ascii="Times New Roman" w:hAnsi="Times New Roman" w:cs="Times New Roman"/>
        </w:rPr>
        <w:t>As informações sob custódia do fornecedor serão tratadas como informações sigilosas, não podendo ser usadas por este fornecedor ou fornecidas a terceiros, sob nenhuma hipótese, sem autorização formal do contratante</w:t>
      </w:r>
      <w:r>
        <w:rPr>
          <w:rFonts w:ascii="Times New Roman" w:hAnsi="Times New Roman" w:cs="Times New Roman"/>
        </w:rPr>
        <w:t>;</w:t>
      </w:r>
    </w:p>
    <w:p w14:paraId="50F6833A" w14:textId="77777777" w:rsidR="00B307DB" w:rsidRPr="006E6423" w:rsidRDefault="00B307DB" w:rsidP="00B307DB">
      <w:pPr>
        <w:pStyle w:val="PargrafodaLista"/>
        <w:numPr>
          <w:ilvl w:val="2"/>
          <w:numId w:val="109"/>
        </w:numPr>
        <w:spacing w:after="0" w:line="240" w:lineRule="auto"/>
        <w:ind w:left="0" w:right="-567" w:firstLine="0"/>
        <w:jc w:val="both"/>
        <w:rPr>
          <w:rFonts w:ascii="Times New Roman" w:hAnsi="Times New Roman" w:cs="Times New Roman"/>
        </w:rPr>
      </w:pPr>
      <w:r w:rsidRPr="007162A7">
        <w:rPr>
          <w:rFonts w:ascii="Times New Roman" w:hAnsi="Times New Roman" w:cs="Times New Roman"/>
          <w:color w:val="000000"/>
        </w:rPr>
        <w:t>Ao final de sua vigência, o fornecedor entregue as informações de maneira adequada, completa e utilizável.</w:t>
      </w:r>
    </w:p>
    <w:p w14:paraId="1C151B18" w14:textId="77777777" w:rsidR="00B307DB" w:rsidRPr="006E6423" w:rsidRDefault="00B307DB" w:rsidP="00B307DB">
      <w:pPr>
        <w:pStyle w:val="PargrafodaLista"/>
        <w:spacing w:after="0" w:line="240" w:lineRule="auto"/>
        <w:ind w:left="0" w:right="-567"/>
        <w:jc w:val="both"/>
        <w:rPr>
          <w:rFonts w:ascii="Times New Roman" w:hAnsi="Times New Roman" w:cs="Times New Roman"/>
          <w:b/>
        </w:rPr>
      </w:pPr>
      <w:r>
        <w:rPr>
          <w:rFonts w:ascii="Times New Roman" w:hAnsi="Times New Roman" w:cs="Times New Roman"/>
          <w:b/>
          <w:color w:val="000000"/>
        </w:rPr>
        <w:t>Obrigações ac</w:t>
      </w:r>
      <w:r w:rsidRPr="006E6423">
        <w:rPr>
          <w:rFonts w:ascii="Times New Roman" w:hAnsi="Times New Roman" w:cs="Times New Roman"/>
          <w:b/>
          <w:color w:val="000000"/>
        </w:rPr>
        <w:t>essórias da Contratada</w:t>
      </w:r>
    </w:p>
    <w:p w14:paraId="70BD2515" w14:textId="77777777" w:rsidR="00B307DB" w:rsidRDefault="00B307DB" w:rsidP="00B307DB">
      <w:pPr>
        <w:pStyle w:val="PargrafodaLista"/>
        <w:numPr>
          <w:ilvl w:val="2"/>
          <w:numId w:val="109"/>
        </w:numPr>
        <w:spacing w:after="0" w:line="240" w:lineRule="auto"/>
        <w:ind w:left="0" w:right="-567" w:firstLine="0"/>
        <w:jc w:val="both"/>
        <w:rPr>
          <w:rFonts w:ascii="Times New Roman" w:hAnsi="Times New Roman" w:cs="Times New Roman"/>
        </w:rPr>
      </w:pPr>
      <w:r>
        <w:rPr>
          <w:rFonts w:ascii="Times New Roman" w:hAnsi="Times New Roman" w:cs="Times New Roman"/>
        </w:rPr>
        <w:t>C</w:t>
      </w:r>
      <w:r w:rsidRPr="006E6423">
        <w:rPr>
          <w:rFonts w:ascii="Times New Roman" w:hAnsi="Times New Roman" w:cs="Times New Roman"/>
        </w:rPr>
        <w:t xml:space="preserve">om base na Instrução Normativa N. TC-35/2024 do Tribunal de Contas do Estado de Santa Catarina (TCE/SC), que altera a Instrução Normativa N. TC-28/2021, estabelecendo a versão online do </w:t>
      </w:r>
      <w:r w:rsidRPr="006E6423">
        <w:rPr>
          <w:rFonts w:ascii="Times New Roman" w:hAnsi="Times New Roman" w:cs="Times New Roman"/>
        </w:rPr>
        <w:lastRenderedPageBreak/>
        <w:t xml:space="preserve">Sistema de Fiscalização Integrada de Gestão (e-SFINGE online) e regulamentando o envio de dados e informações por meio eletrônico pelas unidades gestoras do Estado e dos Municípios de Santa Catarina, </w:t>
      </w:r>
      <w:r>
        <w:rPr>
          <w:rFonts w:ascii="Times New Roman" w:hAnsi="Times New Roman" w:cs="Times New Roman"/>
        </w:rPr>
        <w:t>fica incluído neste contrato cláusulas que assegurem a qualidade do serviço prestado e a devida responsabilidade nos casos de inexecução ou execução defeituosa do contrato em conformidade com o artigo 29 da referida instrução:</w:t>
      </w:r>
    </w:p>
    <w:p w14:paraId="23448DC4" w14:textId="77777777" w:rsidR="00B307DB" w:rsidRPr="006E6423" w:rsidRDefault="00B307DB" w:rsidP="00B307DB">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I -</w:t>
      </w:r>
      <w:r w:rsidRPr="00E16AC4">
        <w:rPr>
          <w:rFonts w:ascii="Times New Roman" w:hAnsi="Times New Roman" w:cs="Times New Roman"/>
          <w:b/>
        </w:rPr>
        <w:tab/>
      </w:r>
      <w:r w:rsidRPr="006E6423">
        <w:rPr>
          <w:rFonts w:ascii="Times New Roman" w:hAnsi="Times New Roman" w:cs="Times New Roman"/>
        </w:rPr>
        <w:t xml:space="preserve">acordo de nível de serviço, que estabeleça prazos e garanta o atendimento e resolução célere de problemas relacionados à disponibilidade dos sistemas de gestão e à remessa dos dados ao TCE/SC; </w:t>
      </w:r>
    </w:p>
    <w:p w14:paraId="17FF6ADA" w14:textId="77777777" w:rsidR="00B307DB" w:rsidRPr="006E6423" w:rsidRDefault="00B307DB" w:rsidP="00B307DB">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II -</w:t>
      </w:r>
      <w:r w:rsidRPr="00E16AC4">
        <w:rPr>
          <w:rFonts w:ascii="Times New Roman" w:hAnsi="Times New Roman" w:cs="Times New Roman"/>
          <w:b/>
        </w:rPr>
        <w:tab/>
      </w:r>
      <w:r w:rsidRPr="006E6423">
        <w:rPr>
          <w:rFonts w:ascii="Times New Roman" w:hAnsi="Times New Roman" w:cs="Times New Roman"/>
        </w:rPr>
        <w:t xml:space="preserve">previsão de responsabilização da contratada por descumprimento ao acordo previsto no inciso I, com especificação e gradação das penalidades; </w:t>
      </w:r>
    </w:p>
    <w:p w14:paraId="3CB2EE15" w14:textId="77777777" w:rsidR="00B307DB" w:rsidRPr="006E6423" w:rsidRDefault="00B307DB" w:rsidP="00B307DB">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III -</w:t>
      </w:r>
      <w:r w:rsidRPr="00E16AC4">
        <w:rPr>
          <w:rFonts w:ascii="Times New Roman" w:hAnsi="Times New Roman" w:cs="Times New Roman"/>
          <w:b/>
        </w:rPr>
        <w:tab/>
      </w:r>
      <w:r w:rsidRPr="006E6423">
        <w:rPr>
          <w:rFonts w:ascii="Times New Roman" w:hAnsi="Times New Roman" w:cs="Times New Roman"/>
        </w:rPr>
        <w:t xml:space="preserve">responsabilidade pela inexecução total ou parcial de qualquer obrigação assumida em decorrência da contratação; </w:t>
      </w:r>
    </w:p>
    <w:p w14:paraId="37648102" w14:textId="77777777" w:rsidR="00B307DB" w:rsidRPr="006E6423" w:rsidRDefault="00B307DB" w:rsidP="00B307DB">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IV -</w:t>
      </w:r>
      <w:r w:rsidRPr="00E16AC4">
        <w:rPr>
          <w:rFonts w:ascii="Times New Roman" w:hAnsi="Times New Roman" w:cs="Times New Roman"/>
          <w:b/>
        </w:rPr>
        <w:tab/>
      </w:r>
      <w:r w:rsidRPr="006E6423">
        <w:rPr>
          <w:rFonts w:ascii="Times New Roman" w:hAnsi="Times New Roman" w:cs="Times New Roman"/>
        </w:rPr>
        <w:t xml:space="preserve">propriedade dos dados à unidade jurisdicionada contratante; </w:t>
      </w:r>
    </w:p>
    <w:p w14:paraId="25B5FA5A" w14:textId="77777777" w:rsidR="00B307DB" w:rsidRPr="006E6423" w:rsidRDefault="00B307DB" w:rsidP="00B307DB">
      <w:pPr>
        <w:pStyle w:val="PargrafodaLista"/>
        <w:tabs>
          <w:tab w:val="left" w:pos="1134"/>
        </w:tabs>
        <w:spacing w:after="0" w:line="240" w:lineRule="auto"/>
        <w:ind w:right="-567"/>
        <w:jc w:val="both"/>
        <w:rPr>
          <w:rFonts w:ascii="Times New Roman" w:hAnsi="Times New Roman" w:cs="Times New Roman"/>
        </w:rPr>
      </w:pPr>
      <w:r w:rsidRPr="00E16AC4">
        <w:rPr>
          <w:rFonts w:ascii="Times New Roman" w:hAnsi="Times New Roman" w:cs="Times New Roman"/>
          <w:b/>
        </w:rPr>
        <w:t>V -</w:t>
      </w:r>
      <w:r w:rsidRPr="006E6423">
        <w:rPr>
          <w:rFonts w:ascii="Times New Roman" w:hAnsi="Times New Roman" w:cs="Times New Roman"/>
        </w:rPr>
        <w:tab/>
        <w:t xml:space="preserve">disponibilização tempestiva para a contratante de todos os dados, informações e documentos necessários à migração para outro prestador contratado, sob pena de declaração de inidoneidade; </w:t>
      </w:r>
    </w:p>
    <w:p w14:paraId="51521341" w14:textId="77777777" w:rsidR="00B307DB" w:rsidRPr="006E6423" w:rsidRDefault="00B307DB" w:rsidP="00B307DB">
      <w:pPr>
        <w:pStyle w:val="PargrafodaLista"/>
        <w:spacing w:after="0" w:line="240" w:lineRule="auto"/>
        <w:ind w:right="-567"/>
        <w:jc w:val="both"/>
        <w:rPr>
          <w:rFonts w:ascii="Times New Roman" w:hAnsi="Times New Roman" w:cs="Times New Roman"/>
        </w:rPr>
      </w:pPr>
      <w:r w:rsidRPr="00E16AC4">
        <w:rPr>
          <w:rFonts w:ascii="Times New Roman" w:hAnsi="Times New Roman" w:cs="Times New Roman"/>
          <w:b/>
        </w:rPr>
        <w:t>VI -</w:t>
      </w:r>
      <w:r w:rsidRPr="006E6423">
        <w:rPr>
          <w:rFonts w:ascii="Times New Roman" w:hAnsi="Times New Roman" w:cs="Times New Roman"/>
        </w:rPr>
        <w:tab/>
        <w:t xml:space="preserve"> obrigatoriedade de implementar nos sistemas contratados as regras de consistência (CONs) impeditivas e de alerta divulgadas pelo TCE/SC. </w:t>
      </w:r>
    </w:p>
    <w:p w14:paraId="54B9862B" w14:textId="77777777" w:rsidR="00B307DB" w:rsidRPr="007162A7" w:rsidRDefault="00B307DB" w:rsidP="00B307DB">
      <w:pPr>
        <w:pStyle w:val="PargrafodaLista"/>
        <w:spacing w:after="0" w:line="240" w:lineRule="auto"/>
        <w:ind w:left="709" w:right="-567"/>
        <w:jc w:val="both"/>
        <w:rPr>
          <w:rFonts w:ascii="Times New Roman" w:hAnsi="Times New Roman" w:cs="Times New Roman"/>
        </w:rPr>
      </w:pPr>
      <w:r w:rsidRPr="00C91544">
        <w:rPr>
          <w:rFonts w:ascii="Times New Roman" w:hAnsi="Times New Roman" w:cs="Times New Roman"/>
          <w:b/>
        </w:rPr>
        <w:t>VII -</w:t>
      </w:r>
      <w:r w:rsidRPr="006E6423">
        <w:rPr>
          <w:rFonts w:ascii="Times New Roman" w:hAnsi="Times New Roman" w:cs="Times New Roman"/>
        </w:rPr>
        <w:tab/>
        <w:t>vedação à disponibilização de funcionalidade que propicie inserir, apagar ou modificar informações contábeis e/ou de auditoria, em desacordo com as técnicas e princípios contábeis e as demais normas aplicáveis.</w:t>
      </w:r>
    </w:p>
    <w:p w14:paraId="6C5D0C7D" w14:textId="77777777" w:rsidR="00B307DB" w:rsidRPr="00D84571" w:rsidRDefault="00B307DB" w:rsidP="00B307DB">
      <w:pPr>
        <w:spacing w:after="0" w:line="240" w:lineRule="auto"/>
        <w:jc w:val="both"/>
        <w:rPr>
          <w:rFonts w:ascii="Times New Roman" w:hAnsi="Times New Roman" w:cs="Times New Roman"/>
          <w:b/>
          <w:bCs/>
        </w:rPr>
      </w:pPr>
      <w:r w:rsidRPr="00D84571">
        <w:rPr>
          <w:rFonts w:ascii="Times New Roman" w:hAnsi="Times New Roman" w:cs="Times New Roman"/>
          <w:b/>
          <w:bCs/>
        </w:rPr>
        <w:t>11.3 PENALIDADES CABÍVEIS</w:t>
      </w:r>
    </w:p>
    <w:p w14:paraId="48B514B1"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w:t>
      </w:r>
      <w:r w:rsidRPr="00D84571">
        <w:rPr>
          <w:rFonts w:ascii="Times New Roman" w:hAnsi="Times New Roman" w:cs="Times New Roman"/>
          <w:b/>
          <w:bCs/>
        </w:rPr>
        <w:t> </w:t>
      </w:r>
      <w:r w:rsidRPr="00D84571">
        <w:rPr>
          <w:rFonts w:ascii="Times New Roman" w:hAnsi="Times New Roman" w:cs="Times New Roman"/>
        </w:rPr>
        <w:t>O licitante ou o contratado será responsabilizado administrativamente pelas seguintes infrações, com aplicação das seguintes sanções (</w:t>
      </w:r>
      <w:hyperlink r:id="rId324" w:anchor="art155" w:history="1">
        <w:r w:rsidRPr="00D84571">
          <w:rPr>
            <w:rStyle w:val="Hyperlink"/>
            <w:rFonts w:ascii="Times New Roman" w:hAnsi="Times New Roman" w:cs="Times New Roman"/>
          </w:rPr>
          <w:t>art. 155 e 156 da Lei nº 14.133/2021</w:t>
        </w:r>
      </w:hyperlink>
      <w:r w:rsidRPr="00D84571">
        <w:rPr>
          <w:rFonts w:ascii="Times New Roman" w:hAnsi="Times New Roman" w:cs="Times New Roman"/>
        </w:rPr>
        <w:t>):</w:t>
      </w:r>
    </w:p>
    <w:p w14:paraId="65E798C0" w14:textId="77777777" w:rsidR="00B307DB" w:rsidRPr="00D84571" w:rsidRDefault="00B307DB" w:rsidP="00B307DB">
      <w:pPr>
        <w:pStyle w:val="PargrafodaLista"/>
        <w:tabs>
          <w:tab w:val="left" w:pos="284"/>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Dar causa à inexecução parcial do contrato:</w:t>
      </w:r>
    </w:p>
    <w:p w14:paraId="00DBDE69" w14:textId="77777777" w:rsidR="00B307DB" w:rsidRPr="00D84571" w:rsidRDefault="00B307DB" w:rsidP="00B307DB">
      <w:pPr>
        <w:pStyle w:val="PargrafodaLista"/>
        <w:tabs>
          <w:tab w:val="left" w:pos="284"/>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Dar causa à inexecução parcial do contrato que cause grave dano à Administração, ao funcionamento dos serviços públicos ou ao interesse coletivo;</w:t>
      </w:r>
    </w:p>
    <w:p w14:paraId="0DF021C3" w14:textId="77777777" w:rsidR="00B307DB" w:rsidRPr="00D84571" w:rsidRDefault="00B307DB" w:rsidP="00B307DB">
      <w:pPr>
        <w:pStyle w:val="PargrafodaLista"/>
        <w:tabs>
          <w:tab w:val="left" w:pos="284"/>
          <w:tab w:val="left" w:pos="426"/>
          <w:tab w:val="left" w:pos="567"/>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Dar causa à inexecução total do contrato;</w:t>
      </w:r>
    </w:p>
    <w:p w14:paraId="504BF17C" w14:textId="77777777" w:rsidR="00B307DB" w:rsidRPr="00D84571" w:rsidRDefault="00B307DB" w:rsidP="00B307DB">
      <w:pPr>
        <w:pStyle w:val="PargrafodaLista"/>
        <w:tabs>
          <w:tab w:val="left" w:pos="284"/>
          <w:tab w:val="left" w:pos="426"/>
          <w:tab w:val="left" w:pos="567"/>
          <w:tab w:val="left" w:pos="1134"/>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Deixar de entregar a documentação exigida para o certame;</w:t>
      </w:r>
    </w:p>
    <w:p w14:paraId="0C7BF782" w14:textId="77777777" w:rsidR="00B307DB" w:rsidRPr="00D84571" w:rsidRDefault="00B307DB" w:rsidP="00B307DB">
      <w:pPr>
        <w:pStyle w:val="PargrafodaLista"/>
        <w:tabs>
          <w:tab w:val="left" w:pos="284"/>
          <w:tab w:val="left" w:pos="426"/>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Não manter a proposta, salvo em decorrência de fato superveniente devidamente justificado;</w:t>
      </w:r>
    </w:p>
    <w:p w14:paraId="0AD2DCBE" w14:textId="77777777" w:rsidR="00B307DB" w:rsidRPr="00D84571" w:rsidRDefault="00B307DB" w:rsidP="00B307DB">
      <w:pPr>
        <w:pStyle w:val="PargrafodaLista"/>
        <w:tabs>
          <w:tab w:val="left" w:pos="284"/>
          <w:tab w:val="left" w:pos="567"/>
          <w:tab w:val="left" w:pos="1134"/>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VI -</w:t>
      </w:r>
      <w:r>
        <w:rPr>
          <w:rFonts w:ascii="Times New Roman" w:hAnsi="Times New Roman" w:cs="Times New Roman"/>
        </w:rPr>
        <w:t xml:space="preserve"> </w:t>
      </w:r>
      <w:r w:rsidRPr="00D84571">
        <w:rPr>
          <w:rFonts w:ascii="Times New Roman" w:hAnsi="Times New Roman" w:cs="Times New Roman"/>
        </w:rPr>
        <w:t>Não celebrar o contrato ou não entregar a documentação exigida para a contratação, quando convocado dentro do prazo de validade de sua proposta;</w:t>
      </w:r>
    </w:p>
    <w:p w14:paraId="566B266F" w14:textId="77777777" w:rsidR="00B307DB" w:rsidRPr="00D84571" w:rsidRDefault="00B307DB" w:rsidP="00B307DB">
      <w:pPr>
        <w:pStyle w:val="PargrafodaLista"/>
        <w:tabs>
          <w:tab w:val="left" w:pos="284"/>
          <w:tab w:val="left" w:pos="567"/>
          <w:tab w:val="left" w:pos="1134"/>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VII -</w:t>
      </w:r>
      <w:r>
        <w:rPr>
          <w:rFonts w:ascii="Times New Roman" w:hAnsi="Times New Roman" w:cs="Times New Roman"/>
        </w:rPr>
        <w:t xml:space="preserve"> </w:t>
      </w:r>
      <w:r w:rsidRPr="00D84571">
        <w:rPr>
          <w:rFonts w:ascii="Times New Roman" w:hAnsi="Times New Roman" w:cs="Times New Roman"/>
        </w:rPr>
        <w:t>Ensejar o retardamento da execução ou da entrega do objeto da licitação sem motivo justificado;</w:t>
      </w:r>
    </w:p>
    <w:p w14:paraId="67AE601D" w14:textId="77777777" w:rsidR="00B307DB" w:rsidRPr="00D84571" w:rsidRDefault="00B307DB" w:rsidP="00B307DB">
      <w:pPr>
        <w:pStyle w:val="PargrafodaLista"/>
        <w:tabs>
          <w:tab w:val="left" w:pos="284"/>
          <w:tab w:val="left" w:pos="567"/>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VIII -</w:t>
      </w:r>
      <w:r>
        <w:rPr>
          <w:rFonts w:ascii="Times New Roman" w:hAnsi="Times New Roman" w:cs="Times New Roman"/>
        </w:rPr>
        <w:t xml:space="preserve"> </w:t>
      </w:r>
      <w:r w:rsidRPr="00D84571">
        <w:rPr>
          <w:rFonts w:ascii="Times New Roman" w:hAnsi="Times New Roman" w:cs="Times New Roman"/>
        </w:rPr>
        <w:t>Apresentar declaração ou documentação falsa exigida para o certame ou prestar declaração falsa durante a licitação ou a execução do contrato;</w:t>
      </w:r>
    </w:p>
    <w:p w14:paraId="27AA390A" w14:textId="77777777" w:rsidR="00B307DB" w:rsidRPr="00D84571" w:rsidRDefault="00B307DB" w:rsidP="00B307DB">
      <w:pPr>
        <w:pStyle w:val="PargrafodaLista"/>
        <w:tabs>
          <w:tab w:val="left" w:pos="284"/>
          <w:tab w:val="left" w:pos="567"/>
          <w:tab w:val="left" w:pos="1134"/>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IX -</w:t>
      </w:r>
      <w:r>
        <w:rPr>
          <w:rFonts w:ascii="Times New Roman" w:hAnsi="Times New Roman" w:cs="Times New Roman"/>
        </w:rPr>
        <w:t xml:space="preserve"> </w:t>
      </w:r>
      <w:r w:rsidRPr="00D84571">
        <w:rPr>
          <w:rFonts w:ascii="Times New Roman" w:hAnsi="Times New Roman" w:cs="Times New Roman"/>
        </w:rPr>
        <w:t>Fraudar a licitação ou praticar ato fraudulento na execução do contrato;</w:t>
      </w:r>
    </w:p>
    <w:p w14:paraId="485AFBD1" w14:textId="77777777" w:rsidR="00B307DB" w:rsidRPr="00D84571" w:rsidRDefault="00B307DB" w:rsidP="00B307DB">
      <w:pPr>
        <w:pStyle w:val="PargrafodaLista"/>
        <w:tabs>
          <w:tab w:val="left" w:pos="284"/>
          <w:tab w:val="left" w:pos="426"/>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X -</w:t>
      </w:r>
      <w:r>
        <w:rPr>
          <w:rFonts w:ascii="Times New Roman" w:hAnsi="Times New Roman" w:cs="Times New Roman"/>
        </w:rPr>
        <w:t xml:space="preserve"> </w:t>
      </w:r>
      <w:r w:rsidRPr="00D84571">
        <w:rPr>
          <w:rFonts w:ascii="Times New Roman" w:hAnsi="Times New Roman" w:cs="Times New Roman"/>
        </w:rPr>
        <w:t>Comportar-se de modo inidôneo ou cometer fraude de qualquer natureza;</w:t>
      </w:r>
    </w:p>
    <w:p w14:paraId="657B49D4" w14:textId="77777777" w:rsidR="00B307DB" w:rsidRPr="00D84571" w:rsidRDefault="00B307DB" w:rsidP="00B307DB">
      <w:pPr>
        <w:pStyle w:val="PargrafodaLista"/>
        <w:tabs>
          <w:tab w:val="left" w:pos="284"/>
          <w:tab w:val="left" w:pos="567"/>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Praticar atos ilícitos com vistas a frustrar os objetivos da licitação;</w:t>
      </w:r>
    </w:p>
    <w:p w14:paraId="45CC401A" w14:textId="77777777" w:rsidR="00B307DB" w:rsidRPr="00D84571" w:rsidRDefault="00B307DB" w:rsidP="00B307DB">
      <w:pPr>
        <w:pStyle w:val="PargrafodaLista"/>
        <w:tabs>
          <w:tab w:val="left" w:pos="284"/>
          <w:tab w:val="left" w:pos="567"/>
          <w:tab w:val="left" w:pos="1276"/>
        </w:tabs>
        <w:spacing w:after="0" w:line="240" w:lineRule="auto"/>
        <w:ind w:left="567" w:right="-568"/>
        <w:jc w:val="both"/>
        <w:rPr>
          <w:rFonts w:ascii="Times New Roman" w:hAnsi="Times New Roman" w:cs="Times New Roman"/>
        </w:rPr>
      </w:pPr>
      <w:r w:rsidRPr="00413161">
        <w:rPr>
          <w:rFonts w:ascii="Times New Roman" w:hAnsi="Times New Roman" w:cs="Times New Roman"/>
          <w:b/>
        </w:rPr>
        <w:t>XII -</w:t>
      </w:r>
      <w:r>
        <w:rPr>
          <w:rFonts w:ascii="Times New Roman" w:hAnsi="Times New Roman" w:cs="Times New Roman"/>
        </w:rPr>
        <w:t xml:space="preserve"> </w:t>
      </w:r>
      <w:r w:rsidRPr="00D84571">
        <w:rPr>
          <w:rFonts w:ascii="Times New Roman" w:hAnsi="Times New Roman" w:cs="Times New Roman"/>
        </w:rPr>
        <w:t>Praticar ato lesivo previsto no </w:t>
      </w:r>
      <w:hyperlink r:id="rId325" w:anchor="art5" w:history="1">
        <w:r w:rsidRPr="00D84571">
          <w:rPr>
            <w:rStyle w:val="Hyperlink"/>
            <w:rFonts w:ascii="Times New Roman" w:hAnsi="Times New Roman" w:cs="Times New Roman"/>
          </w:rPr>
          <w:t>art. 5º da 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w:t>
      </w:r>
    </w:p>
    <w:p w14:paraId="47C40979"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11.3.2</w:t>
      </w:r>
      <w:r w:rsidRPr="00D84571">
        <w:rPr>
          <w:rFonts w:ascii="Times New Roman" w:hAnsi="Times New Roman" w:cs="Times New Roman"/>
        </w:rPr>
        <w:t xml:space="preserve"> Serão aplicadas as seguintes sanções às penalidades acima indicadas:</w:t>
      </w:r>
    </w:p>
    <w:tbl>
      <w:tblPr>
        <w:tblStyle w:val="Tabelacomgrade2"/>
        <w:tblW w:w="9106" w:type="dxa"/>
        <w:tblLook w:val="04A0" w:firstRow="1" w:lastRow="0" w:firstColumn="1" w:lastColumn="0" w:noHBand="0" w:noVBand="1"/>
      </w:tblPr>
      <w:tblGrid>
        <w:gridCol w:w="584"/>
        <w:gridCol w:w="4557"/>
        <w:gridCol w:w="3965"/>
      </w:tblGrid>
      <w:tr w:rsidR="00B307DB" w:rsidRPr="00D84571" w14:paraId="1D583B54" w14:textId="77777777" w:rsidTr="00B307DB">
        <w:trPr>
          <w:trHeight w:val="1369"/>
        </w:trPr>
        <w:tc>
          <w:tcPr>
            <w:tcW w:w="584" w:type="dxa"/>
            <w:vAlign w:val="center"/>
          </w:tcPr>
          <w:p w14:paraId="46AC539A" w14:textId="77777777" w:rsidR="00B307DB" w:rsidRPr="00D84571" w:rsidRDefault="00B307DB" w:rsidP="00B307DB">
            <w:pPr>
              <w:tabs>
                <w:tab w:val="left" w:pos="1157"/>
              </w:tabs>
              <w:ind w:left="31"/>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 -</w:t>
            </w:r>
          </w:p>
        </w:tc>
        <w:tc>
          <w:tcPr>
            <w:tcW w:w="4557" w:type="dxa"/>
            <w:vAlign w:val="center"/>
          </w:tcPr>
          <w:p w14:paraId="5C102352" w14:textId="77777777" w:rsidR="00B307DB" w:rsidRPr="00D84571" w:rsidRDefault="00B307DB" w:rsidP="00B307D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Advertência (</w:t>
            </w:r>
            <w:hyperlink r:id="rId326" w:anchor="art156%C2%A72" w:history="1">
              <w:r w:rsidRPr="00D84571">
                <w:rPr>
                  <w:rFonts w:ascii="Times New Roman" w:eastAsia="Times New Roman" w:hAnsi="Times New Roman" w:cs="Times New Roman"/>
                  <w:color w:val="0563C1"/>
                  <w:u w:val="single"/>
                </w:rPr>
                <w:t>art. 156, § 2º</w:t>
              </w:r>
            </w:hyperlink>
            <w:r w:rsidRPr="00D84571">
              <w:rPr>
                <w:rFonts w:ascii="Times New Roman" w:eastAsia="Times New Roman" w:hAnsi="Times New Roman" w:cs="Times New Roman"/>
                <w:color w:val="000000"/>
              </w:rPr>
              <w:t>).</w:t>
            </w:r>
          </w:p>
        </w:tc>
        <w:tc>
          <w:tcPr>
            <w:tcW w:w="3965" w:type="dxa"/>
            <w:vAlign w:val="center"/>
          </w:tcPr>
          <w:p w14:paraId="7227DB99"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w:t>
            </w:r>
          </w:p>
          <w:p w14:paraId="7E20827A"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403A72F0"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27"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B307DB" w:rsidRPr="00D84571" w14:paraId="3BFFADE4" w14:textId="77777777" w:rsidTr="00B307DB">
        <w:trPr>
          <w:trHeight w:val="229"/>
        </w:trPr>
        <w:tc>
          <w:tcPr>
            <w:tcW w:w="584" w:type="dxa"/>
            <w:vAlign w:val="center"/>
          </w:tcPr>
          <w:p w14:paraId="5CE8CCB2" w14:textId="77777777" w:rsidR="00B307DB" w:rsidRPr="00D84571" w:rsidRDefault="00B307DB" w:rsidP="00B307DB">
            <w:pPr>
              <w:tabs>
                <w:tab w:val="left" w:pos="1134"/>
              </w:tabs>
              <w:ind w:right="-249"/>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w:t>
            </w:r>
          </w:p>
        </w:tc>
        <w:tc>
          <w:tcPr>
            <w:tcW w:w="4557" w:type="dxa"/>
            <w:vAlign w:val="center"/>
          </w:tcPr>
          <w:p w14:paraId="6A01B7EE" w14:textId="77777777" w:rsidR="00B307DB" w:rsidRPr="00D84571" w:rsidRDefault="00B307DB" w:rsidP="00B307D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 xml:space="preserve">Multa de 5% </w:t>
            </w:r>
          </w:p>
        </w:tc>
        <w:tc>
          <w:tcPr>
            <w:tcW w:w="3965" w:type="dxa"/>
            <w:vAlign w:val="center"/>
          </w:tcPr>
          <w:p w14:paraId="5EFA1B8C" w14:textId="77777777" w:rsidR="00B307DB" w:rsidRPr="00D84571" w:rsidRDefault="00B307DB" w:rsidP="00B307DB">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Qualquer infração (</w:t>
            </w:r>
            <w:hyperlink r:id="rId328" w:anchor="art156%C2%A73" w:history="1">
              <w:r w:rsidRPr="00D84571">
                <w:rPr>
                  <w:rFonts w:ascii="Times New Roman" w:eastAsia="Times New Roman" w:hAnsi="Times New Roman" w:cs="Times New Roman"/>
                  <w:color w:val="0563C1"/>
                  <w:u w:val="single"/>
                </w:rPr>
                <w:t>art. 156, § 3º</w:t>
              </w:r>
            </w:hyperlink>
            <w:r w:rsidRPr="00D84571">
              <w:rPr>
                <w:rFonts w:ascii="Times New Roman" w:eastAsia="Times New Roman" w:hAnsi="Times New Roman" w:cs="Times New Roman"/>
                <w:color w:val="000000"/>
              </w:rPr>
              <w:t>)</w:t>
            </w:r>
          </w:p>
        </w:tc>
      </w:tr>
      <w:tr w:rsidR="00B307DB" w:rsidRPr="00D84571" w14:paraId="4FD089BB" w14:textId="77777777" w:rsidTr="00B307DB">
        <w:trPr>
          <w:trHeight w:val="1378"/>
        </w:trPr>
        <w:tc>
          <w:tcPr>
            <w:tcW w:w="584" w:type="dxa"/>
            <w:vAlign w:val="center"/>
          </w:tcPr>
          <w:p w14:paraId="5ABECA1C" w14:textId="77777777" w:rsidR="00B307DB" w:rsidRPr="00D84571" w:rsidRDefault="00B307DB" w:rsidP="00B307DB">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III -</w:t>
            </w:r>
          </w:p>
        </w:tc>
        <w:tc>
          <w:tcPr>
            <w:tcW w:w="4557" w:type="dxa"/>
            <w:vAlign w:val="center"/>
          </w:tcPr>
          <w:p w14:paraId="645C7C8C" w14:textId="77777777" w:rsidR="00B307DB" w:rsidRPr="00D84571" w:rsidRDefault="00B307DB" w:rsidP="00B307DB">
            <w:pPr>
              <w:tabs>
                <w:tab w:val="left" w:pos="1134"/>
              </w:tabs>
              <w:ind w:right="-15"/>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29" w:anchor="art156%C2%A74" w:history="1">
              <w:r w:rsidRPr="00D84571">
                <w:rPr>
                  <w:rFonts w:ascii="Times New Roman" w:eastAsia="Times New Roman" w:hAnsi="Times New Roman" w:cs="Times New Roman"/>
                  <w:color w:val="000000"/>
                  <w:u w:val="single"/>
                </w:rPr>
                <w:t>art. 156, § 4º</w:t>
              </w:r>
            </w:hyperlink>
            <w:r w:rsidRPr="00D84571">
              <w:rPr>
                <w:rFonts w:ascii="Times New Roman" w:eastAsia="Times New Roman" w:hAnsi="Times New Roman" w:cs="Times New Roman"/>
                <w:color w:val="000000"/>
              </w:rPr>
              <w:t>).</w:t>
            </w:r>
          </w:p>
        </w:tc>
        <w:tc>
          <w:tcPr>
            <w:tcW w:w="3965" w:type="dxa"/>
            <w:vAlign w:val="center"/>
          </w:tcPr>
          <w:p w14:paraId="4B22E1AC"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II III IV V VI VII</w:t>
            </w:r>
          </w:p>
          <w:p w14:paraId="14386305"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Quando não se justificar a imposição de penalidade mais grave.</w:t>
            </w:r>
          </w:p>
          <w:p w14:paraId="523B80FF"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2: Pode ser aplicada cumulativamente com multa (</w:t>
            </w:r>
            <w:hyperlink r:id="rId330"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r w:rsidR="00B307DB" w:rsidRPr="00D84571" w14:paraId="2483C872" w14:textId="77777777" w:rsidTr="00B307DB">
        <w:trPr>
          <w:trHeight w:val="1139"/>
        </w:trPr>
        <w:tc>
          <w:tcPr>
            <w:tcW w:w="584" w:type="dxa"/>
            <w:vAlign w:val="center"/>
          </w:tcPr>
          <w:p w14:paraId="0E40B5A3" w14:textId="77777777" w:rsidR="00B307DB" w:rsidRPr="00D84571" w:rsidRDefault="00B307DB" w:rsidP="00B307DB">
            <w:pPr>
              <w:tabs>
                <w:tab w:val="left" w:pos="1134"/>
              </w:tabs>
              <w:ind w:right="-104"/>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lastRenderedPageBreak/>
              <w:t>IV -</w:t>
            </w:r>
          </w:p>
        </w:tc>
        <w:tc>
          <w:tcPr>
            <w:tcW w:w="4557" w:type="dxa"/>
            <w:vAlign w:val="center"/>
          </w:tcPr>
          <w:p w14:paraId="6384D480" w14:textId="77777777" w:rsidR="00B307DB" w:rsidRPr="00D84571" w:rsidRDefault="00B307DB" w:rsidP="00B307DB">
            <w:pPr>
              <w:tabs>
                <w:tab w:val="left" w:pos="1134"/>
              </w:tabs>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31" w:anchor="art156%C2%A75" w:history="1">
              <w:r w:rsidRPr="00D84571">
                <w:rPr>
                  <w:rFonts w:ascii="Times New Roman" w:eastAsia="Times New Roman" w:hAnsi="Times New Roman" w:cs="Times New Roman"/>
                  <w:color w:val="0563C1"/>
                  <w:u w:val="single"/>
                </w:rPr>
                <w:t>art. 156, § 5º</w:t>
              </w:r>
            </w:hyperlink>
            <w:r w:rsidRPr="00D84571">
              <w:rPr>
                <w:rFonts w:ascii="Times New Roman" w:eastAsia="Times New Roman" w:hAnsi="Times New Roman" w:cs="Times New Roman"/>
                <w:color w:val="000000"/>
              </w:rPr>
              <w:t>).</w:t>
            </w:r>
          </w:p>
        </w:tc>
        <w:tc>
          <w:tcPr>
            <w:tcW w:w="3965" w:type="dxa"/>
            <w:vAlign w:val="center"/>
          </w:tcPr>
          <w:p w14:paraId="79D92BBB"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VIII IX X XI XII</w:t>
            </w:r>
          </w:p>
          <w:p w14:paraId="1B6FA118" w14:textId="77777777" w:rsidR="00B307DB" w:rsidRPr="00D84571" w:rsidRDefault="00B307DB" w:rsidP="00B307DB">
            <w:pPr>
              <w:tabs>
                <w:tab w:val="left" w:pos="1134"/>
              </w:tabs>
              <w:ind w:left="10" w:hanging="10"/>
              <w:jc w:val="center"/>
              <w:rPr>
                <w:rFonts w:ascii="Times New Roman" w:eastAsia="Times New Roman" w:hAnsi="Times New Roman" w:cs="Times New Roman"/>
                <w:color w:val="000000"/>
              </w:rPr>
            </w:pPr>
            <w:r w:rsidRPr="00D84571">
              <w:rPr>
                <w:rFonts w:ascii="Times New Roman" w:eastAsia="Times New Roman" w:hAnsi="Times New Roman" w:cs="Times New Roman"/>
                <w:color w:val="000000"/>
              </w:rPr>
              <w:t>Obs. 1: Pode ser aplicada cumulativamente com multa (</w:t>
            </w:r>
            <w:hyperlink r:id="rId332" w:anchor="art156%C2%A77" w:history="1">
              <w:r w:rsidRPr="00D84571">
                <w:rPr>
                  <w:rFonts w:ascii="Times New Roman" w:eastAsia="Times New Roman" w:hAnsi="Times New Roman" w:cs="Times New Roman"/>
                  <w:color w:val="0563C1"/>
                  <w:u w:val="single"/>
                </w:rPr>
                <w:t>art. 156, § 7º</w:t>
              </w:r>
            </w:hyperlink>
            <w:r w:rsidRPr="00D84571">
              <w:rPr>
                <w:rFonts w:ascii="Times New Roman" w:eastAsia="Times New Roman" w:hAnsi="Times New Roman" w:cs="Times New Roman"/>
                <w:color w:val="000000"/>
              </w:rPr>
              <w:t>).</w:t>
            </w:r>
          </w:p>
        </w:tc>
      </w:tr>
    </w:tbl>
    <w:p w14:paraId="6EAD9620" w14:textId="77777777" w:rsidR="00B307DB" w:rsidRPr="009E2E38" w:rsidRDefault="00B307DB" w:rsidP="00B307DB">
      <w:pPr>
        <w:tabs>
          <w:tab w:val="left" w:pos="1134"/>
        </w:tabs>
        <w:spacing w:after="0" w:line="240" w:lineRule="auto"/>
        <w:ind w:right="-568"/>
        <w:jc w:val="both"/>
        <w:rPr>
          <w:rFonts w:ascii="Times New Roman" w:hAnsi="Times New Roman" w:cs="Times New Roman"/>
        </w:rPr>
      </w:pPr>
      <w:r w:rsidRPr="009E2E38">
        <w:rPr>
          <w:rFonts w:ascii="Times New Roman" w:hAnsi="Times New Roman" w:cs="Times New Roman"/>
          <w:b/>
        </w:rPr>
        <w:t>11.3.3</w:t>
      </w:r>
      <w:r>
        <w:rPr>
          <w:rFonts w:ascii="Times New Roman" w:hAnsi="Times New Roman" w:cs="Times New Roman"/>
        </w:rPr>
        <w:t xml:space="preserve"> </w:t>
      </w:r>
      <w:r w:rsidRPr="009E2E38">
        <w:rPr>
          <w:rFonts w:ascii="Times New Roman" w:hAnsi="Times New Roman" w:cs="Times New Roman"/>
        </w:rPr>
        <w:t>Na aplicação das sanções serão considerados (</w:t>
      </w:r>
      <w:hyperlink r:id="rId333" w:anchor="art156%C2%A71" w:history="1">
        <w:r w:rsidRPr="009E2E38">
          <w:rPr>
            <w:rStyle w:val="Hyperlink"/>
            <w:rFonts w:ascii="Times New Roman" w:hAnsi="Times New Roman" w:cs="Times New Roman"/>
          </w:rPr>
          <w:t>art. 156, § 1º da Lei nº 14.133/2021</w:t>
        </w:r>
      </w:hyperlink>
      <w:r w:rsidRPr="009E2E38">
        <w:rPr>
          <w:rFonts w:ascii="Times New Roman" w:hAnsi="Times New Roman" w:cs="Times New Roman"/>
        </w:rPr>
        <w:t>):</w:t>
      </w:r>
    </w:p>
    <w:p w14:paraId="14654C3A" w14:textId="77777777" w:rsidR="00B307DB" w:rsidRPr="00D84571" w:rsidRDefault="00B307DB" w:rsidP="00B307DB">
      <w:pPr>
        <w:pStyle w:val="PargrafodaLista"/>
        <w:tabs>
          <w:tab w:val="left" w:pos="284"/>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A natureza e a gravidade da infração cometida;</w:t>
      </w:r>
    </w:p>
    <w:p w14:paraId="0D2A17A1" w14:textId="77777777" w:rsidR="00B307DB" w:rsidRPr="00D84571" w:rsidRDefault="00B307DB" w:rsidP="00B307DB">
      <w:pPr>
        <w:pStyle w:val="PargrafodaLista"/>
        <w:tabs>
          <w:tab w:val="left" w:pos="284"/>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As peculiaridades do caso concreto;</w:t>
      </w:r>
    </w:p>
    <w:p w14:paraId="22D924B3" w14:textId="77777777" w:rsidR="00B307DB" w:rsidRPr="00D84571" w:rsidRDefault="00B307DB" w:rsidP="00B307DB">
      <w:pPr>
        <w:pStyle w:val="PargrafodaLista"/>
        <w:tabs>
          <w:tab w:val="left" w:pos="284"/>
          <w:tab w:val="left" w:pos="567"/>
          <w:tab w:val="left" w:pos="993"/>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As circunstâncias agravantes ou atenuantes;</w:t>
      </w:r>
    </w:p>
    <w:p w14:paraId="7F61BD1E" w14:textId="77777777" w:rsidR="00B307DB" w:rsidRPr="00D84571" w:rsidRDefault="00B307DB" w:rsidP="00B307DB">
      <w:pPr>
        <w:pStyle w:val="PargrafodaLista"/>
        <w:tabs>
          <w:tab w:val="left" w:pos="284"/>
          <w:tab w:val="left" w:pos="993"/>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Os danos que dela provierem para a Administração Pública;</w:t>
      </w:r>
    </w:p>
    <w:p w14:paraId="63A11CC9" w14:textId="77777777" w:rsidR="00B307DB" w:rsidRPr="00D84571" w:rsidRDefault="00B307DB" w:rsidP="00B307DB">
      <w:pPr>
        <w:pStyle w:val="PargrafodaLista"/>
        <w:tabs>
          <w:tab w:val="left" w:pos="284"/>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 implantação ou o aperfeiçoamento de programa de integridade, conforme normas e orientações dos órgãos de controle.</w:t>
      </w:r>
    </w:p>
    <w:p w14:paraId="36DA32A5" w14:textId="77777777" w:rsidR="00B307DB" w:rsidRPr="00413161" w:rsidRDefault="00B307DB" w:rsidP="000B0C4A">
      <w:pPr>
        <w:pStyle w:val="PargrafodaLista"/>
        <w:numPr>
          <w:ilvl w:val="2"/>
          <w:numId w:val="259"/>
        </w:numPr>
        <w:tabs>
          <w:tab w:val="left" w:pos="709"/>
        </w:tabs>
        <w:spacing w:after="0" w:line="240" w:lineRule="auto"/>
        <w:ind w:left="0" w:right="-568" w:firstLine="0"/>
        <w:jc w:val="both"/>
        <w:rPr>
          <w:rFonts w:ascii="Times New Roman" w:hAnsi="Times New Roman" w:cs="Times New Roman"/>
        </w:rPr>
      </w:pPr>
      <w:r w:rsidRPr="00413161">
        <w:rPr>
          <w:rFonts w:ascii="Times New Roman" w:hAnsi="Times New Roman" w:cs="Times New Roman"/>
        </w:rPr>
        <w:t>Para aplicação das sanções (</w:t>
      </w:r>
      <w:hyperlink r:id="rId334" w:anchor="art156%C2%A76i" w:history="1">
        <w:r w:rsidRPr="00413161">
          <w:rPr>
            <w:rStyle w:val="Hyperlink"/>
            <w:rFonts w:ascii="Times New Roman" w:hAnsi="Times New Roman" w:cs="Times New Roman"/>
          </w:rPr>
          <w:t>arts. 156, § 6º, I</w:t>
        </w:r>
      </w:hyperlink>
      <w:r w:rsidRPr="00413161">
        <w:rPr>
          <w:rFonts w:ascii="Times New Roman" w:hAnsi="Times New Roman" w:cs="Times New Roman"/>
        </w:rPr>
        <w:t xml:space="preserve">, </w:t>
      </w:r>
      <w:hyperlink r:id="rId335" w:anchor="art157" w:history="1">
        <w:r w:rsidRPr="00413161">
          <w:rPr>
            <w:rStyle w:val="Hyperlink"/>
            <w:rFonts w:ascii="Times New Roman" w:hAnsi="Times New Roman" w:cs="Times New Roman"/>
          </w:rPr>
          <w:t>157</w:t>
        </w:r>
      </w:hyperlink>
      <w:r w:rsidRPr="00413161">
        <w:rPr>
          <w:rFonts w:ascii="Times New Roman" w:hAnsi="Times New Roman" w:cs="Times New Roman"/>
        </w:rPr>
        <w:t xml:space="preserve"> e </w:t>
      </w:r>
      <w:hyperlink r:id="rId336" w:anchor="art158" w:history="1">
        <w:r w:rsidRPr="00413161">
          <w:rPr>
            <w:rStyle w:val="Hyperlink"/>
            <w:rFonts w:ascii="Times New Roman" w:hAnsi="Times New Roman" w:cs="Times New Roman"/>
          </w:rPr>
          <w:t>158</w:t>
        </w:r>
      </w:hyperlink>
      <w:r w:rsidRPr="00413161">
        <w:rPr>
          <w:rFonts w:ascii="Times New Roman" w:hAnsi="Times New Roman" w:cs="Times New Roman"/>
        </w:rPr>
        <w:t xml:space="preserve"> da </w:t>
      </w:r>
      <w:hyperlink r:id="rId337" w:history="1">
        <w:r w:rsidRPr="00413161">
          <w:rPr>
            <w:rStyle w:val="Hyperlink"/>
            <w:rFonts w:ascii="Times New Roman" w:hAnsi="Times New Roman" w:cs="Times New Roman"/>
          </w:rPr>
          <w:t>Lei nº 14.133/2021</w:t>
        </w:r>
      </w:hyperlink>
      <w:r w:rsidRPr="00413161">
        <w:rPr>
          <w:rFonts w:ascii="Times New Roman" w:hAnsi="Times New Roman" w:cs="Times New Roman"/>
        </w:rPr>
        <w:t>):</w:t>
      </w:r>
    </w:p>
    <w:p w14:paraId="6BD5C5CC" w14:textId="77777777" w:rsidR="00B307DB" w:rsidRPr="00D84571" w:rsidRDefault="00B307DB" w:rsidP="00B307DB">
      <w:pPr>
        <w:pStyle w:val="PargrafodaLista"/>
        <w:tabs>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Inciso II do item 1: será facultada a defesa do interessado no prazo de 15 (quinze) dias úteis, contado da data de sua intimação;</w:t>
      </w:r>
    </w:p>
    <w:p w14:paraId="0312057F" w14:textId="77777777" w:rsidR="00B307DB" w:rsidRPr="00D84571" w:rsidRDefault="00B307DB" w:rsidP="00B307DB">
      <w:pPr>
        <w:pStyle w:val="PargrafodaLista"/>
        <w:tabs>
          <w:tab w:val="left" w:pos="426"/>
          <w:tab w:val="left" w:pos="993"/>
        </w:tabs>
        <w:spacing w:after="0" w:line="240" w:lineRule="auto"/>
        <w:ind w:left="567" w:right="-568"/>
        <w:jc w:val="both"/>
        <w:rPr>
          <w:rFonts w:ascii="Times New Roman" w:hAnsi="Times New Roman" w:cs="Times New Roman"/>
        </w:rPr>
      </w:pPr>
      <w:r w:rsidRPr="00413161">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 xml:space="preserve">Previamente ao encaminhamento à cobrança judicial, a multa poderá ser recolhida administrativamente no prazo máximo de </w:t>
      </w:r>
      <w:r w:rsidRPr="00D84571">
        <w:rPr>
          <w:rFonts w:ascii="Times New Roman" w:hAnsi="Times New Roman" w:cs="Times New Roman"/>
          <w:color w:val="000000" w:themeColor="text1"/>
        </w:rPr>
        <w:t xml:space="preserve">30 (Trinta) </w:t>
      </w:r>
      <w:r w:rsidRPr="00D84571">
        <w:rPr>
          <w:rFonts w:ascii="Times New Roman" w:hAnsi="Times New Roman" w:cs="Times New Roman"/>
        </w:rPr>
        <w:t>dias, a contar da data do recebimento da comunicação enviada pela autoridade competente.</w:t>
      </w:r>
    </w:p>
    <w:p w14:paraId="65697947" w14:textId="77777777" w:rsidR="00B307DB" w:rsidRPr="00D84571" w:rsidRDefault="00B307DB" w:rsidP="00B307DB">
      <w:pPr>
        <w:pStyle w:val="PargrafodaLista"/>
        <w:tabs>
          <w:tab w:val="left" w:pos="426"/>
          <w:tab w:val="left" w:pos="567"/>
          <w:tab w:val="left" w:pos="993"/>
          <w:tab w:val="left" w:pos="1134"/>
        </w:tabs>
        <w:spacing w:after="0" w:line="240" w:lineRule="auto"/>
        <w:ind w:left="567" w:right="-568"/>
        <w:jc w:val="both"/>
        <w:rPr>
          <w:rFonts w:ascii="Times New Roman" w:hAnsi="Times New Roman" w:cs="Times New Roman"/>
        </w:rPr>
      </w:pPr>
      <w:r w:rsidRPr="00413161">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 xml:space="preserve">Incisos III e IV do item 1: </w:t>
      </w:r>
    </w:p>
    <w:p w14:paraId="1A5E9614" w14:textId="77777777" w:rsidR="00B307DB" w:rsidRPr="00D84571" w:rsidRDefault="00B307DB" w:rsidP="00B307DB">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a)</w:t>
      </w:r>
      <w:r>
        <w:rPr>
          <w:rFonts w:ascii="Times New Roman" w:hAnsi="Times New Roman" w:cs="Times New Roman"/>
        </w:rPr>
        <w:t xml:space="preserve"> </w:t>
      </w:r>
      <w:r w:rsidRPr="00D84571">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39B03C5B" w14:textId="77777777" w:rsidR="00B307DB" w:rsidRPr="00D84571" w:rsidRDefault="00B307DB" w:rsidP="00B307DB">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b)</w:t>
      </w:r>
      <w:r>
        <w:rPr>
          <w:rFonts w:ascii="Times New Roman" w:hAnsi="Times New Roman" w:cs="Times New Roman"/>
        </w:rPr>
        <w:t xml:space="preserve"> </w:t>
      </w:r>
      <w:r w:rsidRPr="00D84571">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390846A7" w14:textId="77777777" w:rsidR="00B307DB" w:rsidRPr="00D84571" w:rsidRDefault="00B307DB" w:rsidP="00B307DB">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c)</w:t>
      </w:r>
      <w:r>
        <w:rPr>
          <w:rFonts w:ascii="Times New Roman" w:hAnsi="Times New Roman" w:cs="Times New Roman"/>
        </w:rPr>
        <w:t xml:space="preserve"> </w:t>
      </w:r>
      <w:r w:rsidRPr="00D84571">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D8B351C" w14:textId="77777777" w:rsidR="00B307DB" w:rsidRPr="00D84571" w:rsidRDefault="00B307DB" w:rsidP="00B307DB">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d)</w:t>
      </w:r>
      <w:r>
        <w:rPr>
          <w:rFonts w:ascii="Times New Roman" w:hAnsi="Times New Roman" w:cs="Times New Roman"/>
        </w:rPr>
        <w:t xml:space="preserve"> </w:t>
      </w:r>
      <w:r w:rsidRPr="00D84571">
        <w:rPr>
          <w:rFonts w:ascii="Times New Roman" w:hAnsi="Times New Roman" w:cs="Times New Roman"/>
        </w:rPr>
        <w:t>Serão indeferidas pela comissão, mediante decisão fundamentada, provas ilícitas, impertinentes, desnecessárias, protelatórias ou intempestivas;</w:t>
      </w:r>
    </w:p>
    <w:p w14:paraId="30812EBE" w14:textId="77777777" w:rsidR="00B307DB" w:rsidRPr="00D84571" w:rsidRDefault="00B307DB" w:rsidP="00B307DB">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e)</w:t>
      </w:r>
      <w:r>
        <w:rPr>
          <w:rFonts w:ascii="Times New Roman" w:hAnsi="Times New Roman" w:cs="Times New Roman"/>
        </w:rPr>
        <w:t xml:space="preserve"> </w:t>
      </w:r>
      <w:r w:rsidRPr="00D84571">
        <w:rPr>
          <w:rFonts w:ascii="Times New Roman" w:hAnsi="Times New Roman" w:cs="Times New Roman"/>
        </w:rPr>
        <w:t>A sanção prevista no inciso IV do item 1 será precedida de análise jurídica e será de competência exclusiva de secretário municipal (</w:t>
      </w:r>
      <w:hyperlink r:id="rId338" w:anchor="art156%C2%A76i" w:history="1">
        <w:r w:rsidRPr="00D84571">
          <w:rPr>
            <w:rStyle w:val="Hyperlink"/>
            <w:rFonts w:ascii="Times New Roman" w:hAnsi="Times New Roman" w:cs="Times New Roman"/>
          </w:rPr>
          <w:t>art. 156, § 6º, I da Lei nº 14.133/2021</w:t>
        </w:r>
      </w:hyperlink>
      <w:r w:rsidRPr="00D84571">
        <w:rPr>
          <w:rFonts w:ascii="Times New Roman" w:hAnsi="Times New Roman" w:cs="Times New Roman"/>
        </w:rPr>
        <w:t>);</w:t>
      </w:r>
    </w:p>
    <w:p w14:paraId="66EAF202" w14:textId="77777777" w:rsidR="00B307DB" w:rsidRPr="00D84571" w:rsidRDefault="00B307DB" w:rsidP="00B307DB">
      <w:pPr>
        <w:pStyle w:val="PargrafodaLista"/>
        <w:tabs>
          <w:tab w:val="left" w:pos="426"/>
        </w:tabs>
        <w:spacing w:after="0" w:line="240" w:lineRule="auto"/>
        <w:ind w:left="1134" w:right="-568"/>
        <w:jc w:val="both"/>
        <w:rPr>
          <w:rFonts w:ascii="Times New Roman" w:hAnsi="Times New Roman" w:cs="Times New Roman"/>
        </w:rPr>
      </w:pPr>
      <w:r w:rsidRPr="002565F4">
        <w:rPr>
          <w:rFonts w:ascii="Times New Roman" w:hAnsi="Times New Roman" w:cs="Times New Roman"/>
          <w:b/>
        </w:rPr>
        <w:t>f)</w:t>
      </w:r>
      <w:r>
        <w:rPr>
          <w:rFonts w:ascii="Times New Roman" w:hAnsi="Times New Roman" w:cs="Times New Roman"/>
        </w:rPr>
        <w:t xml:space="preserve"> </w:t>
      </w:r>
      <w:r w:rsidRPr="00D84571">
        <w:rPr>
          <w:rFonts w:ascii="Times New Roman" w:hAnsi="Times New Roman" w:cs="Times New Roman"/>
        </w:rPr>
        <w:t>A prescrição ocorrerá em 5 (cinco) anos, contados da ciência da infração pela Administração Pública Municipal, e será:</w:t>
      </w:r>
    </w:p>
    <w:p w14:paraId="5E531F66" w14:textId="77777777" w:rsidR="00B307DB" w:rsidRPr="00D84571" w:rsidRDefault="00B307DB" w:rsidP="00B307DB">
      <w:pPr>
        <w:pStyle w:val="PargrafodaLista"/>
        <w:tabs>
          <w:tab w:val="left" w:pos="567"/>
          <w:tab w:val="left" w:pos="709"/>
        </w:tabs>
        <w:spacing w:after="0" w:line="240" w:lineRule="auto"/>
        <w:ind w:left="1985" w:right="-568"/>
        <w:jc w:val="both"/>
        <w:rPr>
          <w:rFonts w:ascii="Times New Roman" w:hAnsi="Times New Roman" w:cs="Times New Roman"/>
        </w:rPr>
      </w:pPr>
      <w:r w:rsidRPr="00C04335">
        <w:rPr>
          <w:rFonts w:ascii="Times New Roman" w:hAnsi="Times New Roman" w:cs="Times New Roman"/>
          <w:b/>
        </w:rPr>
        <w:t>i)Interrompida</w:t>
      </w:r>
      <w:r w:rsidRPr="00D84571">
        <w:rPr>
          <w:rFonts w:ascii="Times New Roman" w:hAnsi="Times New Roman" w:cs="Times New Roman"/>
        </w:rPr>
        <w:t xml:space="preserve"> pela instauração do processo de responsabilização a que se refere este item;</w:t>
      </w:r>
    </w:p>
    <w:p w14:paraId="35E882BE" w14:textId="77777777" w:rsidR="00B307DB" w:rsidRPr="00D84571" w:rsidRDefault="00B307DB" w:rsidP="00B307DB">
      <w:pPr>
        <w:pStyle w:val="PargrafodaLista"/>
        <w:tabs>
          <w:tab w:val="left" w:pos="709"/>
        </w:tabs>
        <w:spacing w:after="0" w:line="240" w:lineRule="auto"/>
        <w:ind w:left="1985" w:right="-568"/>
        <w:jc w:val="both"/>
        <w:rPr>
          <w:rFonts w:ascii="Times New Roman" w:hAnsi="Times New Roman" w:cs="Times New Roman"/>
        </w:rPr>
      </w:pPr>
      <w:r w:rsidRPr="00C04335">
        <w:rPr>
          <w:rFonts w:ascii="Times New Roman" w:hAnsi="Times New Roman" w:cs="Times New Roman"/>
          <w:b/>
        </w:rPr>
        <w:t>ii)</w:t>
      </w:r>
      <w:r w:rsidRPr="00D84571">
        <w:rPr>
          <w:rFonts w:ascii="Times New Roman" w:hAnsi="Times New Roman" w:cs="Times New Roman"/>
        </w:rPr>
        <w:t>Suspensa pela celebração de acordo de leniência previsto na </w:t>
      </w:r>
      <w:hyperlink r:id="rId339"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xml:space="preserve">; </w:t>
      </w:r>
    </w:p>
    <w:p w14:paraId="33EC8213" w14:textId="77777777" w:rsidR="00B307DB" w:rsidRPr="00D84571" w:rsidRDefault="00B307DB" w:rsidP="00B307DB">
      <w:pPr>
        <w:pStyle w:val="PargrafodaLista"/>
        <w:tabs>
          <w:tab w:val="left" w:pos="709"/>
          <w:tab w:val="left" w:pos="2268"/>
        </w:tabs>
        <w:spacing w:after="0" w:line="240" w:lineRule="auto"/>
        <w:ind w:left="1985" w:right="-568"/>
        <w:jc w:val="both"/>
        <w:rPr>
          <w:rFonts w:ascii="Times New Roman" w:hAnsi="Times New Roman" w:cs="Times New Roman"/>
        </w:rPr>
      </w:pPr>
      <w:r w:rsidRPr="00C04335">
        <w:rPr>
          <w:rFonts w:ascii="Times New Roman" w:hAnsi="Times New Roman" w:cs="Times New Roman"/>
          <w:b/>
        </w:rPr>
        <w:t>iii)</w:t>
      </w:r>
      <w:r w:rsidRPr="00D84571">
        <w:rPr>
          <w:rFonts w:ascii="Times New Roman" w:hAnsi="Times New Roman" w:cs="Times New Roman"/>
        </w:rPr>
        <w:t>Suspensa por decisão judicial que inviabilize a conclusão da apuração administrativa.</w:t>
      </w:r>
    </w:p>
    <w:p w14:paraId="1346DE95"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11.3.5</w:t>
      </w:r>
      <w:r w:rsidRPr="00D84571">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40" w:anchor="art156%C2%A78" w:history="1">
        <w:r w:rsidRPr="00D84571">
          <w:rPr>
            <w:rStyle w:val="Hyperlink"/>
            <w:rFonts w:ascii="Times New Roman" w:hAnsi="Times New Roman" w:cs="Times New Roman"/>
          </w:rPr>
          <w:t>art. 156, § 8º da Lei nº 14.133/2021</w:t>
        </w:r>
      </w:hyperlink>
      <w:r w:rsidRPr="00D84571">
        <w:rPr>
          <w:rFonts w:ascii="Times New Roman" w:hAnsi="Times New Roman" w:cs="Times New Roman"/>
        </w:rPr>
        <w:t>).</w:t>
      </w:r>
    </w:p>
    <w:p w14:paraId="20D5BF24"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11.3.6</w:t>
      </w:r>
      <w:r w:rsidRPr="00D84571">
        <w:rPr>
          <w:rFonts w:ascii="Times New Roman" w:hAnsi="Times New Roman" w:cs="Times New Roman"/>
        </w:rPr>
        <w:t xml:space="preserve"> A aplicação das sanções não exclui, em hipótese alguma, a obrigação de reparação integral do dano causado à Administração Pública Municipal (</w:t>
      </w:r>
      <w:hyperlink r:id="rId341" w:anchor="art156%C2%A79" w:history="1">
        <w:r w:rsidRPr="00D84571">
          <w:rPr>
            <w:rStyle w:val="Hyperlink"/>
            <w:rFonts w:ascii="Times New Roman" w:hAnsi="Times New Roman" w:cs="Times New Roman"/>
          </w:rPr>
          <w:t>art. 156, § 9º da Lei nº 14.133/2021</w:t>
        </w:r>
      </w:hyperlink>
      <w:r w:rsidRPr="00D84571">
        <w:rPr>
          <w:rFonts w:ascii="Times New Roman" w:hAnsi="Times New Roman" w:cs="Times New Roman"/>
        </w:rPr>
        <w:t>).</w:t>
      </w:r>
    </w:p>
    <w:p w14:paraId="431286B8"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11.3.7 </w:t>
      </w:r>
      <w:r w:rsidRPr="00D84571">
        <w:rPr>
          <w:rFonts w:ascii="Times New Roman" w:hAnsi="Times New Roman" w:cs="Times New Roman"/>
        </w:rPr>
        <w:t xml:space="preserve">Os atos previstos como infrações administrativas na </w:t>
      </w:r>
      <w:hyperlink r:id="rId342"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em outras leis de licitações e contratos da Administração Pública que também sejam tipificados como atos lesivos na </w:t>
      </w:r>
      <w:hyperlink r:id="rId343" w:history="1">
        <w:r w:rsidRPr="00D84571">
          <w:rPr>
            <w:rStyle w:val="Hyperlink"/>
            <w:rFonts w:ascii="Times New Roman" w:hAnsi="Times New Roman" w:cs="Times New Roman"/>
          </w:rPr>
          <w:t>Lei nº 12.846, de 1º de agosto de 2013</w:t>
        </w:r>
      </w:hyperlink>
      <w:r w:rsidRPr="00D84571">
        <w:rPr>
          <w:rFonts w:ascii="Times New Roman" w:hAnsi="Times New Roman" w:cs="Times New Roman"/>
        </w:rPr>
        <w:t xml:space="preserve"> – </w:t>
      </w:r>
      <w:r w:rsidRPr="00D84571">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D84571">
        <w:rPr>
          <w:rFonts w:ascii="Times New Roman" w:hAnsi="Times New Roman" w:cs="Times New Roman"/>
        </w:rPr>
        <w:t>, serão apurados e julgados conjuntamente, nos mesmos autos, observados o rito procedimental e a autoridade competente definidos na referida Lei (</w:t>
      </w:r>
      <w:hyperlink r:id="rId344" w:anchor="art159" w:history="1">
        <w:r w:rsidRPr="00D84571">
          <w:rPr>
            <w:rStyle w:val="Hyperlink"/>
            <w:rFonts w:ascii="Times New Roman" w:hAnsi="Times New Roman" w:cs="Times New Roman"/>
          </w:rPr>
          <w:t>art. 159 da Lei nº 14.133/2021</w:t>
        </w:r>
      </w:hyperlink>
      <w:r w:rsidRPr="00D84571">
        <w:rPr>
          <w:rFonts w:ascii="Times New Roman" w:hAnsi="Times New Roman" w:cs="Times New Roman"/>
        </w:rPr>
        <w:t>).</w:t>
      </w:r>
    </w:p>
    <w:p w14:paraId="38C714FD"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11.3.8 </w:t>
      </w:r>
      <w:r w:rsidRPr="00D84571">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45"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ou para provocar confusão patrimonial, e, nesse caso, todos os efeitos das sanções aplicadas à pessoa jurídica </w:t>
      </w:r>
      <w:r w:rsidRPr="00D84571">
        <w:rPr>
          <w:rFonts w:ascii="Times New Roman" w:hAnsi="Times New Roman" w:cs="Times New Roman"/>
        </w:rPr>
        <w:lastRenderedPageBreak/>
        <w:t>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46" w:anchor="art160" w:history="1">
        <w:r w:rsidRPr="00D84571">
          <w:rPr>
            <w:rStyle w:val="Hyperlink"/>
            <w:rFonts w:ascii="Times New Roman" w:hAnsi="Times New Roman" w:cs="Times New Roman"/>
          </w:rPr>
          <w:t>art. 160 da Lei nº 14.133/2021</w:t>
        </w:r>
      </w:hyperlink>
      <w:r w:rsidRPr="00D84571">
        <w:rPr>
          <w:rFonts w:ascii="Times New Roman" w:hAnsi="Times New Roman" w:cs="Times New Roman"/>
        </w:rPr>
        <w:t>).</w:t>
      </w:r>
    </w:p>
    <w:p w14:paraId="487D0713"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11.3.9</w:t>
      </w:r>
      <w:r w:rsidRPr="00D84571">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47" w:history="1">
        <w:r w:rsidRPr="00D84571">
          <w:rPr>
            <w:rStyle w:val="Hyperlink"/>
            <w:rFonts w:ascii="Times New Roman" w:hAnsi="Times New Roman" w:cs="Times New Roman"/>
          </w:rPr>
          <w:t>Cadastro Nacional de Empresas Inidôneas e Suspensas (Ceis)</w:t>
        </w:r>
      </w:hyperlink>
      <w:r w:rsidRPr="00D84571">
        <w:rPr>
          <w:rFonts w:ascii="Times New Roman" w:hAnsi="Times New Roman" w:cs="Times New Roman"/>
        </w:rPr>
        <w:t xml:space="preserve"> e no </w:t>
      </w:r>
      <w:hyperlink r:id="rId348" w:history="1">
        <w:r w:rsidRPr="00D84571">
          <w:rPr>
            <w:rStyle w:val="Hyperlink"/>
            <w:rFonts w:ascii="Times New Roman" w:hAnsi="Times New Roman" w:cs="Times New Roman"/>
          </w:rPr>
          <w:t>Cadastro Nacional de Empresas Punidas (Cnep)</w:t>
        </w:r>
      </w:hyperlink>
      <w:r w:rsidRPr="00D84571">
        <w:rPr>
          <w:rFonts w:ascii="Times New Roman" w:hAnsi="Times New Roman" w:cs="Times New Roman"/>
        </w:rPr>
        <w:t>, instituídos no âmbito do Poder Executivo federal (</w:t>
      </w:r>
      <w:hyperlink r:id="rId349" w:anchor="art161" w:history="1">
        <w:r w:rsidRPr="00D84571">
          <w:rPr>
            <w:rStyle w:val="Hyperlink"/>
            <w:rFonts w:ascii="Times New Roman" w:hAnsi="Times New Roman" w:cs="Times New Roman"/>
          </w:rPr>
          <w:t>art. 161 da Lei nº 14.133/2021</w:t>
        </w:r>
      </w:hyperlink>
      <w:r w:rsidRPr="00D84571">
        <w:rPr>
          <w:rFonts w:ascii="Times New Roman" w:hAnsi="Times New Roman" w:cs="Times New Roman"/>
        </w:rPr>
        <w:t>).</w:t>
      </w:r>
    </w:p>
    <w:p w14:paraId="7F854395"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11.3.10 </w:t>
      </w:r>
      <w:r w:rsidRPr="00D84571">
        <w:rPr>
          <w:rFonts w:ascii="Times New Roman" w:hAnsi="Times New Roman" w:cs="Times New Roman"/>
        </w:rPr>
        <w:t>A forma de cômputo e as consequências da soma de diversas sanções aplicadas a uma mesma empresa e derivadas de contratos distintos seguirá o disposto (</w:t>
      </w:r>
      <w:hyperlink r:id="rId350" w:anchor="art161" w:history="1">
        <w:r w:rsidRPr="00D84571">
          <w:rPr>
            <w:rStyle w:val="Hyperlink"/>
            <w:rFonts w:ascii="Times New Roman" w:hAnsi="Times New Roman" w:cs="Times New Roman"/>
          </w:rPr>
          <w:t>art. 161, parágrafo único da Lei nº 14.133/2021</w:t>
        </w:r>
      </w:hyperlink>
      <w:r w:rsidRPr="00D84571">
        <w:rPr>
          <w:rFonts w:ascii="Times New Roman" w:hAnsi="Times New Roman" w:cs="Times New Roman"/>
        </w:rPr>
        <w:t>).</w:t>
      </w:r>
    </w:p>
    <w:p w14:paraId="367EA99C"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11.3.11</w:t>
      </w:r>
      <w:r w:rsidRPr="00D84571">
        <w:rPr>
          <w:rFonts w:ascii="Times New Roman" w:hAnsi="Times New Roman" w:cs="Times New Roman"/>
        </w:rPr>
        <w:t xml:space="preserve"> O atraso injustificado na execução do contrato sujeitará o contratado a multa de mora, na forma prevista no inciso II do item 2 (</w:t>
      </w:r>
      <w:hyperlink r:id="rId351" w:anchor="art162" w:history="1">
        <w:r w:rsidRPr="00D84571">
          <w:rPr>
            <w:rStyle w:val="Hyperlink"/>
            <w:rFonts w:ascii="Times New Roman" w:hAnsi="Times New Roman" w:cs="Times New Roman"/>
          </w:rPr>
          <w:t>art. 162 da Lei nº 14.133/2021</w:t>
        </w:r>
      </w:hyperlink>
      <w:r w:rsidRPr="00D84571">
        <w:rPr>
          <w:rFonts w:ascii="Times New Roman" w:hAnsi="Times New Roman" w:cs="Times New Roman"/>
        </w:rPr>
        <w:t>).</w:t>
      </w:r>
    </w:p>
    <w:p w14:paraId="343D9087"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11.3.11.1</w:t>
      </w:r>
      <w:r w:rsidRPr="00D84571">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52" w:history="1">
        <w:r w:rsidRPr="00D84571">
          <w:rPr>
            <w:rStyle w:val="Hyperlink"/>
            <w:rFonts w:ascii="Times New Roman" w:hAnsi="Times New Roman" w:cs="Times New Roman"/>
          </w:rPr>
          <w:t>Lei nº 14.133/2021</w:t>
        </w:r>
      </w:hyperlink>
      <w:r w:rsidRPr="00D84571">
        <w:rPr>
          <w:rFonts w:ascii="Times New Roman" w:hAnsi="Times New Roman" w:cs="Times New Roman"/>
        </w:rPr>
        <w:t xml:space="preserve"> (</w:t>
      </w:r>
      <w:hyperlink r:id="rId353" w:anchor="art162" w:history="1">
        <w:r w:rsidRPr="00D84571">
          <w:rPr>
            <w:rStyle w:val="Hyperlink"/>
            <w:rFonts w:ascii="Times New Roman" w:hAnsi="Times New Roman" w:cs="Times New Roman"/>
          </w:rPr>
          <w:t>art. 162, parágrafo único da Lei nº 14.133/2021</w:t>
        </w:r>
      </w:hyperlink>
      <w:r w:rsidRPr="00D84571">
        <w:rPr>
          <w:rFonts w:ascii="Times New Roman" w:hAnsi="Times New Roman" w:cs="Times New Roman"/>
        </w:rPr>
        <w:t>).</w:t>
      </w:r>
    </w:p>
    <w:p w14:paraId="38DE5021"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11.3.12</w:t>
      </w:r>
      <w:r w:rsidRPr="00D84571">
        <w:rPr>
          <w:rFonts w:ascii="Times New Roman" w:hAnsi="Times New Roman" w:cs="Times New Roman"/>
        </w:rPr>
        <w:t xml:space="preserve"> É admitida a reabilitação do licitante ou contratado perante o Município de Riqueza, exigidos, cumulativamente (</w:t>
      </w:r>
      <w:hyperlink r:id="rId354" w:anchor="art163" w:history="1">
        <w:r w:rsidRPr="00D84571">
          <w:rPr>
            <w:rStyle w:val="Hyperlink"/>
            <w:rFonts w:ascii="Times New Roman" w:hAnsi="Times New Roman" w:cs="Times New Roman"/>
          </w:rPr>
          <w:t>art. 163 da Lei nº 14.133/2021</w:t>
        </w:r>
      </w:hyperlink>
      <w:r w:rsidRPr="00D84571">
        <w:rPr>
          <w:rFonts w:ascii="Times New Roman" w:hAnsi="Times New Roman" w:cs="Times New Roman"/>
        </w:rPr>
        <w:t>):</w:t>
      </w:r>
    </w:p>
    <w:p w14:paraId="43B4C799" w14:textId="77777777" w:rsidR="00B307DB" w:rsidRPr="00D84571" w:rsidRDefault="00B307DB" w:rsidP="00B307DB">
      <w:pPr>
        <w:pStyle w:val="PargrafodaLista"/>
        <w:tabs>
          <w:tab w:val="left" w:pos="426"/>
          <w:tab w:val="left" w:pos="993"/>
        </w:tabs>
        <w:spacing w:after="0" w:line="240" w:lineRule="auto"/>
        <w:ind w:left="567" w:right="-568"/>
        <w:jc w:val="both"/>
        <w:rPr>
          <w:rFonts w:ascii="Times New Roman" w:hAnsi="Times New Roman" w:cs="Times New Roman"/>
        </w:rPr>
      </w:pPr>
      <w:r w:rsidRPr="006B30F4">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Reparação integral do dano causado à Administração Pública Municipal;</w:t>
      </w:r>
    </w:p>
    <w:p w14:paraId="095A089C" w14:textId="77777777" w:rsidR="00B307DB" w:rsidRPr="00D84571" w:rsidRDefault="00B307DB" w:rsidP="00B307DB">
      <w:pPr>
        <w:pStyle w:val="PargrafodaLista"/>
        <w:tabs>
          <w:tab w:val="left" w:pos="426"/>
          <w:tab w:val="left" w:pos="993"/>
        </w:tabs>
        <w:spacing w:after="0" w:line="240" w:lineRule="auto"/>
        <w:ind w:left="567" w:right="-568"/>
        <w:jc w:val="both"/>
        <w:rPr>
          <w:rFonts w:ascii="Times New Roman" w:hAnsi="Times New Roman" w:cs="Times New Roman"/>
        </w:rPr>
      </w:pPr>
      <w:r w:rsidRPr="006B30F4">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Pagamento da multa;</w:t>
      </w:r>
    </w:p>
    <w:p w14:paraId="5E08FBD9" w14:textId="77777777" w:rsidR="00B307DB" w:rsidRPr="00D84571" w:rsidRDefault="00B307DB" w:rsidP="00B307DB">
      <w:pPr>
        <w:pStyle w:val="PargrafodaLista"/>
        <w:tabs>
          <w:tab w:val="left" w:pos="426"/>
          <w:tab w:val="left" w:pos="567"/>
          <w:tab w:val="left" w:pos="1134"/>
        </w:tabs>
        <w:spacing w:after="0" w:line="240" w:lineRule="auto"/>
        <w:ind w:left="567" w:right="-568"/>
        <w:jc w:val="both"/>
        <w:rPr>
          <w:rFonts w:ascii="Times New Roman" w:hAnsi="Times New Roman" w:cs="Times New Roman"/>
        </w:rPr>
      </w:pPr>
      <w:r w:rsidRPr="006B30F4">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19B28FFF" w14:textId="77777777" w:rsidR="00B307DB" w:rsidRPr="00D84571" w:rsidRDefault="00B307DB" w:rsidP="00B307DB">
      <w:pPr>
        <w:pStyle w:val="PargrafodaLista"/>
        <w:tabs>
          <w:tab w:val="left" w:pos="567"/>
          <w:tab w:val="left" w:pos="1134"/>
        </w:tabs>
        <w:spacing w:after="0" w:line="240" w:lineRule="auto"/>
        <w:ind w:left="567" w:right="-568"/>
        <w:jc w:val="both"/>
        <w:rPr>
          <w:rFonts w:ascii="Times New Roman" w:hAnsi="Times New Roman" w:cs="Times New Roman"/>
        </w:rPr>
      </w:pPr>
      <w:r w:rsidRPr="006B30F4">
        <w:rPr>
          <w:rFonts w:ascii="Times New Roman" w:hAnsi="Times New Roman" w:cs="Times New Roman"/>
          <w:b/>
        </w:rPr>
        <w:t>IV -</w:t>
      </w:r>
      <w:r>
        <w:rPr>
          <w:rFonts w:ascii="Times New Roman" w:hAnsi="Times New Roman" w:cs="Times New Roman"/>
        </w:rPr>
        <w:t xml:space="preserve"> </w:t>
      </w:r>
      <w:r w:rsidRPr="00D84571">
        <w:rPr>
          <w:rFonts w:ascii="Times New Roman" w:hAnsi="Times New Roman" w:cs="Times New Roman"/>
        </w:rPr>
        <w:t>Cumprimento das condições de reabilitação definidas no ato punitivo;</w:t>
      </w:r>
    </w:p>
    <w:p w14:paraId="724AED25" w14:textId="77777777" w:rsidR="00B307DB" w:rsidRPr="00D84571" w:rsidRDefault="00B307DB" w:rsidP="00B307DB">
      <w:pPr>
        <w:pStyle w:val="PargrafodaLista"/>
        <w:tabs>
          <w:tab w:val="left" w:pos="426"/>
          <w:tab w:val="left" w:pos="993"/>
        </w:tabs>
        <w:spacing w:after="0" w:line="240" w:lineRule="auto"/>
        <w:ind w:left="567" w:right="-568"/>
        <w:jc w:val="both"/>
        <w:rPr>
          <w:rFonts w:ascii="Times New Roman" w:hAnsi="Times New Roman" w:cs="Times New Roman"/>
        </w:rPr>
      </w:pPr>
      <w:r w:rsidRPr="006B30F4">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Análise jurídica prévia, com posicionamento conclusivo quanto ao cumprimento dos requisitos definidos neste item.</w:t>
      </w:r>
    </w:p>
    <w:p w14:paraId="3F789788" w14:textId="77777777" w:rsidR="00B307DB" w:rsidRPr="00D84571" w:rsidRDefault="00B307DB" w:rsidP="00B307DB">
      <w:pPr>
        <w:tabs>
          <w:tab w:val="left" w:pos="1134"/>
        </w:tabs>
        <w:spacing w:after="0" w:line="240" w:lineRule="auto"/>
        <w:ind w:right="-568"/>
        <w:jc w:val="both"/>
        <w:rPr>
          <w:rFonts w:ascii="Times New Roman" w:hAnsi="Times New Roman" w:cs="Times New Roman"/>
        </w:rPr>
      </w:pPr>
      <w:r w:rsidRPr="00D84571">
        <w:rPr>
          <w:rFonts w:ascii="Times New Roman" w:hAnsi="Times New Roman" w:cs="Times New Roman"/>
          <w:b/>
        </w:rPr>
        <w:t>11.3.12.1</w:t>
      </w:r>
      <w:r w:rsidRPr="00D84571">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55" w:anchor="art163" w:history="1">
        <w:r w:rsidRPr="00D84571">
          <w:rPr>
            <w:rStyle w:val="Hyperlink"/>
            <w:rFonts w:ascii="Times New Roman" w:hAnsi="Times New Roman" w:cs="Times New Roman"/>
          </w:rPr>
          <w:t>art. 163, parágrafo único da Lei nº 14.133/2021</w:t>
        </w:r>
      </w:hyperlink>
      <w:r w:rsidRPr="00D84571">
        <w:rPr>
          <w:rFonts w:ascii="Times New Roman" w:hAnsi="Times New Roman" w:cs="Times New Roman"/>
        </w:rPr>
        <w:t>).</w:t>
      </w:r>
    </w:p>
    <w:p w14:paraId="105A1640" w14:textId="77777777" w:rsidR="00B307DB" w:rsidRPr="00D84571" w:rsidRDefault="00B307DB" w:rsidP="00B307DB">
      <w:pPr>
        <w:shd w:val="clear" w:color="auto" w:fill="FFFFFF" w:themeFill="background1"/>
        <w:spacing w:after="0" w:line="240" w:lineRule="auto"/>
        <w:ind w:right="-568"/>
        <w:jc w:val="both"/>
        <w:rPr>
          <w:rFonts w:ascii="Times New Roman" w:hAnsi="Times New Roman" w:cs="Times New Roman"/>
          <w:b/>
          <w:color w:val="FF0000"/>
        </w:rPr>
      </w:pPr>
    </w:p>
    <w:p w14:paraId="6B14408E"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SEGUNDA: A OBRIGAÇÃO DO CONTRATADO DE MANTER, DURANTE TODA A EXECUÇÃO DO CONTRATO, EM COMPATIBILIDADE COM AS OBRIGAÇÕES POR ELE ASSUMIDAS, TODAS AS CONDIÇÕES EXIGIDAS PARA A HABILITAÇÃO NA LICITAÇÃO (</w:t>
      </w:r>
      <w:hyperlink r:id="rId356" w:anchor="art92xvi" w:history="1">
        <w:r w:rsidRPr="00D84571">
          <w:rPr>
            <w:rStyle w:val="Hyperlink"/>
            <w:rFonts w:ascii="Times New Roman" w:hAnsi="Times New Roman" w:cs="Times New Roman"/>
            <w:b/>
          </w:rPr>
          <w:t>art. 92, XVI</w:t>
        </w:r>
      </w:hyperlink>
      <w:r w:rsidRPr="00D84571">
        <w:rPr>
          <w:rFonts w:ascii="Times New Roman" w:hAnsi="Times New Roman" w:cs="Times New Roman"/>
          <w:b/>
        </w:rPr>
        <w:t>)</w:t>
      </w:r>
    </w:p>
    <w:p w14:paraId="02FD8758"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12.1</w:t>
      </w:r>
      <w:r w:rsidRPr="00D84571">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533DE2E8" w14:textId="77777777" w:rsidR="00B307DB" w:rsidRPr="00D84571" w:rsidRDefault="00B307DB" w:rsidP="00B307DB">
      <w:pPr>
        <w:spacing w:after="0" w:line="240" w:lineRule="auto"/>
        <w:ind w:right="-568"/>
        <w:jc w:val="both"/>
        <w:rPr>
          <w:rFonts w:ascii="Times New Roman" w:hAnsi="Times New Roman" w:cs="Times New Roman"/>
        </w:rPr>
      </w:pPr>
    </w:p>
    <w:p w14:paraId="0836B102"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TERCEIRA: A OBRIGAÇÃO DE O CONTRATADO CUMPRIR AS EXIGÊNCIAS DE RESERVA DE CARGOS PREVISTA EM LEI, BEM COMO EM OUTRAS NORMAS ESPECÍFICAS, PARA PESSOA COM DEFICIÊNCIA, PARA REABILITADO DA PREVIDÊNCIA SOCIAL E PARA APRENDIZ (</w:t>
      </w:r>
      <w:hyperlink r:id="rId357" w:anchor="art92xvii" w:history="1">
        <w:r w:rsidRPr="00D84571">
          <w:rPr>
            <w:rStyle w:val="Hyperlink"/>
            <w:rFonts w:ascii="Times New Roman" w:hAnsi="Times New Roman" w:cs="Times New Roman"/>
            <w:b/>
          </w:rPr>
          <w:t>art. 92, XVII</w:t>
        </w:r>
      </w:hyperlink>
      <w:r w:rsidRPr="00D84571">
        <w:rPr>
          <w:rFonts w:ascii="Times New Roman" w:hAnsi="Times New Roman" w:cs="Times New Roman"/>
          <w:b/>
        </w:rPr>
        <w:t>)</w:t>
      </w:r>
    </w:p>
    <w:p w14:paraId="35315239"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13.1</w:t>
      </w:r>
      <w:r w:rsidRPr="00D84571">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402C2CE6" w14:textId="77777777" w:rsidR="00B307DB" w:rsidRPr="00D84571" w:rsidRDefault="00B307DB" w:rsidP="00B307DB">
      <w:pPr>
        <w:spacing w:after="0" w:line="240" w:lineRule="auto"/>
        <w:ind w:right="-568"/>
        <w:jc w:val="both"/>
        <w:rPr>
          <w:rFonts w:ascii="Times New Roman" w:hAnsi="Times New Roman" w:cs="Times New Roman"/>
        </w:rPr>
      </w:pPr>
    </w:p>
    <w:p w14:paraId="79C34560"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QUARTA: O MODELO DE GESTÃO E FISCALIZAÇÃO DO CONTRATO, OBSERVADOS OS REQUISITOS DEFINIDOS EM REGULAMENTO (</w:t>
      </w:r>
      <w:hyperlink r:id="rId358" w:anchor="art92xviii" w:history="1">
        <w:r w:rsidRPr="00D84571">
          <w:rPr>
            <w:rStyle w:val="Hyperlink"/>
            <w:rFonts w:ascii="Times New Roman" w:hAnsi="Times New Roman" w:cs="Times New Roman"/>
            <w:b/>
          </w:rPr>
          <w:t>art. 92, XVIII</w:t>
        </w:r>
      </w:hyperlink>
      <w:r w:rsidRPr="00D84571">
        <w:rPr>
          <w:rFonts w:ascii="Times New Roman" w:hAnsi="Times New Roman" w:cs="Times New Roman"/>
          <w:b/>
        </w:rPr>
        <w:t>)</w:t>
      </w:r>
    </w:p>
    <w:p w14:paraId="53495B33" w14:textId="77777777" w:rsidR="00B307DB" w:rsidRPr="00D84571" w:rsidRDefault="00B307DB" w:rsidP="00B307DB">
      <w:pPr>
        <w:shd w:val="clear" w:color="auto" w:fill="D9D9D9" w:themeFill="background1" w:themeFillShade="D9"/>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14.1 GESTÃO DO CONTRATO</w:t>
      </w:r>
    </w:p>
    <w:p w14:paraId="403C9FF3" w14:textId="77777777" w:rsidR="00B307DB" w:rsidRPr="00D84571" w:rsidRDefault="00B307DB" w:rsidP="00B307DB">
      <w:pPr>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 xml:space="preserve">14.1.1 </w:t>
      </w:r>
      <w:r w:rsidRPr="00D84571">
        <w:rPr>
          <w:rFonts w:ascii="Times New Roman" w:hAnsi="Times New Roman" w:cs="Times New Roman"/>
        </w:rPr>
        <w:t xml:space="preserve">A gestão do contrato </w:t>
      </w:r>
      <w:r w:rsidRPr="0032274B">
        <w:rPr>
          <w:rFonts w:ascii="Times New Roman" w:hAnsi="Times New Roman" w:cs="Times New Roman"/>
        </w:rPr>
        <w:t>caberá ao Sr. Renaldo Mueller.</w:t>
      </w:r>
      <w:r w:rsidRPr="007162A7">
        <w:rPr>
          <w:rFonts w:ascii="Times New Roman" w:hAnsi="Times New Roman" w:cs="Times New Roman"/>
          <w:b/>
        </w:rPr>
        <w:t xml:space="preserve"> </w:t>
      </w:r>
    </w:p>
    <w:p w14:paraId="70D100BF" w14:textId="77777777" w:rsidR="00B307DB" w:rsidRPr="00C04335" w:rsidRDefault="00B307DB" w:rsidP="00B307DB">
      <w:pPr>
        <w:tabs>
          <w:tab w:val="right" w:pos="8080"/>
        </w:tabs>
        <w:spacing w:after="0" w:line="240" w:lineRule="auto"/>
        <w:ind w:right="-568"/>
        <w:jc w:val="both"/>
        <w:rPr>
          <w:rFonts w:ascii="Times New Roman" w:hAnsi="Times New Roman" w:cs="Times New Roman"/>
          <w:b/>
        </w:rPr>
      </w:pPr>
      <w:r w:rsidRPr="00C04335">
        <w:rPr>
          <w:rFonts w:ascii="Times New Roman" w:hAnsi="Times New Roman" w:cs="Times New Roman"/>
          <w:b/>
        </w:rPr>
        <w:t>14.1.2</w:t>
      </w:r>
      <w:r>
        <w:rPr>
          <w:rFonts w:ascii="Times New Roman" w:hAnsi="Times New Roman" w:cs="Times New Roman"/>
        </w:rPr>
        <w:t xml:space="preserve"> </w:t>
      </w:r>
      <w:r w:rsidRPr="00C04335">
        <w:rPr>
          <w:rFonts w:ascii="Times New Roman" w:hAnsi="Times New Roman" w:cs="Times New Roman"/>
        </w:rPr>
        <w:t>Caberá o Gestor de Contrato conforme Decreto Municipal nº 4788/2023, as seguintes obrigações:</w:t>
      </w:r>
    </w:p>
    <w:p w14:paraId="1D168691" w14:textId="77777777" w:rsidR="00B307DB" w:rsidRPr="00D84571" w:rsidRDefault="00B307DB" w:rsidP="00B307DB">
      <w:pPr>
        <w:pStyle w:val="PargrafodaLista"/>
        <w:tabs>
          <w:tab w:val="right" w:pos="426"/>
          <w:tab w:val="left" w:pos="993"/>
        </w:tabs>
        <w:spacing w:after="0" w:line="240" w:lineRule="auto"/>
        <w:ind w:left="567" w:right="-568"/>
        <w:jc w:val="both"/>
        <w:rPr>
          <w:rFonts w:ascii="Times New Roman" w:hAnsi="Times New Roman" w:cs="Times New Roman"/>
        </w:rPr>
      </w:pPr>
      <w:r w:rsidRPr="001D4305">
        <w:rPr>
          <w:rFonts w:ascii="Times New Roman" w:hAnsi="Times New Roman" w:cs="Times New Roman"/>
          <w:b/>
        </w:rPr>
        <w:t>I -</w:t>
      </w:r>
      <w:r>
        <w:rPr>
          <w:rFonts w:ascii="Times New Roman" w:hAnsi="Times New Roman" w:cs="Times New Roman"/>
        </w:rPr>
        <w:t xml:space="preserve"> </w:t>
      </w:r>
      <w:r w:rsidRPr="00D84571">
        <w:rPr>
          <w:rFonts w:ascii="Times New Roman" w:hAnsi="Times New Roman" w:cs="Times New Roman"/>
        </w:rPr>
        <w:t>Seguir o Edital quanto às regras relativas à gestão do contrato;</w:t>
      </w:r>
    </w:p>
    <w:p w14:paraId="043520CD" w14:textId="77777777" w:rsidR="00B307DB" w:rsidRPr="00D84571" w:rsidRDefault="00B307DB" w:rsidP="00B307DB">
      <w:pPr>
        <w:pStyle w:val="PargrafodaLista"/>
        <w:tabs>
          <w:tab w:val="right" w:pos="426"/>
          <w:tab w:val="left" w:pos="993"/>
        </w:tabs>
        <w:spacing w:after="0" w:line="240" w:lineRule="auto"/>
        <w:ind w:left="567" w:right="-568"/>
        <w:jc w:val="both"/>
        <w:rPr>
          <w:rFonts w:ascii="Times New Roman" w:hAnsi="Times New Roman" w:cs="Times New Roman"/>
        </w:rPr>
      </w:pPr>
      <w:r w:rsidRPr="001D4305">
        <w:rPr>
          <w:rFonts w:ascii="Times New Roman" w:hAnsi="Times New Roman" w:cs="Times New Roman"/>
          <w:b/>
        </w:rPr>
        <w:t>II -</w:t>
      </w:r>
      <w:r>
        <w:rPr>
          <w:rFonts w:ascii="Times New Roman" w:hAnsi="Times New Roman" w:cs="Times New Roman"/>
        </w:rPr>
        <w:t xml:space="preserve"> </w:t>
      </w:r>
      <w:r w:rsidRPr="00D84571">
        <w:rPr>
          <w:rFonts w:ascii="Times New Roman" w:hAnsi="Times New Roman" w:cs="Times New Roman"/>
        </w:rPr>
        <w:t>Seguir o modelo de gestão previsto no contrato administrativo;</w:t>
      </w:r>
    </w:p>
    <w:p w14:paraId="05380DD3" w14:textId="77777777" w:rsidR="00B307DB" w:rsidRPr="00D84571" w:rsidRDefault="00B307DB" w:rsidP="00B307DB">
      <w:pPr>
        <w:pStyle w:val="PargrafodaLista"/>
        <w:tabs>
          <w:tab w:val="right" w:pos="426"/>
          <w:tab w:val="left" w:pos="567"/>
          <w:tab w:val="left" w:pos="993"/>
          <w:tab w:val="left" w:pos="1134"/>
        </w:tabs>
        <w:spacing w:after="0" w:line="240" w:lineRule="auto"/>
        <w:ind w:left="567" w:right="-568"/>
        <w:jc w:val="both"/>
        <w:rPr>
          <w:rFonts w:ascii="Times New Roman" w:hAnsi="Times New Roman" w:cs="Times New Roman"/>
        </w:rPr>
      </w:pPr>
      <w:r w:rsidRPr="001D4305">
        <w:rPr>
          <w:rFonts w:ascii="Times New Roman" w:hAnsi="Times New Roman" w:cs="Times New Roman"/>
          <w:b/>
        </w:rPr>
        <w:t>III -</w:t>
      </w:r>
      <w:r>
        <w:rPr>
          <w:rFonts w:ascii="Times New Roman" w:hAnsi="Times New Roman" w:cs="Times New Roman"/>
        </w:rPr>
        <w:t xml:space="preserve"> </w:t>
      </w:r>
      <w:r w:rsidRPr="00D84571">
        <w:rPr>
          <w:rFonts w:ascii="Times New Roman" w:hAnsi="Times New Roman" w:cs="Times New Roman"/>
        </w:rPr>
        <w:t>Coordenar as atividades relacionadas à fiscalização;</w:t>
      </w:r>
    </w:p>
    <w:p w14:paraId="527717B7" w14:textId="77777777" w:rsidR="00B307DB" w:rsidRPr="00D84571" w:rsidRDefault="00B307DB" w:rsidP="00B307DB">
      <w:pPr>
        <w:pStyle w:val="PargrafodaLista"/>
        <w:tabs>
          <w:tab w:val="right" w:pos="426"/>
          <w:tab w:val="left" w:pos="1134"/>
        </w:tabs>
        <w:spacing w:after="0" w:line="240" w:lineRule="auto"/>
        <w:ind w:left="567" w:right="-568"/>
        <w:jc w:val="both"/>
        <w:rPr>
          <w:rFonts w:ascii="Times New Roman" w:hAnsi="Times New Roman" w:cs="Times New Roman"/>
        </w:rPr>
      </w:pPr>
      <w:r w:rsidRPr="001D4305">
        <w:rPr>
          <w:rFonts w:ascii="Times New Roman" w:hAnsi="Times New Roman" w:cs="Times New Roman"/>
          <w:b/>
        </w:rPr>
        <w:lastRenderedPageBreak/>
        <w:t>IV -</w:t>
      </w:r>
      <w:r>
        <w:rPr>
          <w:rFonts w:ascii="Times New Roman" w:hAnsi="Times New Roman" w:cs="Times New Roman"/>
        </w:rPr>
        <w:t xml:space="preserve"> </w:t>
      </w:r>
      <w:r w:rsidRPr="00D84571">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3DD5ACEF" w14:textId="77777777" w:rsidR="00B307DB" w:rsidRPr="00D84571" w:rsidRDefault="00B307DB" w:rsidP="00B307DB">
      <w:pPr>
        <w:pStyle w:val="PargrafodaLista"/>
        <w:tabs>
          <w:tab w:val="right" w:pos="567"/>
          <w:tab w:val="left" w:pos="993"/>
        </w:tabs>
        <w:spacing w:after="0" w:line="240" w:lineRule="auto"/>
        <w:ind w:left="567" w:right="-568"/>
        <w:jc w:val="both"/>
        <w:rPr>
          <w:rFonts w:ascii="Times New Roman" w:hAnsi="Times New Roman" w:cs="Times New Roman"/>
        </w:rPr>
      </w:pPr>
      <w:r w:rsidRPr="001D4305">
        <w:rPr>
          <w:rFonts w:ascii="Times New Roman" w:hAnsi="Times New Roman" w:cs="Times New Roman"/>
          <w:b/>
        </w:rPr>
        <w:t>V -</w:t>
      </w:r>
      <w:r>
        <w:rPr>
          <w:rFonts w:ascii="Times New Roman" w:hAnsi="Times New Roman" w:cs="Times New Roman"/>
        </w:rPr>
        <w:t xml:space="preserve"> </w:t>
      </w:r>
      <w:r w:rsidRPr="00D84571">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4958246A" w14:textId="77777777" w:rsidR="00B307DB" w:rsidRPr="00D84571" w:rsidRDefault="00B307DB" w:rsidP="00B307DB">
      <w:pPr>
        <w:pStyle w:val="PargrafodaLista"/>
        <w:tabs>
          <w:tab w:val="right" w:pos="567"/>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VI - </w:t>
      </w:r>
      <w:r w:rsidRPr="00D84571">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579DD4F" w14:textId="77777777" w:rsidR="00B307DB" w:rsidRPr="00D84571" w:rsidRDefault="00B307DB" w:rsidP="00B307DB">
      <w:pPr>
        <w:pStyle w:val="PargrafodaLista"/>
        <w:tabs>
          <w:tab w:val="right" w:pos="567"/>
          <w:tab w:val="righ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VII - </w:t>
      </w:r>
      <w:r w:rsidRPr="00D84571">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3F2C01A2" w14:textId="77777777" w:rsidR="00B307DB" w:rsidRPr="00D84571" w:rsidRDefault="00B307DB" w:rsidP="00B307DB">
      <w:pPr>
        <w:pStyle w:val="PargrafodaLista"/>
        <w:tabs>
          <w:tab w:val="right" w:pos="567"/>
          <w:tab w:val="right" w:pos="709"/>
          <w:tab w:val="left" w:pos="1134"/>
          <w:tab w:val="left" w:pos="1276"/>
        </w:tabs>
        <w:spacing w:after="0" w:line="240" w:lineRule="auto"/>
        <w:ind w:left="567" w:right="-568"/>
        <w:jc w:val="both"/>
        <w:rPr>
          <w:rFonts w:ascii="Times New Roman" w:hAnsi="Times New Roman" w:cs="Times New Roman"/>
        </w:rPr>
      </w:pPr>
      <w:r>
        <w:rPr>
          <w:rFonts w:ascii="Times New Roman" w:hAnsi="Times New Roman" w:cs="Times New Roman"/>
          <w:b/>
        </w:rPr>
        <w:t xml:space="preserve">VIII - </w:t>
      </w:r>
      <w:r w:rsidRPr="00D84571">
        <w:rPr>
          <w:rFonts w:ascii="Times New Roman" w:hAnsi="Times New Roman" w:cs="Times New Roman"/>
        </w:rPr>
        <w:t>Coordenar a atualização contínua do relatório de riscos durante a gestão do contrato, com apoio dos fiscais;</w:t>
      </w:r>
    </w:p>
    <w:p w14:paraId="164766D7" w14:textId="77777777" w:rsidR="00B307DB" w:rsidRPr="00D84571" w:rsidRDefault="00B307DB" w:rsidP="00B307DB">
      <w:pPr>
        <w:pStyle w:val="PargrafodaLista"/>
        <w:tabs>
          <w:tab w:val="right" w:pos="567"/>
          <w:tab w:val="righ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IX - </w:t>
      </w:r>
      <w:r w:rsidRPr="00D84571">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C41086B" w14:textId="77777777" w:rsidR="00B307DB" w:rsidRPr="00D84571" w:rsidRDefault="00B307DB" w:rsidP="00B307DB">
      <w:pPr>
        <w:pStyle w:val="PargrafodaLista"/>
        <w:tabs>
          <w:tab w:val="right" w:pos="567"/>
          <w:tab w:val="righ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X - </w:t>
      </w:r>
      <w:r w:rsidRPr="00D84571">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75ECC131" w14:textId="77777777" w:rsidR="00B307DB" w:rsidRPr="00D84571" w:rsidRDefault="00B307DB" w:rsidP="00B307DB">
      <w:pPr>
        <w:pStyle w:val="PargrafodaLista"/>
        <w:tabs>
          <w:tab w:val="right" w:pos="567"/>
          <w:tab w:val="righ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XI - </w:t>
      </w:r>
      <w:r w:rsidRPr="00D84571">
        <w:rPr>
          <w:rFonts w:ascii="Times New Roman" w:hAnsi="Times New Roman" w:cs="Times New Roman"/>
        </w:rPr>
        <w:t>Constituir relatório final, de que trata a alínea "d" do inciso VI do § 3º do art. 174 da Lei nº 14.133, de 2021,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6BC6A37" w14:textId="77777777" w:rsidR="00B307DB" w:rsidRPr="00D84571" w:rsidRDefault="00B307DB" w:rsidP="00B307DB">
      <w:pPr>
        <w:pStyle w:val="PargrafodaLista"/>
        <w:tabs>
          <w:tab w:val="right" w:pos="567"/>
          <w:tab w:val="righ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XII - </w:t>
      </w:r>
      <w:r w:rsidRPr="00D84571">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5438BBB" w14:textId="77777777" w:rsidR="00B307DB" w:rsidRPr="00D84571" w:rsidRDefault="00B307DB" w:rsidP="00B307DB">
      <w:pPr>
        <w:pStyle w:val="PargrafodaLista"/>
        <w:tabs>
          <w:tab w:val="right" w:pos="567"/>
          <w:tab w:val="right" w:pos="709"/>
          <w:tab w:val="left" w:pos="1276"/>
        </w:tabs>
        <w:spacing w:after="0" w:line="240" w:lineRule="auto"/>
        <w:ind w:left="567" w:right="-568"/>
        <w:jc w:val="both"/>
        <w:rPr>
          <w:rFonts w:ascii="Times New Roman" w:hAnsi="Times New Roman" w:cs="Times New Roman"/>
        </w:rPr>
      </w:pPr>
      <w:r>
        <w:rPr>
          <w:rFonts w:ascii="Times New Roman" w:hAnsi="Times New Roman" w:cs="Times New Roman"/>
          <w:b/>
        </w:rPr>
        <w:t xml:space="preserve">XIII - </w:t>
      </w:r>
      <w:r w:rsidRPr="00D84571">
        <w:rPr>
          <w:rFonts w:ascii="Times New Roman" w:hAnsi="Times New Roman" w:cs="Times New Roman"/>
        </w:rPr>
        <w:t>Diligenciar para a formalização de processo administrativo de responsabilização para fins de aplicação de sanções, a ser conduzido pela comissão de que trata o art. 158 da Lei nº 14.133, de 2021 ou pelo agente/setor com competência para tal, conforme o caso;</w:t>
      </w:r>
    </w:p>
    <w:p w14:paraId="1B547747" w14:textId="77777777" w:rsidR="00B307DB" w:rsidRPr="00D84571" w:rsidRDefault="00B307DB" w:rsidP="00B307DB">
      <w:pPr>
        <w:pStyle w:val="PargrafodaLista"/>
        <w:tabs>
          <w:tab w:val="right" w:pos="426"/>
          <w:tab w:val="left" w:pos="709"/>
          <w:tab w:val="left" w:pos="1276"/>
        </w:tabs>
        <w:spacing w:after="0" w:line="240" w:lineRule="auto"/>
        <w:ind w:left="567" w:right="-568"/>
        <w:jc w:val="both"/>
        <w:rPr>
          <w:rFonts w:ascii="Times New Roman" w:hAnsi="Times New Roman" w:cs="Times New Roman"/>
        </w:rPr>
      </w:pPr>
      <w:r>
        <w:rPr>
          <w:rFonts w:ascii="Times New Roman" w:hAnsi="Times New Roman" w:cs="Times New Roman"/>
          <w:b/>
        </w:rPr>
        <w:t xml:space="preserve">XIV - </w:t>
      </w:r>
      <w:r w:rsidRPr="00D84571">
        <w:rPr>
          <w:rFonts w:ascii="Times New Roman" w:hAnsi="Times New Roman" w:cs="Times New Roman"/>
        </w:rPr>
        <w:t>Sugerir as demais providências cabíveis para o bom andamento e execução do contrato;</w:t>
      </w:r>
    </w:p>
    <w:p w14:paraId="12709951" w14:textId="77777777" w:rsidR="00B307DB" w:rsidRPr="00D84571" w:rsidRDefault="00B307DB" w:rsidP="00B307DB">
      <w:pPr>
        <w:pStyle w:val="PargrafodaLista"/>
        <w:tabs>
          <w:tab w:val="right" w:pos="567"/>
          <w:tab w:val="righ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XV - </w:t>
      </w:r>
      <w:r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04B66696" w14:textId="77777777" w:rsidR="00B307DB" w:rsidRPr="00D84571" w:rsidRDefault="00B307DB" w:rsidP="00B307DB">
      <w:pPr>
        <w:shd w:val="clear" w:color="auto" w:fill="D9D9D9" w:themeFill="background1" w:themeFillShade="D9"/>
        <w:tabs>
          <w:tab w:val="right" w:pos="8080"/>
        </w:tabs>
        <w:spacing w:after="0" w:line="240" w:lineRule="auto"/>
        <w:ind w:right="-568"/>
        <w:jc w:val="both"/>
        <w:rPr>
          <w:rFonts w:ascii="Times New Roman" w:hAnsi="Times New Roman" w:cs="Times New Roman"/>
          <w:b/>
        </w:rPr>
      </w:pPr>
      <w:r w:rsidRPr="00D84571">
        <w:rPr>
          <w:rFonts w:ascii="Times New Roman" w:hAnsi="Times New Roman" w:cs="Times New Roman"/>
          <w:b/>
        </w:rPr>
        <w:t>14.2 FISCALIZAÇÃO DO CONTRATO</w:t>
      </w:r>
    </w:p>
    <w:p w14:paraId="648A37C5" w14:textId="77777777" w:rsidR="00B307DB" w:rsidRPr="00D84571" w:rsidRDefault="00B307DB" w:rsidP="00B307DB">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14.2.1 </w:t>
      </w:r>
      <w:r w:rsidRPr="00D84571">
        <w:rPr>
          <w:rFonts w:ascii="Times New Roman" w:hAnsi="Times New Roman" w:cs="Times New Roman"/>
        </w:rPr>
        <w:t xml:space="preserve">A execução do contrato será acompanhada e fiscalizada </w:t>
      </w:r>
      <w:r w:rsidRPr="007022CB">
        <w:rPr>
          <w:rFonts w:ascii="Times New Roman" w:hAnsi="Times New Roman" w:cs="Times New Roman"/>
        </w:rPr>
        <w:t>pelo(a)s Sr(as). Ademar Antônio Pignat, Sandra Mara da Rosa</w:t>
      </w:r>
      <w:r w:rsidRPr="007022CB">
        <w:rPr>
          <w:rFonts w:ascii="Times New Roman" w:hAnsi="Times New Roman" w:cs="Times New Roman"/>
          <w:iCs/>
        </w:rPr>
        <w:t xml:space="preserve">, Edson Cesar Trentini, Eleni Rutzen Endrigo, </w:t>
      </w:r>
      <w:r w:rsidRPr="007022CB">
        <w:rPr>
          <w:rFonts w:ascii="Times New Roman" w:hAnsi="Times New Roman" w:cs="Times New Roman"/>
        </w:rPr>
        <w:t>Marcos Antônio Garlet, Ana Salete Bordignon, em observância ao disposto no art. 117 e seguintes da Lei 14.133/2021.</w:t>
      </w:r>
    </w:p>
    <w:p w14:paraId="258A7203" w14:textId="77777777" w:rsidR="00B307DB" w:rsidRPr="00D84571" w:rsidRDefault="00B307DB" w:rsidP="00B307DB">
      <w:pPr>
        <w:tabs>
          <w:tab w:val="right" w:pos="8080"/>
        </w:tabs>
        <w:spacing w:after="0" w:line="240" w:lineRule="auto"/>
        <w:ind w:right="-568"/>
        <w:jc w:val="both"/>
        <w:rPr>
          <w:rFonts w:ascii="Times New Roman" w:hAnsi="Times New Roman" w:cs="Times New Roman"/>
        </w:rPr>
      </w:pPr>
      <w:r w:rsidRPr="00D84571">
        <w:rPr>
          <w:rFonts w:ascii="Times New Roman" w:hAnsi="Times New Roman" w:cs="Times New Roman"/>
          <w:b/>
        </w:rPr>
        <w:t xml:space="preserve">14.2.2 </w:t>
      </w:r>
      <w:r w:rsidRPr="00D84571">
        <w:rPr>
          <w:rFonts w:ascii="Times New Roman" w:hAnsi="Times New Roman" w:cs="Times New Roman"/>
        </w:rPr>
        <w:t xml:space="preserve">Caberá ao Fiscal de Contrato conforme Decreto Municipal nº 4788/2023, acompanhar e fiscalizar a execução do objeto contratual, com as seguintes obrigações: </w:t>
      </w:r>
    </w:p>
    <w:p w14:paraId="4B4490B7" w14:textId="77777777" w:rsidR="00B307DB" w:rsidRPr="00D84571" w:rsidRDefault="00B307DB" w:rsidP="00B307DB">
      <w:pPr>
        <w:pStyle w:val="PargrafodaLista"/>
        <w:tabs>
          <w:tab w:val="right" w:pos="426"/>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 - </w:t>
      </w:r>
      <w:r w:rsidRPr="00D84571">
        <w:rPr>
          <w:rFonts w:ascii="Times New Roman" w:hAnsi="Times New Roman" w:cs="Times New Roman"/>
        </w:rPr>
        <w:t>Prestar apoio técnico e operacional ao gestor do contrato, subsidiando-o de informações pertinentes às suas competências;</w:t>
      </w:r>
    </w:p>
    <w:p w14:paraId="20709C17" w14:textId="77777777" w:rsidR="00B307DB" w:rsidRPr="00D84571" w:rsidRDefault="00B307DB" w:rsidP="00B307DB">
      <w:pPr>
        <w:pStyle w:val="PargrafodaLista"/>
        <w:tabs>
          <w:tab w:val="right" w:pos="426"/>
          <w:tab w:val="left" w:pos="851"/>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II - </w:t>
      </w:r>
      <w:r w:rsidRPr="00D84571">
        <w:rPr>
          <w:rFonts w:ascii="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1B20EF81" w14:textId="77777777" w:rsidR="00B307DB" w:rsidRPr="00D84571" w:rsidRDefault="00B307DB" w:rsidP="00B307DB">
      <w:pPr>
        <w:pStyle w:val="PargrafodaLista"/>
        <w:tabs>
          <w:tab w:val="right" w:pos="426"/>
          <w:tab w:val="lef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III - </w:t>
      </w:r>
      <w:r w:rsidRPr="00D84571">
        <w:rPr>
          <w:rFonts w:ascii="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5990F6D6" w14:textId="77777777" w:rsidR="00B307DB" w:rsidRPr="00D84571" w:rsidRDefault="00B307DB" w:rsidP="00B307DB">
      <w:pPr>
        <w:pStyle w:val="PargrafodaLista"/>
        <w:tabs>
          <w:tab w:val="right" w:pos="426"/>
          <w:tab w:val="right" w:pos="851"/>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IV - </w:t>
      </w:r>
      <w:r w:rsidRPr="00D84571">
        <w:rPr>
          <w:rFonts w:ascii="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295A5AD1" w14:textId="77777777" w:rsidR="00B307DB" w:rsidRPr="00D84571" w:rsidRDefault="00B307DB" w:rsidP="00B307DB">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lastRenderedPageBreak/>
        <w:t xml:space="preserve">V - </w:t>
      </w:r>
      <w:r w:rsidRPr="00D84571">
        <w:rPr>
          <w:rFonts w:ascii="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0A5ACD0F" w14:textId="77777777" w:rsidR="00B307DB" w:rsidRPr="00D84571" w:rsidRDefault="00B307DB" w:rsidP="00B307DB">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VI - </w:t>
      </w:r>
      <w:r w:rsidRPr="00D84571">
        <w:rPr>
          <w:rFonts w:ascii="Times New Roman" w:hAnsi="Times New Roman" w:cs="Times New Roman"/>
        </w:rPr>
        <w:t>Seguir o Termo de Referência sobre como a execução do objeto deve ser acompanhada e fiscalizada;</w:t>
      </w:r>
    </w:p>
    <w:p w14:paraId="587976B7" w14:textId="77777777" w:rsidR="00B307DB" w:rsidRPr="00D84571" w:rsidRDefault="00B307DB" w:rsidP="00B307DB">
      <w:pPr>
        <w:pStyle w:val="PargrafodaLista"/>
        <w:tabs>
          <w:tab w:val="right" w:pos="567"/>
          <w:tab w:val="left" w:pos="709"/>
          <w:tab w:val="lef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VII - </w:t>
      </w:r>
      <w:r w:rsidRPr="00D84571">
        <w:rPr>
          <w:rFonts w:ascii="Times New Roman" w:hAnsi="Times New Roman" w:cs="Times New Roman"/>
        </w:rPr>
        <w:t>Seguir o Projeto Básico quanto às normas de fiscalização do objeto a serem seguidas;</w:t>
      </w:r>
    </w:p>
    <w:p w14:paraId="46CC2225" w14:textId="77777777" w:rsidR="00B307DB" w:rsidRPr="00D84571" w:rsidRDefault="00B307DB" w:rsidP="00B307DB">
      <w:pPr>
        <w:pStyle w:val="PargrafodaLista"/>
        <w:tabs>
          <w:tab w:val="right" w:pos="567"/>
          <w:tab w:val="right" w:pos="709"/>
          <w:tab w:val="left" w:pos="993"/>
          <w:tab w:val="left" w:pos="1134"/>
          <w:tab w:val="left" w:pos="1276"/>
        </w:tabs>
        <w:spacing w:after="0" w:line="240" w:lineRule="auto"/>
        <w:ind w:left="567" w:right="-568"/>
        <w:jc w:val="both"/>
        <w:rPr>
          <w:rFonts w:ascii="Times New Roman" w:hAnsi="Times New Roman" w:cs="Times New Roman"/>
        </w:rPr>
      </w:pPr>
      <w:r>
        <w:rPr>
          <w:rFonts w:ascii="Times New Roman" w:hAnsi="Times New Roman" w:cs="Times New Roman"/>
          <w:b/>
        </w:rPr>
        <w:t xml:space="preserve">VIII - </w:t>
      </w:r>
      <w:r w:rsidRPr="00D84571">
        <w:rPr>
          <w:rFonts w:ascii="Times New Roman" w:hAnsi="Times New Roman" w:cs="Times New Roman"/>
        </w:rPr>
        <w:t>Seguir o Edital quanto às regras relativas à fiscalização;</w:t>
      </w:r>
    </w:p>
    <w:p w14:paraId="2046D337" w14:textId="77777777" w:rsidR="00B307DB" w:rsidRPr="00D84571" w:rsidRDefault="00B307DB" w:rsidP="00B307DB">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IX - </w:t>
      </w:r>
      <w:r w:rsidRPr="00D84571">
        <w:rPr>
          <w:rFonts w:ascii="Times New Roman" w:hAnsi="Times New Roman" w:cs="Times New Roman"/>
        </w:rPr>
        <w:t>Anotar em registro próprio todas as ocorrências relacionadas à execução do contrato, determinando o que for necessário para a regularização das faltas ou dos defeitos observados;</w:t>
      </w:r>
    </w:p>
    <w:p w14:paraId="58219C6D" w14:textId="77777777" w:rsidR="00B307DB" w:rsidRPr="00D84571" w:rsidRDefault="00B307DB" w:rsidP="00B307DB">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X - </w:t>
      </w:r>
      <w:r w:rsidRPr="00D84571">
        <w:rPr>
          <w:rFonts w:ascii="Times New Roman" w:hAnsi="Times New Roman" w:cs="Times New Roman"/>
        </w:rPr>
        <w:t>Informar a seus superiores, em tempo hábil para a adoção das medidas convenientes, a situação que demandar decisão ou providência que ultrapasse sua competência;</w:t>
      </w:r>
    </w:p>
    <w:p w14:paraId="1C7AEB53" w14:textId="77777777" w:rsidR="00B307DB" w:rsidRPr="00D84571" w:rsidRDefault="00B307DB" w:rsidP="00B307DB">
      <w:pPr>
        <w:pStyle w:val="PargrafodaLista"/>
        <w:tabs>
          <w:tab w:val="right" w:pos="567"/>
          <w:tab w:val="right" w:pos="709"/>
          <w:tab w:val="left" w:pos="993"/>
        </w:tabs>
        <w:spacing w:after="0" w:line="240" w:lineRule="auto"/>
        <w:ind w:left="567" w:right="-568"/>
        <w:jc w:val="both"/>
        <w:rPr>
          <w:rFonts w:ascii="Times New Roman" w:hAnsi="Times New Roman" w:cs="Times New Roman"/>
        </w:rPr>
      </w:pPr>
      <w:r>
        <w:rPr>
          <w:rFonts w:ascii="Times New Roman" w:hAnsi="Times New Roman" w:cs="Times New Roman"/>
          <w:b/>
        </w:rPr>
        <w:t xml:space="preserve">XI - </w:t>
      </w:r>
      <w:r w:rsidRPr="00D84571">
        <w:rPr>
          <w:rFonts w:ascii="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32A28DF2" w14:textId="77777777" w:rsidR="00B307DB" w:rsidRPr="00D84571" w:rsidRDefault="00B307DB" w:rsidP="00B307DB">
      <w:pPr>
        <w:pStyle w:val="PargrafodaLista"/>
        <w:tabs>
          <w:tab w:val="right" w:pos="567"/>
          <w:tab w:val="right" w:pos="709"/>
          <w:tab w:val="left" w:pos="993"/>
          <w:tab w:val="left" w:pos="1134"/>
        </w:tabs>
        <w:spacing w:after="0" w:line="240" w:lineRule="auto"/>
        <w:ind w:left="567" w:right="-568"/>
        <w:jc w:val="both"/>
        <w:rPr>
          <w:rFonts w:ascii="Times New Roman" w:hAnsi="Times New Roman" w:cs="Times New Roman"/>
        </w:rPr>
      </w:pPr>
      <w:r>
        <w:rPr>
          <w:rFonts w:ascii="Times New Roman" w:hAnsi="Times New Roman" w:cs="Times New Roman"/>
          <w:b/>
        </w:rPr>
        <w:t xml:space="preserve">XII - </w:t>
      </w:r>
      <w:r w:rsidRPr="00D84571">
        <w:rPr>
          <w:rFonts w:ascii="Times New Roman" w:hAnsi="Times New Roman" w:cs="Times New Roman"/>
        </w:rPr>
        <w:t>Receber o objeto do contrato provisoriamente:</w:t>
      </w:r>
    </w:p>
    <w:p w14:paraId="212C38A2" w14:textId="77777777" w:rsidR="00B307DB" w:rsidRPr="00087F65" w:rsidRDefault="00B307DB" w:rsidP="00012875">
      <w:pPr>
        <w:pStyle w:val="PargrafodaLista"/>
        <w:numPr>
          <w:ilvl w:val="2"/>
          <w:numId w:val="249"/>
        </w:numPr>
        <w:tabs>
          <w:tab w:val="left" w:pos="426"/>
        </w:tabs>
        <w:spacing w:after="0" w:line="240" w:lineRule="auto"/>
        <w:ind w:left="1134" w:right="-568" w:firstLine="0"/>
        <w:jc w:val="both"/>
        <w:rPr>
          <w:rFonts w:ascii="Times New Roman" w:eastAsia="Times New Roman" w:hAnsi="Times New Roman" w:cs="Times New Roman"/>
        </w:rPr>
      </w:pPr>
      <w:r w:rsidRPr="00087F65">
        <w:rPr>
          <w:rFonts w:ascii="Times New Roman" w:eastAsia="Times New Roman" w:hAnsi="Times New Roman" w:cs="Times New Roman"/>
          <w:b/>
        </w:rPr>
        <w:t xml:space="preserve">Obras e serviços: </w:t>
      </w:r>
      <w:r w:rsidRPr="00087F65">
        <w:rPr>
          <w:rFonts w:ascii="Times New Roman" w:eastAsia="Times New Roman" w:hAnsi="Times New Roman" w:cs="Times New Roman"/>
        </w:rPr>
        <w:t>mediante termo detalhado, quando verificado o cumprimento das exigências de caráter técnico;</w:t>
      </w:r>
    </w:p>
    <w:p w14:paraId="38856FC6" w14:textId="77777777" w:rsidR="00B307DB" w:rsidRPr="006B6E8C" w:rsidRDefault="00B307DB" w:rsidP="00B307DB">
      <w:pPr>
        <w:pStyle w:val="PargrafodaLista"/>
        <w:tabs>
          <w:tab w:val="right" w:pos="709"/>
        </w:tabs>
        <w:spacing w:after="0" w:line="240" w:lineRule="auto"/>
        <w:ind w:left="1134" w:right="-568"/>
        <w:jc w:val="both"/>
        <w:rPr>
          <w:rFonts w:ascii="Times New Roman" w:hAnsi="Times New Roman" w:cs="Times New Roman"/>
          <w:b/>
        </w:rPr>
      </w:pPr>
      <w:r>
        <w:rPr>
          <w:rFonts w:ascii="Times New Roman" w:hAnsi="Times New Roman" w:cs="Times New Roman"/>
          <w:b/>
        </w:rPr>
        <w:t xml:space="preserve">b) </w:t>
      </w:r>
      <w:r w:rsidRPr="00087F65">
        <w:rPr>
          <w:rFonts w:ascii="Times New Roman" w:hAnsi="Times New Roman" w:cs="Times New Roman"/>
          <w:b/>
        </w:rPr>
        <w:t xml:space="preserve">Compras: </w:t>
      </w:r>
      <w:r w:rsidRPr="00087F65">
        <w:rPr>
          <w:rFonts w:ascii="Times New Roman" w:hAnsi="Times New Roman" w:cs="Times New Roman"/>
        </w:rPr>
        <w:t>com verificação posterior da conformidade do material com as exigências contratuais;</w:t>
      </w:r>
    </w:p>
    <w:p w14:paraId="721DDF5C" w14:textId="77777777" w:rsidR="00B307DB" w:rsidRPr="00D84571" w:rsidRDefault="00B307DB" w:rsidP="00B307DB">
      <w:pPr>
        <w:tabs>
          <w:tab w:val="right" w:pos="567"/>
          <w:tab w:val="right" w:pos="709"/>
        </w:tabs>
        <w:spacing w:after="0" w:line="240" w:lineRule="auto"/>
        <w:ind w:left="567" w:right="-568" w:hanging="11"/>
        <w:jc w:val="both"/>
        <w:rPr>
          <w:rFonts w:ascii="Times New Roman" w:hAnsi="Times New Roman" w:cs="Times New Roman"/>
        </w:rPr>
      </w:pPr>
      <w:r w:rsidRPr="00D84571">
        <w:rPr>
          <w:rFonts w:ascii="Times New Roman" w:hAnsi="Times New Roman" w:cs="Times New Roman"/>
          <w:b/>
        </w:rPr>
        <w:t xml:space="preserve">XIII - </w:t>
      </w:r>
      <w:r w:rsidRPr="00D84571">
        <w:rPr>
          <w:rFonts w:ascii="Times New Roman" w:hAnsi="Times New Roman" w:cs="Times New Roman"/>
        </w:rPr>
        <w:t>Todos os atos devem ser motivados de forma explícita, clara e congruente, podendo consistir em declaração de concordância com fundamentos de anteriores pareceres, informações, decisões ou propostas, que, neste caso, serão parte integrante do ato.</w:t>
      </w:r>
    </w:p>
    <w:p w14:paraId="7F0EC3DB" w14:textId="77777777" w:rsidR="00B307DB" w:rsidRPr="00D84571" w:rsidRDefault="00B307DB" w:rsidP="00B307DB">
      <w:pPr>
        <w:spacing w:after="0" w:line="240" w:lineRule="auto"/>
        <w:ind w:right="-568"/>
        <w:jc w:val="both"/>
        <w:rPr>
          <w:rFonts w:ascii="Times New Roman" w:hAnsi="Times New Roman" w:cs="Times New Roman"/>
        </w:rPr>
      </w:pPr>
    </w:p>
    <w:p w14:paraId="747C9713"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QUINTA: OS CASOS DE EXTINÇÃO (</w:t>
      </w:r>
      <w:hyperlink r:id="rId359" w:anchor="art92xix" w:history="1">
        <w:r w:rsidRPr="00D84571">
          <w:rPr>
            <w:rStyle w:val="Hyperlink"/>
            <w:rFonts w:ascii="Times New Roman" w:hAnsi="Times New Roman" w:cs="Times New Roman"/>
            <w:b/>
          </w:rPr>
          <w:t>art. 92, XIX</w:t>
        </w:r>
      </w:hyperlink>
      <w:r w:rsidRPr="00D84571">
        <w:rPr>
          <w:rFonts w:ascii="Times New Roman" w:hAnsi="Times New Roman" w:cs="Times New Roman"/>
          <w:b/>
        </w:rPr>
        <w:t>)</w:t>
      </w:r>
    </w:p>
    <w:p w14:paraId="6ABCB11B"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15.1</w:t>
      </w:r>
      <w:r w:rsidRPr="00D84571">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60" w:anchor="art136" w:history="1">
        <w:r w:rsidRPr="00D84571">
          <w:rPr>
            <w:rStyle w:val="Hyperlink"/>
            <w:rFonts w:ascii="Times New Roman" w:hAnsi="Times New Roman" w:cs="Times New Roman"/>
          </w:rPr>
          <w:t xml:space="preserve">art. 136, </w:t>
        </w:r>
        <w:r w:rsidRPr="00D84571">
          <w:rPr>
            <w:rStyle w:val="Hyperlink"/>
            <w:rFonts w:ascii="Times New Roman" w:hAnsi="Times New Roman" w:cs="Times New Roman"/>
            <w:i/>
          </w:rPr>
          <w:t>caput</w:t>
        </w:r>
        <w:r w:rsidRPr="00D84571">
          <w:rPr>
            <w:rStyle w:val="Hyperlink"/>
            <w:rFonts w:ascii="Times New Roman" w:hAnsi="Times New Roman" w:cs="Times New Roman"/>
          </w:rPr>
          <w:t xml:space="preserve"> da Lei nº 14.133/2021</w:t>
        </w:r>
      </w:hyperlink>
      <w:r w:rsidRPr="00D84571">
        <w:rPr>
          <w:rFonts w:ascii="Times New Roman" w:hAnsi="Times New Roman" w:cs="Times New Roman"/>
        </w:rPr>
        <w:t>):</w:t>
      </w:r>
    </w:p>
    <w:p w14:paraId="63E346BA" w14:textId="77777777" w:rsidR="00B307DB" w:rsidRDefault="00B307DB" w:rsidP="00B307DB">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Não cumprimento ou cumprimento irregular de normas editalícias ou de cláusulas contratuais, de especificações, de projetos ou de prazos;</w:t>
      </w:r>
    </w:p>
    <w:p w14:paraId="211D3952" w14:textId="77777777" w:rsidR="00B307DB" w:rsidRDefault="00B307DB" w:rsidP="00B307DB">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Desatendimento das determinações regulares emitidas pela autoridade designada para acompanhar e fiscalizar sua execução ou por autoridade superior;</w:t>
      </w:r>
    </w:p>
    <w:p w14:paraId="792CB9E8" w14:textId="77777777" w:rsidR="00B307DB" w:rsidRDefault="00B307DB" w:rsidP="00B307DB">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Alteração social ou modificação da finalidade ou da estrutura da empresa que restrinja sua capacidade de concluir o contrato;</w:t>
      </w:r>
    </w:p>
    <w:p w14:paraId="43E4DF2F" w14:textId="77777777" w:rsidR="00B307DB" w:rsidRDefault="00B307DB" w:rsidP="00B307DB">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 xml:space="preserve">Decretação de falência ou de insolvência civil, dissolução da sociedade ou falecimento do </w:t>
      </w:r>
      <w:r w:rsidRPr="00E5457C">
        <w:rPr>
          <w:rFonts w:ascii="Times New Roman" w:hAnsi="Times New Roman" w:cs="Times New Roman"/>
          <w:b/>
        </w:rPr>
        <w:t>CONTRATADO</w:t>
      </w:r>
      <w:r w:rsidRPr="00E5457C">
        <w:rPr>
          <w:rFonts w:ascii="Times New Roman" w:hAnsi="Times New Roman" w:cs="Times New Roman"/>
        </w:rPr>
        <w:t>;</w:t>
      </w:r>
    </w:p>
    <w:p w14:paraId="3E52E91D" w14:textId="77777777" w:rsidR="00B307DB" w:rsidRDefault="00B307DB" w:rsidP="00B307DB">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Caso fortuito ou força maior, regularmente comprovados, impeditivos da execução do contrato;</w:t>
      </w:r>
    </w:p>
    <w:p w14:paraId="0DC5CB9D" w14:textId="77777777" w:rsidR="00B307DB" w:rsidRDefault="00B307DB" w:rsidP="00B307DB">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Atraso na obtenção da licença ambiental, ou impossibilidade de obtê-la, ou alteração substancial do anteprojeto que dela resultar, ainda que obtida no prazo previsto;</w:t>
      </w:r>
    </w:p>
    <w:p w14:paraId="782103D9" w14:textId="77777777" w:rsidR="00B307DB" w:rsidRDefault="00B307DB" w:rsidP="00B307DB">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Atraso na liberação das áreas sujeitas a desapropriação, a desocupação ou a servidão administrativa, ou impossibilidade de liberação dessas áreas;</w:t>
      </w:r>
    </w:p>
    <w:p w14:paraId="259D966B" w14:textId="77777777" w:rsidR="00B307DB" w:rsidRDefault="00B307DB" w:rsidP="00B307DB">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Razões de interesse público, justificadas pela autoridade máxima do órgão;</w:t>
      </w:r>
    </w:p>
    <w:p w14:paraId="29A040A4" w14:textId="77777777" w:rsidR="00B307DB" w:rsidRPr="00E5457C" w:rsidRDefault="00B307DB" w:rsidP="00B307DB">
      <w:pPr>
        <w:pStyle w:val="PargrafodaLista"/>
        <w:numPr>
          <w:ilvl w:val="0"/>
          <w:numId w:val="247"/>
        </w:numPr>
        <w:tabs>
          <w:tab w:val="left" w:pos="426"/>
          <w:tab w:val="left" w:pos="851"/>
        </w:tabs>
        <w:spacing w:after="0" w:line="240" w:lineRule="auto"/>
        <w:ind w:left="567" w:right="-568" w:firstLine="0"/>
        <w:contextualSpacing w:val="0"/>
        <w:jc w:val="both"/>
        <w:rPr>
          <w:rFonts w:ascii="Times New Roman" w:hAnsi="Times New Roman" w:cs="Times New Roman"/>
        </w:rPr>
      </w:pPr>
      <w:r w:rsidRPr="00E5457C">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3DCAF25"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 xml:space="preserve">15.1.1 </w:t>
      </w:r>
      <w:r w:rsidRPr="00D84571">
        <w:rPr>
          <w:rFonts w:ascii="Times New Roman" w:hAnsi="Times New Roman" w:cs="Times New Roman"/>
        </w:rPr>
        <w:t>As hipóteses de extinção a que se referem as letras “b”, “c” e “d” do item anterior observarão as seguintes disposições (</w:t>
      </w:r>
      <w:hyperlink r:id="rId361" w:anchor="art136%C2%A73" w:history="1">
        <w:r w:rsidRPr="00D84571">
          <w:rPr>
            <w:rStyle w:val="Hyperlink"/>
            <w:rFonts w:ascii="Times New Roman" w:hAnsi="Times New Roman" w:cs="Times New Roman"/>
          </w:rPr>
          <w:t>art. 136, § 3º da Lei nº 14.133/2021</w:t>
        </w:r>
      </w:hyperlink>
      <w:r w:rsidRPr="00D84571">
        <w:rPr>
          <w:rFonts w:ascii="Times New Roman" w:hAnsi="Times New Roman" w:cs="Times New Roman"/>
        </w:rPr>
        <w:t>):</w:t>
      </w:r>
    </w:p>
    <w:p w14:paraId="4437D092" w14:textId="77777777" w:rsidR="00B307DB" w:rsidRPr="00E020DC" w:rsidRDefault="00B307DB" w:rsidP="00B307DB">
      <w:pPr>
        <w:tabs>
          <w:tab w:val="left" w:pos="426"/>
          <w:tab w:val="left" w:pos="851"/>
        </w:tabs>
        <w:spacing w:after="0" w:line="240" w:lineRule="auto"/>
        <w:ind w:left="567" w:right="-568"/>
        <w:jc w:val="both"/>
        <w:rPr>
          <w:rFonts w:ascii="Times New Roman" w:hAnsi="Times New Roman" w:cs="Times New Roman"/>
        </w:rPr>
      </w:pPr>
      <w:r w:rsidRPr="00E020DC">
        <w:rPr>
          <w:rFonts w:ascii="Times New Roman" w:hAnsi="Times New Roman" w:cs="Times New Roman"/>
          <w:b/>
        </w:rPr>
        <w:t xml:space="preserve">a) </w:t>
      </w:r>
      <w:r w:rsidRPr="00E020DC">
        <w:rPr>
          <w:rFonts w:ascii="Times New Roman" w:hAnsi="Times New Roman" w:cs="Times New Roman"/>
        </w:rPr>
        <w:t xml:space="preserve">Não serão admitidas em caso de calamidade pública, de grave perturbação da ordem interna ou de guerra, bem como quando decorrerem de ato ou fato que o </w:t>
      </w:r>
      <w:r w:rsidRPr="00E020DC">
        <w:rPr>
          <w:rFonts w:ascii="Times New Roman" w:hAnsi="Times New Roman" w:cs="Times New Roman"/>
          <w:b/>
        </w:rPr>
        <w:t>CONTRATADO</w:t>
      </w:r>
      <w:r w:rsidRPr="00E020DC">
        <w:rPr>
          <w:rFonts w:ascii="Times New Roman" w:hAnsi="Times New Roman" w:cs="Times New Roman"/>
        </w:rPr>
        <w:t xml:space="preserve"> tenha praticado, do qual tenha participado ou para o qual tenha contribuído;</w:t>
      </w:r>
    </w:p>
    <w:p w14:paraId="2C49385F" w14:textId="77777777" w:rsidR="00B307DB" w:rsidRPr="00E020DC" w:rsidRDefault="00B307DB" w:rsidP="00B307DB">
      <w:pPr>
        <w:tabs>
          <w:tab w:val="left" w:pos="426"/>
          <w:tab w:val="left" w:pos="851"/>
        </w:tabs>
        <w:spacing w:after="0" w:line="240" w:lineRule="auto"/>
        <w:ind w:left="567" w:right="-568"/>
        <w:jc w:val="both"/>
        <w:rPr>
          <w:rFonts w:ascii="Times New Roman" w:hAnsi="Times New Roman" w:cs="Times New Roman"/>
        </w:rPr>
      </w:pPr>
      <w:r w:rsidRPr="00E020DC">
        <w:rPr>
          <w:rFonts w:ascii="Times New Roman" w:hAnsi="Times New Roman" w:cs="Times New Roman"/>
          <w:b/>
        </w:rPr>
        <w:t>b)</w:t>
      </w:r>
      <w:r>
        <w:rPr>
          <w:rFonts w:ascii="Times New Roman" w:hAnsi="Times New Roman" w:cs="Times New Roman"/>
        </w:rPr>
        <w:t xml:space="preserve"> </w:t>
      </w:r>
      <w:r w:rsidRPr="00E020DC">
        <w:rPr>
          <w:rFonts w:ascii="Times New Roman" w:hAnsi="Times New Roman" w:cs="Times New Roman"/>
        </w:rPr>
        <w:t xml:space="preserve">Assegurarão ao </w:t>
      </w:r>
      <w:r w:rsidRPr="00E020DC">
        <w:rPr>
          <w:rFonts w:ascii="Times New Roman" w:hAnsi="Times New Roman" w:cs="Times New Roman"/>
          <w:b/>
        </w:rPr>
        <w:t>CONTRATADO</w:t>
      </w:r>
      <w:r w:rsidRPr="00E020DC">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62" w:anchor="art124iid" w:history="1">
        <w:r w:rsidRPr="00E020DC">
          <w:rPr>
            <w:rStyle w:val="Hyperlink"/>
            <w:rFonts w:ascii="Times New Roman" w:hAnsi="Times New Roman" w:cs="Times New Roman"/>
          </w:rPr>
          <w:t xml:space="preserve">alínea “d” do inciso II do </w:t>
        </w:r>
        <w:r w:rsidRPr="00E020DC">
          <w:rPr>
            <w:rStyle w:val="Hyperlink"/>
            <w:rFonts w:ascii="Times New Roman" w:hAnsi="Times New Roman" w:cs="Times New Roman"/>
            <w:i/>
          </w:rPr>
          <w:t>caput</w:t>
        </w:r>
        <w:r w:rsidRPr="00E020DC">
          <w:rPr>
            <w:rStyle w:val="Hyperlink"/>
            <w:rFonts w:ascii="Times New Roman" w:hAnsi="Times New Roman" w:cs="Times New Roman"/>
          </w:rPr>
          <w:t xml:space="preserve"> do art. 124 da Lei nº 14.133/2021</w:t>
        </w:r>
      </w:hyperlink>
      <w:r w:rsidRPr="00E020DC">
        <w:rPr>
          <w:rFonts w:ascii="Times New Roman" w:hAnsi="Times New Roman" w:cs="Times New Roman"/>
        </w:rPr>
        <w:t>.</w:t>
      </w:r>
    </w:p>
    <w:p w14:paraId="10046B5B"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15.2</w:t>
      </w:r>
      <w:r w:rsidRPr="00D84571">
        <w:rPr>
          <w:rFonts w:ascii="Times New Roman" w:hAnsi="Times New Roman" w:cs="Times New Roman"/>
        </w:rPr>
        <w:t xml:space="preserve"> O </w:t>
      </w:r>
      <w:r w:rsidRPr="00D84571">
        <w:rPr>
          <w:rFonts w:ascii="Times New Roman" w:hAnsi="Times New Roman" w:cs="Times New Roman"/>
          <w:b/>
        </w:rPr>
        <w:t>CONTRATADO</w:t>
      </w:r>
      <w:r w:rsidRPr="00D84571">
        <w:rPr>
          <w:rFonts w:ascii="Times New Roman" w:hAnsi="Times New Roman" w:cs="Times New Roman"/>
        </w:rPr>
        <w:t xml:space="preserve"> terá direito à extinção do contrato nas seguintes hipóteses (</w:t>
      </w:r>
      <w:hyperlink r:id="rId363" w:anchor="art136%C2%A72" w:history="1">
        <w:r w:rsidRPr="00D84571">
          <w:rPr>
            <w:rStyle w:val="Hyperlink"/>
            <w:rFonts w:ascii="Times New Roman" w:hAnsi="Times New Roman" w:cs="Times New Roman"/>
          </w:rPr>
          <w:t>art. 136, § 2º da Lei nº 14.133/2021</w:t>
        </w:r>
      </w:hyperlink>
      <w:r w:rsidRPr="00D84571">
        <w:rPr>
          <w:rFonts w:ascii="Times New Roman" w:hAnsi="Times New Roman" w:cs="Times New Roman"/>
        </w:rPr>
        <w:t>):</w:t>
      </w:r>
    </w:p>
    <w:p w14:paraId="1497498B" w14:textId="77777777" w:rsidR="00B307DB" w:rsidRPr="00E020DC" w:rsidRDefault="00B307DB" w:rsidP="00B307DB">
      <w:pPr>
        <w:tabs>
          <w:tab w:val="left" w:pos="426"/>
          <w:tab w:val="left" w:pos="851"/>
        </w:tabs>
        <w:spacing w:after="0" w:line="240" w:lineRule="auto"/>
        <w:ind w:left="567" w:right="-568"/>
        <w:jc w:val="both"/>
        <w:rPr>
          <w:rFonts w:ascii="Times New Roman" w:hAnsi="Times New Roman" w:cs="Times New Roman"/>
        </w:rPr>
      </w:pPr>
      <w:r w:rsidRPr="00E020DC">
        <w:rPr>
          <w:rFonts w:ascii="Times New Roman" w:hAnsi="Times New Roman" w:cs="Times New Roman"/>
          <w:b/>
        </w:rPr>
        <w:t>a)</w:t>
      </w:r>
      <w:r>
        <w:rPr>
          <w:rFonts w:ascii="Times New Roman" w:hAnsi="Times New Roman" w:cs="Times New Roman"/>
        </w:rPr>
        <w:t xml:space="preserve"> </w:t>
      </w:r>
      <w:r w:rsidRPr="00E020DC">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4" w:anchor="art125" w:history="1">
        <w:r w:rsidRPr="00E020DC">
          <w:rPr>
            <w:rStyle w:val="Hyperlink"/>
            <w:rFonts w:ascii="Times New Roman" w:hAnsi="Times New Roman" w:cs="Times New Roman"/>
          </w:rPr>
          <w:t>art. 125 da Lei nº 14.133/2021</w:t>
        </w:r>
      </w:hyperlink>
      <w:r w:rsidRPr="00E020DC">
        <w:rPr>
          <w:rFonts w:ascii="Times New Roman" w:hAnsi="Times New Roman" w:cs="Times New Roman"/>
        </w:rPr>
        <w:t>;</w:t>
      </w:r>
    </w:p>
    <w:p w14:paraId="0AED17EA" w14:textId="77777777" w:rsidR="00B307DB" w:rsidRPr="00E020DC" w:rsidRDefault="00B307DB" w:rsidP="00B307DB">
      <w:pPr>
        <w:tabs>
          <w:tab w:val="left" w:pos="426"/>
          <w:tab w:val="left" w:pos="851"/>
        </w:tabs>
        <w:spacing w:after="0" w:line="240" w:lineRule="auto"/>
        <w:ind w:left="567" w:right="-568"/>
        <w:jc w:val="both"/>
        <w:rPr>
          <w:rFonts w:ascii="Times New Roman" w:hAnsi="Times New Roman" w:cs="Times New Roman"/>
        </w:rPr>
      </w:pPr>
      <w:r w:rsidRPr="00E020DC">
        <w:rPr>
          <w:rFonts w:ascii="Times New Roman" w:hAnsi="Times New Roman" w:cs="Times New Roman"/>
          <w:b/>
        </w:rPr>
        <w:t>b)</w:t>
      </w:r>
      <w:r>
        <w:rPr>
          <w:rFonts w:ascii="Times New Roman" w:hAnsi="Times New Roman" w:cs="Times New Roman"/>
        </w:rPr>
        <w:t xml:space="preserve"> </w:t>
      </w:r>
      <w:r w:rsidRPr="00E020DC">
        <w:rPr>
          <w:rFonts w:ascii="Times New Roman" w:hAnsi="Times New Roman" w:cs="Times New Roman"/>
        </w:rPr>
        <w:t>Suspensão de execução do contrato, por ordem escrita da Administração, por prazo superior a 3 (três) meses;</w:t>
      </w:r>
    </w:p>
    <w:p w14:paraId="44BB2B3F" w14:textId="77777777" w:rsidR="00B307DB" w:rsidRPr="00D84571" w:rsidRDefault="00B307DB" w:rsidP="00012875">
      <w:pPr>
        <w:pStyle w:val="PargrafodaLista"/>
        <w:numPr>
          <w:ilvl w:val="0"/>
          <w:numId w:val="250"/>
        </w:numPr>
        <w:tabs>
          <w:tab w:val="left" w:pos="426"/>
          <w:tab w:val="left" w:pos="851"/>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5B76F56A" w14:textId="77777777" w:rsidR="00B307DB" w:rsidRPr="00D84571" w:rsidRDefault="00B307DB" w:rsidP="00012875">
      <w:pPr>
        <w:pStyle w:val="PargrafodaLista"/>
        <w:numPr>
          <w:ilvl w:val="0"/>
          <w:numId w:val="250"/>
        </w:numPr>
        <w:tabs>
          <w:tab w:val="left" w:pos="426"/>
          <w:tab w:val="left" w:pos="851"/>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7DB1C210" w14:textId="77777777" w:rsidR="00B307DB" w:rsidRPr="00D84571" w:rsidRDefault="00B307DB" w:rsidP="00012875">
      <w:pPr>
        <w:pStyle w:val="PargrafodaLista"/>
        <w:numPr>
          <w:ilvl w:val="0"/>
          <w:numId w:val="250"/>
        </w:numPr>
        <w:tabs>
          <w:tab w:val="left" w:pos="426"/>
          <w:tab w:val="left" w:pos="851"/>
        </w:tabs>
        <w:spacing w:after="0" w:line="240" w:lineRule="auto"/>
        <w:ind w:left="567" w:right="-568" w:firstLine="0"/>
        <w:contextualSpacing w:val="0"/>
        <w:jc w:val="both"/>
        <w:rPr>
          <w:rFonts w:ascii="Times New Roman" w:hAnsi="Times New Roman" w:cs="Times New Roman"/>
        </w:rPr>
      </w:pPr>
      <w:r w:rsidRPr="00D84571">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76EE8DC"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15.3</w:t>
      </w:r>
      <w:r w:rsidRPr="00D84571">
        <w:rPr>
          <w:rFonts w:ascii="Times New Roman" w:hAnsi="Times New Roman" w:cs="Times New Roman"/>
        </w:rPr>
        <w:t xml:space="preserve"> A extinção do contrato poderá ser (</w:t>
      </w:r>
      <w:hyperlink r:id="rId365" w:anchor="art138" w:history="1">
        <w:r w:rsidRPr="00D84571">
          <w:rPr>
            <w:rStyle w:val="Hyperlink"/>
            <w:rFonts w:ascii="Times New Roman" w:hAnsi="Times New Roman" w:cs="Times New Roman"/>
          </w:rPr>
          <w:t>art. 138 da Lei nº 14.133/2021</w:t>
        </w:r>
      </w:hyperlink>
      <w:r w:rsidRPr="00D84571">
        <w:rPr>
          <w:rFonts w:ascii="Times New Roman" w:hAnsi="Times New Roman" w:cs="Times New Roman"/>
        </w:rPr>
        <w:t>):</w:t>
      </w:r>
    </w:p>
    <w:p w14:paraId="64E7FBF0" w14:textId="77777777" w:rsidR="00B307DB" w:rsidRPr="00483A25" w:rsidRDefault="00B307DB" w:rsidP="00B307DB">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a)</w:t>
      </w:r>
      <w:r>
        <w:rPr>
          <w:rFonts w:ascii="Times New Roman" w:hAnsi="Times New Roman" w:cs="Times New Roman"/>
        </w:rPr>
        <w:t xml:space="preserve"> </w:t>
      </w:r>
      <w:r w:rsidRPr="00483A25">
        <w:rPr>
          <w:rFonts w:ascii="Times New Roman" w:hAnsi="Times New Roman" w:cs="Times New Roman"/>
        </w:rPr>
        <w:t>Determinada por ato unilateral e escrito da Administração, exceto no caso de descumprimento decorrente de sua própria conduta;</w:t>
      </w:r>
    </w:p>
    <w:p w14:paraId="32B912FC" w14:textId="77777777" w:rsidR="00B307DB" w:rsidRPr="00497D7C" w:rsidRDefault="00B307DB" w:rsidP="00B307DB">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b)</w:t>
      </w:r>
      <w:r>
        <w:rPr>
          <w:rFonts w:ascii="Times New Roman" w:hAnsi="Times New Roman" w:cs="Times New Roman"/>
        </w:rPr>
        <w:t xml:space="preserve"> </w:t>
      </w:r>
      <w:r w:rsidRPr="00497D7C">
        <w:rPr>
          <w:rFonts w:ascii="Times New Roman" w:hAnsi="Times New Roman" w:cs="Times New Roman"/>
        </w:rPr>
        <w:t>Consensual, por acordo entre as partes, por conciliação, por mediação ou por comitê de resolução de disputas, desde que haja interesse da Administração;</w:t>
      </w:r>
    </w:p>
    <w:p w14:paraId="011A1D80" w14:textId="77777777" w:rsidR="00B307DB" w:rsidRPr="00497D7C" w:rsidRDefault="00B307DB" w:rsidP="00B307DB">
      <w:pPr>
        <w:pStyle w:val="PargrafodaLista"/>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c)</w:t>
      </w:r>
      <w:r>
        <w:rPr>
          <w:rFonts w:ascii="Times New Roman" w:hAnsi="Times New Roman" w:cs="Times New Roman"/>
        </w:rPr>
        <w:t xml:space="preserve"> </w:t>
      </w:r>
      <w:r w:rsidRPr="00497D7C">
        <w:rPr>
          <w:rFonts w:ascii="Times New Roman" w:hAnsi="Times New Roman" w:cs="Times New Roman"/>
        </w:rPr>
        <w:t>Determinada por decisão arbitral, em decorrência de cláusula compromissória ou compromisso arbitral, ou por decisão judicial.</w:t>
      </w:r>
    </w:p>
    <w:p w14:paraId="61EA63B5"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15.3.1</w:t>
      </w:r>
      <w:r w:rsidRPr="00D84571">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77FFF709"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15.3.2</w:t>
      </w:r>
      <w:r w:rsidRPr="00D84571">
        <w:rPr>
          <w:rFonts w:ascii="Times New Roman" w:hAnsi="Times New Roman" w:cs="Times New Roman"/>
        </w:rPr>
        <w:t xml:space="preserve"> Quando a extinção decorrer de culpa exclusiva da Administração, o </w:t>
      </w:r>
      <w:r w:rsidRPr="00D84571">
        <w:rPr>
          <w:rFonts w:ascii="Times New Roman" w:hAnsi="Times New Roman" w:cs="Times New Roman"/>
          <w:b/>
        </w:rPr>
        <w:t>CONTRATADO</w:t>
      </w:r>
      <w:r w:rsidRPr="00D84571">
        <w:rPr>
          <w:rFonts w:ascii="Times New Roman" w:hAnsi="Times New Roman" w:cs="Times New Roman"/>
        </w:rPr>
        <w:t xml:space="preserve"> será ressarcido pelos prejuízos regularmente comprovados que houver sofrido e terá direito a:</w:t>
      </w:r>
    </w:p>
    <w:p w14:paraId="31B5093C" w14:textId="77777777" w:rsidR="00B307DB" w:rsidRPr="00497D7C" w:rsidRDefault="00B307DB" w:rsidP="00B307DB">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a)</w:t>
      </w:r>
      <w:r>
        <w:rPr>
          <w:rFonts w:ascii="Times New Roman" w:hAnsi="Times New Roman" w:cs="Times New Roman"/>
        </w:rPr>
        <w:t xml:space="preserve"> </w:t>
      </w:r>
      <w:r w:rsidRPr="00497D7C">
        <w:rPr>
          <w:rFonts w:ascii="Times New Roman" w:hAnsi="Times New Roman" w:cs="Times New Roman"/>
        </w:rPr>
        <w:t>Devolução da garantia;</w:t>
      </w:r>
    </w:p>
    <w:p w14:paraId="09300B1B" w14:textId="77777777" w:rsidR="00B307DB" w:rsidRPr="00497D7C" w:rsidRDefault="00B307DB" w:rsidP="00B307DB">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b)</w:t>
      </w:r>
      <w:r>
        <w:rPr>
          <w:rFonts w:ascii="Times New Roman" w:hAnsi="Times New Roman" w:cs="Times New Roman"/>
        </w:rPr>
        <w:t xml:space="preserve"> </w:t>
      </w:r>
      <w:r w:rsidRPr="00497D7C">
        <w:rPr>
          <w:rFonts w:ascii="Times New Roman" w:hAnsi="Times New Roman" w:cs="Times New Roman"/>
        </w:rPr>
        <w:t>Pagamentos devidos pela execução do contrato até a data de extinção;</w:t>
      </w:r>
    </w:p>
    <w:p w14:paraId="1326C927" w14:textId="77777777" w:rsidR="00B307DB" w:rsidRPr="00497D7C" w:rsidRDefault="00B307DB" w:rsidP="00B307DB">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c)</w:t>
      </w:r>
      <w:r>
        <w:rPr>
          <w:rFonts w:ascii="Times New Roman" w:hAnsi="Times New Roman" w:cs="Times New Roman"/>
        </w:rPr>
        <w:t xml:space="preserve"> </w:t>
      </w:r>
      <w:r w:rsidRPr="00497D7C">
        <w:rPr>
          <w:rFonts w:ascii="Times New Roman" w:hAnsi="Times New Roman" w:cs="Times New Roman"/>
        </w:rPr>
        <w:t>Pagamento do custo da desmobilização.</w:t>
      </w:r>
    </w:p>
    <w:p w14:paraId="51FF9570"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15.3.4</w:t>
      </w:r>
      <w:r w:rsidRPr="00D84571">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66" w:anchor="art139" w:history="1">
        <w:r w:rsidRPr="00D84571">
          <w:rPr>
            <w:rStyle w:val="Hyperlink"/>
            <w:rFonts w:ascii="Times New Roman" w:hAnsi="Times New Roman" w:cs="Times New Roman"/>
          </w:rPr>
          <w:t>art. 139 da Lei nº 14.133/2021</w:t>
        </w:r>
      </w:hyperlink>
      <w:r w:rsidRPr="00D84571">
        <w:rPr>
          <w:rFonts w:ascii="Times New Roman" w:hAnsi="Times New Roman" w:cs="Times New Roman"/>
        </w:rPr>
        <w:t>):</w:t>
      </w:r>
    </w:p>
    <w:p w14:paraId="5514D356" w14:textId="77777777" w:rsidR="00B307DB" w:rsidRPr="00497D7C" w:rsidRDefault="00B307DB" w:rsidP="00B307DB">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a)</w:t>
      </w:r>
      <w:r>
        <w:rPr>
          <w:rFonts w:ascii="Times New Roman" w:hAnsi="Times New Roman" w:cs="Times New Roman"/>
          <w:b/>
        </w:rPr>
        <w:t xml:space="preserve"> </w:t>
      </w:r>
      <w:r w:rsidRPr="00497D7C">
        <w:rPr>
          <w:rFonts w:ascii="Times New Roman" w:hAnsi="Times New Roman" w:cs="Times New Roman"/>
        </w:rPr>
        <w:t>Assunção imediata do objeto do contrato, no estado e local em que se encontrar, por ato próprio da Administração;</w:t>
      </w:r>
    </w:p>
    <w:p w14:paraId="1AFC686E" w14:textId="77777777" w:rsidR="00B307DB" w:rsidRPr="00497D7C" w:rsidRDefault="00B307DB" w:rsidP="00B307DB">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b)</w:t>
      </w:r>
      <w:r>
        <w:rPr>
          <w:rFonts w:ascii="Times New Roman" w:hAnsi="Times New Roman" w:cs="Times New Roman"/>
          <w:b/>
        </w:rPr>
        <w:t xml:space="preserve"> </w:t>
      </w:r>
      <w:r w:rsidRPr="00497D7C">
        <w:rPr>
          <w:rFonts w:ascii="Times New Roman" w:hAnsi="Times New Roman" w:cs="Times New Roman"/>
        </w:rPr>
        <w:t>Ocupação e utilização do local, das instalações, dos equipamentos, do material e do pessoal empregados na execução do contrato e necessários à sua continuidade;</w:t>
      </w:r>
    </w:p>
    <w:p w14:paraId="603F03CC" w14:textId="77777777" w:rsidR="00B307DB" w:rsidRPr="00497D7C" w:rsidRDefault="00B307DB" w:rsidP="00B307DB">
      <w:pPr>
        <w:tabs>
          <w:tab w:val="left" w:pos="426"/>
          <w:tab w:val="left" w:pos="851"/>
        </w:tabs>
        <w:spacing w:after="0" w:line="240" w:lineRule="auto"/>
        <w:ind w:left="567" w:right="-568"/>
        <w:jc w:val="both"/>
        <w:rPr>
          <w:rFonts w:ascii="Times New Roman" w:hAnsi="Times New Roman" w:cs="Times New Roman"/>
        </w:rPr>
      </w:pPr>
      <w:r w:rsidRPr="00497D7C">
        <w:rPr>
          <w:rFonts w:ascii="Times New Roman" w:hAnsi="Times New Roman" w:cs="Times New Roman"/>
          <w:b/>
        </w:rPr>
        <w:t>c)</w:t>
      </w:r>
      <w:r>
        <w:rPr>
          <w:rFonts w:ascii="Times New Roman" w:hAnsi="Times New Roman" w:cs="Times New Roman"/>
        </w:rPr>
        <w:t xml:space="preserve"> </w:t>
      </w:r>
      <w:r w:rsidRPr="00497D7C">
        <w:rPr>
          <w:rFonts w:ascii="Times New Roman" w:hAnsi="Times New Roman" w:cs="Times New Roman"/>
        </w:rPr>
        <w:t>Execução da garantia contratual para:</w:t>
      </w:r>
    </w:p>
    <w:p w14:paraId="6C81A005" w14:textId="77777777" w:rsidR="00B307DB" w:rsidRPr="00497D7C" w:rsidRDefault="00B307DB" w:rsidP="00B307DB">
      <w:pPr>
        <w:spacing w:after="0" w:line="240" w:lineRule="auto"/>
        <w:ind w:left="1276" w:right="-568"/>
        <w:jc w:val="both"/>
        <w:rPr>
          <w:rFonts w:ascii="Times New Roman" w:hAnsi="Times New Roman" w:cs="Times New Roman"/>
        </w:rPr>
      </w:pPr>
      <w:r w:rsidRPr="0010520C">
        <w:rPr>
          <w:rFonts w:ascii="Times New Roman" w:hAnsi="Times New Roman" w:cs="Times New Roman"/>
          <w:b/>
        </w:rPr>
        <w:t>i)</w:t>
      </w:r>
      <w:r>
        <w:rPr>
          <w:rFonts w:ascii="Times New Roman" w:hAnsi="Times New Roman" w:cs="Times New Roman"/>
        </w:rPr>
        <w:t xml:space="preserve"> </w:t>
      </w:r>
      <w:r w:rsidRPr="00497D7C">
        <w:rPr>
          <w:rFonts w:ascii="Times New Roman" w:hAnsi="Times New Roman" w:cs="Times New Roman"/>
        </w:rPr>
        <w:t>Ressarcimento da Administração Pública por prejuízos decorrentes da não execução;</w:t>
      </w:r>
    </w:p>
    <w:p w14:paraId="43E4C3C5" w14:textId="77777777" w:rsidR="00B307DB" w:rsidRPr="00497D7C" w:rsidRDefault="00B307DB" w:rsidP="00B307DB">
      <w:pPr>
        <w:spacing w:after="0" w:line="240" w:lineRule="auto"/>
        <w:ind w:left="1276" w:right="-568"/>
        <w:jc w:val="both"/>
        <w:rPr>
          <w:rFonts w:ascii="Times New Roman" w:hAnsi="Times New Roman" w:cs="Times New Roman"/>
        </w:rPr>
      </w:pPr>
      <w:r w:rsidRPr="0010520C">
        <w:rPr>
          <w:rFonts w:ascii="Times New Roman" w:hAnsi="Times New Roman" w:cs="Times New Roman"/>
          <w:b/>
        </w:rPr>
        <w:t>ii)</w:t>
      </w:r>
      <w:r>
        <w:rPr>
          <w:rFonts w:ascii="Times New Roman" w:hAnsi="Times New Roman" w:cs="Times New Roman"/>
        </w:rPr>
        <w:t xml:space="preserve"> </w:t>
      </w:r>
      <w:r w:rsidRPr="00497D7C">
        <w:rPr>
          <w:rFonts w:ascii="Times New Roman" w:hAnsi="Times New Roman" w:cs="Times New Roman"/>
        </w:rPr>
        <w:t>Pagamento de verbas trabalhistas, fundiárias e previdenciárias, quando cabível;</w:t>
      </w:r>
    </w:p>
    <w:p w14:paraId="3A374265" w14:textId="77777777" w:rsidR="00B307DB" w:rsidRPr="00D84571" w:rsidRDefault="00B307DB" w:rsidP="00B307DB">
      <w:pPr>
        <w:pStyle w:val="PargrafodaLista"/>
        <w:spacing w:after="0" w:line="240" w:lineRule="auto"/>
        <w:ind w:left="1276" w:right="-568"/>
        <w:contextualSpacing w:val="0"/>
        <w:jc w:val="both"/>
        <w:rPr>
          <w:rFonts w:ascii="Times New Roman" w:hAnsi="Times New Roman" w:cs="Times New Roman"/>
        </w:rPr>
      </w:pPr>
      <w:r w:rsidRPr="0010520C">
        <w:rPr>
          <w:rFonts w:ascii="Times New Roman" w:hAnsi="Times New Roman" w:cs="Times New Roman"/>
          <w:b/>
        </w:rPr>
        <w:t>iii)</w:t>
      </w:r>
      <w:r>
        <w:rPr>
          <w:rFonts w:ascii="Times New Roman" w:hAnsi="Times New Roman" w:cs="Times New Roman"/>
        </w:rPr>
        <w:t xml:space="preserve"> </w:t>
      </w:r>
      <w:r w:rsidRPr="00D84571">
        <w:rPr>
          <w:rFonts w:ascii="Times New Roman" w:hAnsi="Times New Roman" w:cs="Times New Roman"/>
        </w:rPr>
        <w:t>Pagamento das multas devidas à Administração Pública;</w:t>
      </w:r>
    </w:p>
    <w:p w14:paraId="74FAF0C2" w14:textId="77777777" w:rsidR="00B307DB" w:rsidRPr="00497D7C" w:rsidRDefault="00B307DB" w:rsidP="00B307DB">
      <w:pPr>
        <w:spacing w:after="0" w:line="240" w:lineRule="auto"/>
        <w:ind w:left="1276" w:right="-568"/>
        <w:jc w:val="both"/>
        <w:rPr>
          <w:rFonts w:ascii="Times New Roman" w:hAnsi="Times New Roman" w:cs="Times New Roman"/>
        </w:rPr>
      </w:pPr>
      <w:r w:rsidRPr="0010520C">
        <w:rPr>
          <w:rFonts w:ascii="Times New Roman" w:hAnsi="Times New Roman" w:cs="Times New Roman"/>
          <w:b/>
        </w:rPr>
        <w:t>iv)</w:t>
      </w:r>
      <w:r>
        <w:rPr>
          <w:rFonts w:ascii="Times New Roman" w:hAnsi="Times New Roman" w:cs="Times New Roman"/>
        </w:rPr>
        <w:t xml:space="preserve"> </w:t>
      </w:r>
      <w:r w:rsidRPr="00497D7C">
        <w:rPr>
          <w:rFonts w:ascii="Times New Roman" w:hAnsi="Times New Roman" w:cs="Times New Roman"/>
        </w:rPr>
        <w:t>Exigência da assunção da execução e da conclusão do objeto do contrato pela seguradora, quando cabível;</w:t>
      </w:r>
    </w:p>
    <w:p w14:paraId="59F33B09" w14:textId="77777777" w:rsidR="00B307DB" w:rsidRPr="00873898" w:rsidRDefault="00B307DB" w:rsidP="00B307DB">
      <w:pPr>
        <w:tabs>
          <w:tab w:val="left" w:pos="426"/>
        </w:tabs>
        <w:spacing w:after="0" w:line="240" w:lineRule="auto"/>
        <w:ind w:left="567" w:right="-568"/>
        <w:jc w:val="both"/>
        <w:rPr>
          <w:rFonts w:ascii="Times New Roman" w:hAnsi="Times New Roman" w:cs="Times New Roman"/>
        </w:rPr>
      </w:pPr>
      <w:r w:rsidRPr="00873898">
        <w:rPr>
          <w:rFonts w:ascii="Times New Roman" w:hAnsi="Times New Roman" w:cs="Times New Roman"/>
          <w:b/>
        </w:rPr>
        <w:t>d)</w:t>
      </w:r>
      <w:r>
        <w:rPr>
          <w:rFonts w:ascii="Times New Roman" w:hAnsi="Times New Roman" w:cs="Times New Roman"/>
        </w:rPr>
        <w:t xml:space="preserve"> </w:t>
      </w:r>
      <w:r w:rsidRPr="00873898">
        <w:rPr>
          <w:rFonts w:ascii="Times New Roman" w:hAnsi="Times New Roman" w:cs="Times New Roman"/>
        </w:rPr>
        <w:t>Retenção dos créditos decorrentes do contrato até o limite dos prejuízos causados à Administração Pública e das multas aplicadas.</w:t>
      </w:r>
    </w:p>
    <w:p w14:paraId="632CAC26"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15.4.1</w:t>
      </w:r>
      <w:r w:rsidRPr="00D84571">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43D50C84"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15.4.2</w:t>
      </w:r>
      <w:r w:rsidRPr="00D84571">
        <w:rPr>
          <w:rFonts w:ascii="Times New Roman" w:hAnsi="Times New Roman" w:cs="Times New Roman"/>
        </w:rPr>
        <w:t xml:space="preserve"> Na hipótese da letra “b”, o ato deverá ser precedido de autorização expressa do secretário municipal competente.</w:t>
      </w:r>
    </w:p>
    <w:p w14:paraId="5F4DEE35"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15.5</w:t>
      </w:r>
      <w:r w:rsidRPr="00D84571">
        <w:rPr>
          <w:rFonts w:ascii="Times New Roman" w:hAnsi="Times New Roman" w:cs="Times New Roman"/>
        </w:rPr>
        <w:t xml:space="preserve"> Os emitentes das garantias previstas no </w:t>
      </w:r>
      <w:hyperlink r:id="rId367" w:anchor="art96" w:history="1">
        <w:r w:rsidRPr="00D84571">
          <w:rPr>
            <w:rStyle w:val="Hyperlink"/>
            <w:rFonts w:ascii="Times New Roman" w:hAnsi="Times New Roman" w:cs="Times New Roman"/>
          </w:rPr>
          <w:t>art. 96 da Lei nº 14.133/2021</w:t>
        </w:r>
      </w:hyperlink>
      <w:r w:rsidRPr="00D84571">
        <w:rPr>
          <w:rFonts w:ascii="Times New Roman" w:hAnsi="Times New Roman" w:cs="Times New Roman"/>
        </w:rPr>
        <w:t xml:space="preserve"> serão notificados pelo </w:t>
      </w:r>
      <w:r w:rsidRPr="00D84571">
        <w:rPr>
          <w:rFonts w:ascii="Times New Roman" w:hAnsi="Times New Roman" w:cs="Times New Roman"/>
          <w:b/>
        </w:rPr>
        <w:t>CONTRATANTE</w:t>
      </w:r>
      <w:r w:rsidRPr="00D84571">
        <w:rPr>
          <w:rFonts w:ascii="Times New Roman" w:hAnsi="Times New Roman" w:cs="Times New Roman"/>
        </w:rPr>
        <w:t xml:space="preserve"> quanto ao início de processo administrativo para apuração de descumprimento de cláusulas contratuais (</w:t>
      </w:r>
      <w:hyperlink r:id="rId368" w:anchor="art136%C2%A74" w:history="1">
        <w:r w:rsidRPr="00D84571">
          <w:rPr>
            <w:rStyle w:val="Hyperlink"/>
            <w:rFonts w:ascii="Times New Roman" w:hAnsi="Times New Roman" w:cs="Times New Roman"/>
          </w:rPr>
          <w:t>art. 136, § 4º da Lei nº 14.133/2021</w:t>
        </w:r>
      </w:hyperlink>
      <w:r w:rsidRPr="00D84571">
        <w:rPr>
          <w:rFonts w:ascii="Times New Roman" w:hAnsi="Times New Roman" w:cs="Times New Roman"/>
        </w:rPr>
        <w:t>).</w:t>
      </w:r>
    </w:p>
    <w:p w14:paraId="4BB84151" w14:textId="77777777" w:rsidR="00B307DB" w:rsidRPr="00D84571" w:rsidRDefault="00B307DB" w:rsidP="00B307DB">
      <w:pPr>
        <w:spacing w:after="0" w:line="240" w:lineRule="auto"/>
        <w:ind w:right="-568"/>
        <w:jc w:val="both"/>
        <w:rPr>
          <w:rFonts w:ascii="Times New Roman" w:hAnsi="Times New Roman" w:cs="Times New Roman"/>
        </w:rPr>
      </w:pPr>
    </w:p>
    <w:p w14:paraId="76AEA700"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CLÁSULA DÉCIMA SEXTA: FORO (</w:t>
      </w:r>
      <w:hyperlink r:id="rId369" w:anchor="art92%C2%A71" w:history="1">
        <w:r w:rsidRPr="00D84571">
          <w:rPr>
            <w:rStyle w:val="Hyperlink"/>
            <w:rFonts w:ascii="Times New Roman" w:hAnsi="Times New Roman" w:cs="Times New Roman"/>
            <w:b/>
          </w:rPr>
          <w:t>art. 92, § 1º</w:t>
        </w:r>
      </w:hyperlink>
      <w:r w:rsidRPr="00D84571">
        <w:rPr>
          <w:rFonts w:ascii="Times New Roman" w:hAnsi="Times New Roman" w:cs="Times New Roman"/>
          <w:b/>
        </w:rPr>
        <w:t>)</w:t>
      </w:r>
    </w:p>
    <w:p w14:paraId="25499E64"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lastRenderedPageBreak/>
        <w:t>16.1</w:t>
      </w:r>
      <w:r w:rsidRPr="00D84571">
        <w:rPr>
          <w:rFonts w:ascii="Times New Roman" w:hAnsi="Times New Roman" w:cs="Times New Roman"/>
        </w:rPr>
        <w:t xml:space="preserve"> Fica eleito o Foro da Comarca de Mondai/SC, para qualquer procedimento relacionado com o cumprimento do presente Contrato. </w:t>
      </w:r>
    </w:p>
    <w:p w14:paraId="144E31AE" w14:textId="77777777" w:rsidR="00B307DB" w:rsidRPr="00D84571" w:rsidRDefault="00B307DB" w:rsidP="00B307DB">
      <w:pPr>
        <w:spacing w:after="0" w:line="240" w:lineRule="auto"/>
        <w:ind w:right="-568"/>
        <w:jc w:val="both"/>
        <w:rPr>
          <w:rFonts w:ascii="Times New Roman" w:hAnsi="Times New Roman" w:cs="Times New Roman"/>
        </w:rPr>
      </w:pPr>
      <w:r w:rsidRPr="004E6BBE">
        <w:rPr>
          <w:rFonts w:ascii="Times New Roman" w:hAnsi="Times New Roman" w:cs="Times New Roman"/>
          <w:b/>
        </w:rPr>
        <w:t>16.2</w:t>
      </w:r>
      <w:r>
        <w:rPr>
          <w:rFonts w:ascii="Times New Roman" w:hAnsi="Times New Roman" w:cs="Times New Roman"/>
        </w:rPr>
        <w:t xml:space="preserve"> </w:t>
      </w:r>
      <w:r w:rsidRPr="00D84571">
        <w:rPr>
          <w:rFonts w:ascii="Times New Roman" w:hAnsi="Times New Roman" w:cs="Times New Roman"/>
        </w:rPr>
        <w:t>E, para firmeza e validade do que aqui ficou estipulado, foi lavrado o presente termo em 02 (duas) vias de igual teor, que, depois de lido e achado conforme, é assinado pelas partes contratantes.</w:t>
      </w:r>
    </w:p>
    <w:p w14:paraId="16D4A167" w14:textId="77777777" w:rsidR="00B307DB" w:rsidRPr="00D84571" w:rsidRDefault="00B307DB" w:rsidP="00B307DB">
      <w:pPr>
        <w:spacing w:after="0" w:line="240" w:lineRule="auto"/>
        <w:ind w:right="-568"/>
        <w:jc w:val="both"/>
        <w:rPr>
          <w:rFonts w:ascii="Times New Roman" w:hAnsi="Times New Roman" w:cs="Times New Roman"/>
        </w:rPr>
      </w:pPr>
    </w:p>
    <w:p w14:paraId="7640A0F1"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SÉTIMA: PROTEÇÃO DE DADOS PESSOAIS (LGPD)</w:t>
      </w:r>
    </w:p>
    <w:p w14:paraId="286B240E"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17.1</w:t>
      </w:r>
      <w:r w:rsidRPr="00D84571">
        <w:rPr>
          <w:rFonts w:ascii="Times New Roman" w:hAnsi="Times New Roman" w:cs="Times New Roman"/>
        </w:rPr>
        <w:t xml:space="preserve"> Em atendimento ao disposto na </w:t>
      </w:r>
      <w:hyperlink r:id="rId370" w:history="1">
        <w:r w:rsidRPr="00D84571">
          <w:rPr>
            <w:rStyle w:val="Hyperlink"/>
            <w:rFonts w:ascii="Times New Roman" w:hAnsi="Times New Roman" w:cs="Times New Roman"/>
          </w:rPr>
          <w:t>Lei nº 13.709/2018 – Lei Geral de Proteção de Dados Pessoais (LGPD)</w:t>
        </w:r>
      </w:hyperlink>
      <w:r w:rsidRPr="00D84571">
        <w:rPr>
          <w:rFonts w:ascii="Times New Roman" w:hAnsi="Times New Roman" w:cs="Times New Roman"/>
        </w:rPr>
        <w:t>, o CONTRATANTE, para a execução do objeto deste contrato, poderá, quando necessário, ter acesso aos dados pessoais dos representantes da CONTRATADA.</w:t>
      </w:r>
    </w:p>
    <w:p w14:paraId="3152F325"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17.2</w:t>
      </w:r>
      <w:r w:rsidRPr="00D84571">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5646A5E9" w14:textId="77777777" w:rsidR="00B307DB" w:rsidRPr="00D84571" w:rsidRDefault="00B307DB" w:rsidP="00B307DB">
      <w:pPr>
        <w:pStyle w:val="PargrafodaLista"/>
        <w:numPr>
          <w:ilvl w:val="0"/>
          <w:numId w:val="24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O tratamento de dados pessoais dar-se-á de acordo com as bases legais previstas nas hipóteses dos arts. </w:t>
      </w:r>
      <w:hyperlink r:id="rId371" w:anchor="art7" w:history="1">
        <w:r w:rsidRPr="00D84571">
          <w:rPr>
            <w:rStyle w:val="Hyperlink"/>
            <w:rFonts w:ascii="Times New Roman" w:hAnsi="Times New Roman" w:cs="Times New Roman"/>
          </w:rPr>
          <w:t>7º</w:t>
        </w:r>
      </w:hyperlink>
      <w:r w:rsidRPr="00D84571">
        <w:rPr>
          <w:rFonts w:ascii="Times New Roman" w:hAnsi="Times New Roman" w:cs="Times New Roman"/>
        </w:rPr>
        <w:t xml:space="preserve">, </w:t>
      </w:r>
      <w:hyperlink r:id="rId372" w:anchor="art11" w:history="1">
        <w:r w:rsidRPr="00D84571">
          <w:rPr>
            <w:rStyle w:val="Hyperlink"/>
            <w:rFonts w:ascii="Times New Roman" w:hAnsi="Times New Roman" w:cs="Times New Roman"/>
          </w:rPr>
          <w:t>11</w:t>
        </w:r>
      </w:hyperlink>
      <w:r w:rsidRPr="00D84571">
        <w:rPr>
          <w:rFonts w:ascii="Times New Roman" w:hAnsi="Times New Roman" w:cs="Times New Roman"/>
        </w:rPr>
        <w:t xml:space="preserve"> e/ou </w:t>
      </w:r>
      <w:hyperlink r:id="rId373" w:anchor="art14" w:history="1">
        <w:r w:rsidRPr="00D84571">
          <w:rPr>
            <w:rStyle w:val="Hyperlink"/>
            <w:rFonts w:ascii="Times New Roman" w:hAnsi="Times New Roman" w:cs="Times New Roman"/>
          </w:rPr>
          <w:t>14</w:t>
        </w:r>
      </w:hyperlink>
      <w:r w:rsidRPr="00D84571">
        <w:rPr>
          <w:rFonts w:ascii="Times New Roman" w:hAnsi="Times New Roman" w:cs="Times New Roman"/>
        </w:rPr>
        <w:t xml:space="preserve"> da </w:t>
      </w:r>
      <w:hyperlink r:id="rId374" w:history="1">
        <w:r w:rsidRPr="00D84571">
          <w:rPr>
            <w:rStyle w:val="Hyperlink"/>
            <w:rFonts w:ascii="Times New Roman" w:hAnsi="Times New Roman" w:cs="Times New Roman"/>
          </w:rPr>
          <w:t>Lei nº 13.709/2018 (LGPD)</w:t>
        </w:r>
      </w:hyperlink>
      <w:r w:rsidRPr="00D84571">
        <w:rPr>
          <w:rFonts w:ascii="Times New Roman" w:hAnsi="Times New Roman" w:cs="Times New Roman"/>
        </w:rPr>
        <w:t>, às quais se submeterão os serviços, e para propósitos legítimos, específicos, explícitos e informados ao titular;</w:t>
      </w:r>
    </w:p>
    <w:p w14:paraId="6F57C2D1" w14:textId="77777777" w:rsidR="00B307DB" w:rsidRPr="00D84571" w:rsidRDefault="00B307DB" w:rsidP="00B307DB">
      <w:pPr>
        <w:pStyle w:val="PargrafodaLista"/>
        <w:numPr>
          <w:ilvl w:val="0"/>
          <w:numId w:val="24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14D9D0B4" w14:textId="77777777" w:rsidR="00B307DB" w:rsidRPr="00D84571" w:rsidRDefault="00B307DB" w:rsidP="00B307DB">
      <w:pPr>
        <w:pStyle w:val="PargrafodaLista"/>
        <w:numPr>
          <w:ilvl w:val="0"/>
          <w:numId w:val="24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032837C6" w14:textId="77777777" w:rsidR="00B307DB" w:rsidRPr="004E6BBE" w:rsidRDefault="00B307DB" w:rsidP="00B307DB">
      <w:pPr>
        <w:spacing w:after="0" w:line="240" w:lineRule="auto"/>
        <w:ind w:left="1985" w:right="-568"/>
        <w:jc w:val="both"/>
        <w:rPr>
          <w:rFonts w:ascii="Times New Roman" w:hAnsi="Times New Roman" w:cs="Times New Roman"/>
        </w:rPr>
      </w:pPr>
      <w:r w:rsidRPr="0010520C">
        <w:rPr>
          <w:rFonts w:ascii="Times New Roman" w:hAnsi="Times New Roman" w:cs="Times New Roman"/>
          <w:b/>
        </w:rPr>
        <w:t>i)</w:t>
      </w:r>
      <w:r w:rsidRPr="004E6BBE">
        <w:rPr>
          <w:rFonts w:ascii="Times New Roman" w:hAnsi="Times New Roman" w:cs="Times New Roman"/>
        </w:rPr>
        <w:t xml:space="preserve"> Eventualmente, podem as partes convencionar que o CONTRATANTE será responsável por obter o consentimento dos titulares;</w:t>
      </w:r>
    </w:p>
    <w:p w14:paraId="38F06B1D" w14:textId="77777777" w:rsidR="00B307DB" w:rsidRPr="00D84571" w:rsidRDefault="00B307DB" w:rsidP="00B307DB">
      <w:pPr>
        <w:pStyle w:val="PargrafodaLista"/>
        <w:numPr>
          <w:ilvl w:val="0"/>
          <w:numId w:val="248"/>
        </w:numPr>
        <w:tabs>
          <w:tab w:val="left" w:pos="426"/>
        </w:tabs>
        <w:spacing w:after="0" w:line="240" w:lineRule="auto"/>
        <w:ind w:left="1134" w:right="-568" w:firstLine="0"/>
        <w:contextualSpacing w:val="0"/>
        <w:jc w:val="both"/>
        <w:rPr>
          <w:rFonts w:ascii="Times New Roman" w:hAnsi="Times New Roman" w:cs="Times New Roman"/>
        </w:rPr>
      </w:pPr>
      <w:r w:rsidRPr="00D84571">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7A4A1C9D" w14:textId="77777777" w:rsidR="00B307DB" w:rsidRPr="00D84571" w:rsidRDefault="00B307DB" w:rsidP="00B307DB">
      <w:pPr>
        <w:pStyle w:val="PargrafodaLista"/>
        <w:spacing w:after="0" w:line="240" w:lineRule="auto"/>
        <w:ind w:left="1985" w:right="-568"/>
        <w:contextualSpacing w:val="0"/>
        <w:jc w:val="both"/>
        <w:rPr>
          <w:rFonts w:ascii="Times New Roman" w:hAnsi="Times New Roman" w:cs="Times New Roman"/>
        </w:rPr>
      </w:pPr>
      <w:r w:rsidRPr="0010520C">
        <w:rPr>
          <w:rFonts w:ascii="Times New Roman" w:hAnsi="Times New Roman" w:cs="Times New Roman"/>
          <w:b/>
        </w:rPr>
        <w:t>i)</w:t>
      </w:r>
      <w:r>
        <w:rPr>
          <w:rFonts w:ascii="Times New Roman" w:hAnsi="Times New Roman" w:cs="Times New Roman"/>
        </w:rPr>
        <w:t xml:space="preserve"> </w:t>
      </w:r>
      <w:r w:rsidRPr="00D84571">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838A528" w14:textId="77777777" w:rsidR="00B307DB" w:rsidRPr="00D84571" w:rsidRDefault="00B307DB" w:rsidP="00B307DB">
      <w:pPr>
        <w:spacing w:after="0" w:line="240" w:lineRule="auto"/>
        <w:ind w:right="-568"/>
        <w:jc w:val="both"/>
        <w:rPr>
          <w:rFonts w:ascii="Times New Roman" w:hAnsi="Times New Roman" w:cs="Times New Roman"/>
          <w:iCs/>
        </w:rPr>
      </w:pPr>
      <w:r w:rsidRPr="00D84571">
        <w:rPr>
          <w:rFonts w:ascii="Times New Roman" w:hAnsi="Times New Roman" w:cs="Times New Roman"/>
          <w:b/>
        </w:rPr>
        <w:t>17.3</w:t>
      </w:r>
      <w:r w:rsidRPr="00D84571">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Pr="00D84571">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75" w:history="1">
        <w:r w:rsidRPr="00D84571">
          <w:rPr>
            <w:rStyle w:val="Hyperlink"/>
            <w:rFonts w:ascii="Times New Roman" w:hAnsi="Times New Roman" w:cs="Times New Roman"/>
            <w:iCs/>
          </w:rPr>
          <w:t>Lei nº 13.709/2018 (LGPD)</w:t>
        </w:r>
      </w:hyperlink>
      <w:r w:rsidRPr="00D84571">
        <w:rPr>
          <w:rFonts w:ascii="Times New Roman" w:hAnsi="Times New Roman" w:cs="Times New Roman"/>
          <w:iCs/>
        </w:rPr>
        <w:t>.</w:t>
      </w:r>
    </w:p>
    <w:p w14:paraId="00249539" w14:textId="77777777" w:rsidR="00B307DB" w:rsidRPr="00D84571" w:rsidRDefault="00B307DB" w:rsidP="00B307DB">
      <w:pPr>
        <w:spacing w:after="0" w:line="240" w:lineRule="auto"/>
        <w:ind w:right="-568"/>
        <w:jc w:val="both"/>
        <w:rPr>
          <w:rFonts w:ascii="Times New Roman" w:hAnsi="Times New Roman" w:cs="Times New Roman"/>
          <w:iCs/>
        </w:rPr>
      </w:pPr>
      <w:r w:rsidRPr="00D84571">
        <w:rPr>
          <w:rFonts w:ascii="Times New Roman" w:hAnsi="Times New Roman" w:cs="Times New Roman"/>
          <w:b/>
          <w:iCs/>
        </w:rPr>
        <w:t>17.4</w:t>
      </w:r>
      <w:r w:rsidRPr="00D84571">
        <w:rPr>
          <w:rFonts w:ascii="Times New Roman" w:hAnsi="Times New Roman" w:cs="Times New Roman"/>
          <w:iCs/>
        </w:rPr>
        <w:t xml:space="preserve"> Os dados pessoais não poderão ser revelados, </w:t>
      </w:r>
      <w:r w:rsidRPr="00D84571">
        <w:rPr>
          <w:rFonts w:ascii="Times New Roman" w:hAnsi="Times New Roman" w:cs="Times New Roman"/>
        </w:rPr>
        <w:t>transferidos, compartilhados, comunicados ou de qualquer outra forma facultar acesso, no todo ou em parte,</w:t>
      </w:r>
      <w:r w:rsidRPr="00D84571">
        <w:rPr>
          <w:rFonts w:ascii="Times New Roman" w:hAnsi="Times New Roman" w:cs="Times New Roman"/>
          <w:iCs/>
        </w:rPr>
        <w:t xml:space="preserve"> a terceiros, </w:t>
      </w:r>
      <w:r w:rsidRPr="00D84571">
        <w:rPr>
          <w:rFonts w:ascii="Times New Roman" w:hAnsi="Times New Roman" w:cs="Times New Roman"/>
        </w:rPr>
        <w:t>mesmo de forma agregada ou anonimizada</w:t>
      </w:r>
      <w:r w:rsidRPr="00D84571">
        <w:rPr>
          <w:rFonts w:ascii="Times New Roman" w:hAnsi="Times New Roman" w:cs="Times New Roman"/>
          <w:iCs/>
        </w:rPr>
        <w:t xml:space="preserve">, com exceção da prévia autorização por escrito da </w:t>
      </w:r>
      <w:r w:rsidRPr="00D84571">
        <w:rPr>
          <w:rFonts w:ascii="Times New Roman" w:hAnsi="Times New Roman" w:cs="Times New Roman"/>
          <w:bCs/>
          <w:iCs/>
        </w:rPr>
        <w:t>CONTRATANTE</w:t>
      </w:r>
      <w:r w:rsidRPr="00D84571">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167D6D32"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17.5</w:t>
      </w:r>
      <w:r w:rsidRPr="00D84571">
        <w:rPr>
          <w:rFonts w:ascii="Times New Roman" w:hAnsi="Times New Roman" w:cs="Times New Roman"/>
        </w:rPr>
        <w:t xml:space="preserve"> No caso de haver transferência internacional de dados pessoais pela CONTRATADA, aplicam-se as regras previstas no Decreto Municipal nº 4481/2022, que regulamenta a </w:t>
      </w:r>
      <w:hyperlink r:id="rId376" w:history="1">
        <w:r w:rsidRPr="00D84571">
          <w:rPr>
            <w:rStyle w:val="Hyperlink"/>
            <w:rFonts w:ascii="Times New Roman" w:hAnsi="Times New Roman" w:cs="Times New Roman"/>
            <w:iCs/>
          </w:rPr>
          <w:t>Lei nº 13.709/2018 (LGPD)</w:t>
        </w:r>
      </w:hyperlink>
      <w:r w:rsidRPr="00D84571">
        <w:rPr>
          <w:rFonts w:ascii="Times New Roman" w:hAnsi="Times New Roman" w:cs="Times New Roman"/>
        </w:rPr>
        <w:t xml:space="preserve">. </w:t>
      </w:r>
    </w:p>
    <w:p w14:paraId="64D2E790"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17.6</w:t>
      </w:r>
      <w:r w:rsidRPr="00D84571">
        <w:rPr>
          <w:rFonts w:ascii="Times New Roman" w:hAnsi="Times New Roman" w:cs="Times New Roman"/>
        </w:rPr>
        <w:t xml:space="preserve"> A CONTRATADA oferecerá garantias suficientes em relação às medidas de segurança </w:t>
      </w:r>
      <w:r w:rsidRPr="00D84571">
        <w:rPr>
          <w:rFonts w:ascii="Times New Roman" w:hAnsi="Times New Roman" w:cs="Times New Roman"/>
          <w:iCs/>
        </w:rPr>
        <w:t>administrativas</w:t>
      </w:r>
      <w:r w:rsidRPr="00D84571">
        <w:rPr>
          <w:rFonts w:ascii="Times New Roman" w:hAnsi="Times New Roman" w:cs="Times New Roman"/>
        </w:rPr>
        <w:t>, organizativas, técnicas</w:t>
      </w:r>
      <w:r w:rsidRPr="00D84571">
        <w:rPr>
          <w:rFonts w:ascii="Times New Roman" w:hAnsi="Times New Roman" w:cs="Times New Roman"/>
          <w:iCs/>
        </w:rPr>
        <w:t xml:space="preserve"> e físicas apropriadas para proteger a confidencialidade e integridade de todos os dados pessoais</w:t>
      </w:r>
      <w:r w:rsidRPr="00D84571">
        <w:rPr>
          <w:rFonts w:ascii="Times New Roman" w:hAnsi="Times New Roman" w:cs="Times New Roman"/>
        </w:rPr>
        <w:t xml:space="preserve"> e as especificará formalmente ao CONTRATANTE, não compartilhando dados que lhe sejam remetidos com terceiros.</w:t>
      </w:r>
    </w:p>
    <w:p w14:paraId="0A0A63B4"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17.7</w:t>
      </w:r>
      <w:r w:rsidRPr="00D84571">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w:t>
      </w:r>
      <w:r w:rsidRPr="00D84571">
        <w:rPr>
          <w:rFonts w:ascii="Times New Roman" w:hAnsi="Times New Roman" w:cs="Times New Roman"/>
        </w:rPr>
        <w:lastRenderedPageBreak/>
        <w:t xml:space="preserve">implicar a sua transmissão </w:t>
      </w:r>
      <w:r w:rsidRPr="00D84571">
        <w:rPr>
          <w:rFonts w:ascii="Times New Roman" w:hAnsi="Times New Roman" w:cs="Times New Roman"/>
          <w:iCs/>
        </w:rPr>
        <w:t>eletrônica</w:t>
      </w:r>
      <w:r w:rsidRPr="00D84571">
        <w:rPr>
          <w:rFonts w:ascii="Times New Roman" w:hAnsi="Times New Roman" w:cs="Times New Roman"/>
        </w:rPr>
        <w:t>, e contra qualquer outra forma de tratamento ilícito, atendendo aos conhecimentos técnicos disponíveis e aos custos resultantes da sua aplicação.</w:t>
      </w:r>
    </w:p>
    <w:p w14:paraId="4B9F94A8"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17.8</w:t>
      </w:r>
      <w:r w:rsidRPr="00D84571">
        <w:rPr>
          <w:rFonts w:ascii="Times New Roman" w:hAnsi="Times New Roman" w:cs="Times New Roman"/>
        </w:rPr>
        <w:t xml:space="preserve"> As partes zelarão pelo cumprimento das medidas de segurança.</w:t>
      </w:r>
    </w:p>
    <w:p w14:paraId="4416C793"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17.9</w:t>
      </w:r>
      <w:r w:rsidRPr="00D84571">
        <w:rPr>
          <w:rFonts w:ascii="Times New Roman" w:hAnsi="Times New Roman" w:cs="Times New Roman"/>
        </w:rPr>
        <w:t xml:space="preserve"> </w:t>
      </w:r>
      <w:r w:rsidRPr="00D84571">
        <w:rPr>
          <w:rFonts w:ascii="Times New Roman" w:hAnsi="Times New Roman" w:cs="Times New Roman"/>
          <w:iCs/>
        </w:rPr>
        <w:t xml:space="preserve">A </w:t>
      </w:r>
      <w:r w:rsidRPr="00D84571">
        <w:rPr>
          <w:rFonts w:ascii="Times New Roman" w:hAnsi="Times New Roman" w:cs="Times New Roman"/>
          <w:bCs/>
          <w:iCs/>
        </w:rPr>
        <w:t>CONTRATADA</w:t>
      </w:r>
      <w:r w:rsidRPr="00D84571">
        <w:rPr>
          <w:rFonts w:ascii="Times New Roman" w:hAnsi="Times New Roman" w:cs="Times New Roman"/>
          <w:iCs/>
        </w:rPr>
        <w:t xml:space="preserve"> deverá acessar os dados dentro de seu escopo e na medida abrangida por sua permissão de acesso (autorização). </w:t>
      </w:r>
      <w:r w:rsidRPr="00D84571">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38F32460" w14:textId="77777777" w:rsidR="00B307DB" w:rsidRPr="00D84571" w:rsidRDefault="00B307DB" w:rsidP="00B307DB">
      <w:pPr>
        <w:spacing w:after="0" w:line="240" w:lineRule="auto"/>
        <w:ind w:right="-568"/>
        <w:jc w:val="both"/>
        <w:rPr>
          <w:rFonts w:ascii="Times New Roman" w:hAnsi="Times New Roman" w:cs="Times New Roman"/>
          <w:bCs/>
          <w:iCs/>
        </w:rPr>
      </w:pPr>
      <w:r w:rsidRPr="00D84571">
        <w:rPr>
          <w:rFonts w:ascii="Times New Roman" w:hAnsi="Times New Roman" w:cs="Times New Roman"/>
          <w:b/>
          <w:iCs/>
        </w:rPr>
        <w:t>17.10</w:t>
      </w:r>
      <w:r w:rsidRPr="00D84571">
        <w:rPr>
          <w:rFonts w:ascii="Times New Roman" w:hAnsi="Times New Roman" w:cs="Times New Roman"/>
          <w:iCs/>
        </w:rPr>
        <w:t xml:space="preserve"> A </w:t>
      </w:r>
      <w:r w:rsidRPr="00D84571">
        <w:rPr>
          <w:rFonts w:ascii="Times New Roman" w:hAnsi="Times New Roman" w:cs="Times New Roman"/>
          <w:bCs/>
          <w:iCs/>
        </w:rPr>
        <w:t>CONTRATADA</w:t>
      </w:r>
      <w:r w:rsidRPr="00D84571">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D84571">
        <w:rPr>
          <w:rFonts w:ascii="Times New Roman" w:hAnsi="Times New Roman" w:cs="Times New Roman"/>
          <w:bCs/>
          <w:iCs/>
        </w:rPr>
        <w:t>CONTRATANTE,</w:t>
      </w:r>
      <w:r w:rsidRPr="00D84571">
        <w:rPr>
          <w:rFonts w:ascii="Times New Roman" w:hAnsi="Times New Roman" w:cs="Times New Roman"/>
          <w:iCs/>
        </w:rPr>
        <w:t xml:space="preserve"> assinaram Acordo de Confidencialidade com a </w:t>
      </w:r>
      <w:r w:rsidRPr="00D84571">
        <w:rPr>
          <w:rFonts w:ascii="Times New Roman" w:hAnsi="Times New Roman" w:cs="Times New Roman"/>
          <w:bCs/>
          <w:iCs/>
        </w:rPr>
        <w:t>CONTRATADA.</w:t>
      </w:r>
    </w:p>
    <w:p w14:paraId="62C745C6"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iCs/>
        </w:rPr>
        <w:t>17.10.1</w:t>
      </w:r>
      <w:r w:rsidRPr="00D84571">
        <w:rPr>
          <w:rFonts w:ascii="Times New Roman" w:hAnsi="Times New Roman" w:cs="Times New Roman"/>
          <w:iCs/>
        </w:rPr>
        <w:t xml:space="preserve"> Ainda a CONTRATADA treinará e orientará a sua equipe sobre as disposições legais aplicáveis em relação à proteção de dados, </w:t>
      </w:r>
      <w:r w:rsidRPr="00D84571">
        <w:rPr>
          <w:rFonts w:ascii="Times New Roman" w:hAnsi="Times New Roman" w:cs="Times New Roman"/>
        </w:rPr>
        <w:t>assim fornecendo conhecimento formal sobre as obrigações e condições acordadas neste contrato, inclusive no tocante à Política de Privacidade do CONTRATANTE.</w:t>
      </w:r>
    </w:p>
    <w:p w14:paraId="11CCA109"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17.11</w:t>
      </w:r>
      <w:r w:rsidRPr="00D84571">
        <w:rPr>
          <w:rFonts w:ascii="Times New Roman" w:hAnsi="Times New Roman" w:cs="Times New Roman"/>
        </w:rPr>
        <w:t xml:space="preserve"> As partes cooperarão entre si no cumprimento das obrigações referentes ao exercício dos direitos dos Titulares previstos na </w:t>
      </w:r>
      <w:hyperlink r:id="rId377" w:history="1">
        <w:r w:rsidRPr="00D84571">
          <w:rPr>
            <w:rStyle w:val="Hyperlink"/>
            <w:rFonts w:ascii="Times New Roman" w:hAnsi="Times New Roman" w:cs="Times New Roman"/>
            <w:iCs/>
          </w:rPr>
          <w:t>Lei nº 13.709/2018 (LGPD)</w:t>
        </w:r>
      </w:hyperlink>
      <w:r w:rsidRPr="00D84571">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724AA385"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17.12</w:t>
      </w:r>
      <w:r w:rsidRPr="00D84571">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378" w:history="1">
        <w:r w:rsidRPr="00D84571">
          <w:rPr>
            <w:rStyle w:val="Hyperlink"/>
            <w:rFonts w:ascii="Times New Roman" w:hAnsi="Times New Roman" w:cs="Times New Roman"/>
            <w:iCs/>
          </w:rPr>
          <w:t>Lei nº 13.709/2018 (LGPD)</w:t>
        </w:r>
      </w:hyperlink>
      <w:r w:rsidRPr="00D84571">
        <w:rPr>
          <w:rFonts w:ascii="Times New Roman" w:hAnsi="Times New Roman" w:cs="Times New Roman"/>
        </w:rPr>
        <w:t xml:space="preserve"> e Leis e Regulamentos de Proteção de Dados em vigor.</w:t>
      </w:r>
    </w:p>
    <w:p w14:paraId="34700992"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17.13</w:t>
      </w:r>
      <w:r w:rsidRPr="00D84571">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D84571">
        <w:rPr>
          <w:rFonts w:ascii="Times New Roman" w:hAnsi="Times New Roman" w:cs="Times New Roman"/>
          <w:iCs/>
        </w:rPr>
        <w:t>(ainda que suspeito)</w:t>
      </w:r>
      <w:r w:rsidRPr="00D84571">
        <w:rPr>
          <w:rFonts w:ascii="Times New Roman" w:hAnsi="Times New Roman" w:cs="Times New Roman"/>
        </w:rPr>
        <w:t>, q</w:t>
      </w:r>
      <w:r w:rsidRPr="00D84571">
        <w:rPr>
          <w:rFonts w:ascii="Times New Roman" w:hAnsi="Times New Roman" w:cs="Times New Roman"/>
          <w:iCs/>
        </w:rPr>
        <w:t xml:space="preserve">ualquer não cumprimento (ainda que suspeito) das disposições legais relativas à proteção de Dados Pessoais </w:t>
      </w:r>
      <w:r w:rsidRPr="00D84571">
        <w:rPr>
          <w:rFonts w:ascii="Times New Roman" w:hAnsi="Times New Roman" w:cs="Times New Roman"/>
        </w:rPr>
        <w:t xml:space="preserve">ou qualquer forma de tratamento inadequado ou ilícito, bem como adotar as providências dispostas no </w:t>
      </w:r>
      <w:hyperlink r:id="rId379" w:anchor="art48" w:history="1">
        <w:r w:rsidRPr="00D84571">
          <w:rPr>
            <w:rStyle w:val="Hyperlink"/>
            <w:rFonts w:ascii="Times New Roman" w:hAnsi="Times New Roman" w:cs="Times New Roman"/>
          </w:rPr>
          <w:t xml:space="preserve">art. 48 da </w:t>
        </w:r>
        <w:r w:rsidRPr="00D84571">
          <w:rPr>
            <w:rStyle w:val="Hyperlink"/>
            <w:rFonts w:ascii="Times New Roman" w:hAnsi="Times New Roman" w:cs="Times New Roman"/>
            <w:iCs/>
          </w:rPr>
          <w:t>Lei nº 13.709/2018 (LGPD)</w:t>
        </w:r>
      </w:hyperlink>
      <w:r w:rsidRPr="00D84571">
        <w:rPr>
          <w:rFonts w:ascii="Times New Roman" w:hAnsi="Times New Roman" w:cs="Times New Roman"/>
        </w:rPr>
        <w:t>, devendo a parte responsável, em até 10 (dez) dias corridos, tomar as medidas necessárias.</w:t>
      </w:r>
    </w:p>
    <w:p w14:paraId="492C0160"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17.14</w:t>
      </w:r>
      <w:r w:rsidRPr="00D84571">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383DA9D3"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17.15</w:t>
      </w:r>
      <w:r w:rsidRPr="00D84571">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80" w:history="1">
        <w:r w:rsidRPr="00D84571">
          <w:rPr>
            <w:rStyle w:val="Hyperlink"/>
            <w:rFonts w:ascii="Times New Roman" w:hAnsi="Times New Roman" w:cs="Times New Roman"/>
            <w:iCs/>
          </w:rPr>
          <w:t>Lei nº 13.709/2018 (LGPD)</w:t>
        </w:r>
      </w:hyperlink>
      <w:r w:rsidRPr="00D84571">
        <w:rPr>
          <w:rFonts w:ascii="Times New Roman" w:hAnsi="Times New Roman" w:cs="Times New Roman"/>
        </w:rPr>
        <w:t>.</w:t>
      </w:r>
    </w:p>
    <w:p w14:paraId="30A8D759"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17.15.1</w:t>
      </w:r>
      <w:r w:rsidRPr="00D84571">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585A470D"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17.16</w:t>
      </w:r>
      <w:r w:rsidRPr="00D84571">
        <w:rPr>
          <w:rFonts w:ascii="Times New Roman" w:hAnsi="Times New Roman" w:cs="Times New Roman"/>
        </w:rPr>
        <w:t xml:space="preserve"> Eventuais responsabilidades das partes, serão apuradas conforme estabelecido neste contrato e também de acordo com o que dispõe a </w:t>
      </w:r>
      <w:hyperlink r:id="rId381" w:anchor="art42" w:history="1">
        <w:r w:rsidRPr="00D84571">
          <w:rPr>
            <w:rStyle w:val="Hyperlink"/>
            <w:rFonts w:ascii="Times New Roman" w:hAnsi="Times New Roman" w:cs="Times New Roman"/>
          </w:rPr>
          <w:t xml:space="preserve">Seção III, Capítulo VI da </w:t>
        </w:r>
        <w:r w:rsidRPr="00D84571">
          <w:rPr>
            <w:rStyle w:val="Hyperlink"/>
            <w:rFonts w:ascii="Times New Roman" w:hAnsi="Times New Roman" w:cs="Times New Roman"/>
            <w:iCs/>
          </w:rPr>
          <w:t>Lei nº 13.709/2018 (LGPD)</w:t>
        </w:r>
      </w:hyperlink>
      <w:r w:rsidRPr="00D84571">
        <w:rPr>
          <w:rFonts w:ascii="Times New Roman" w:hAnsi="Times New Roman" w:cs="Times New Roman"/>
        </w:rPr>
        <w:t>.</w:t>
      </w:r>
    </w:p>
    <w:p w14:paraId="1A648FC6" w14:textId="77777777" w:rsidR="00B307DB" w:rsidRPr="00D84571" w:rsidRDefault="00B307DB" w:rsidP="00B307DB">
      <w:pPr>
        <w:spacing w:after="0" w:line="240" w:lineRule="auto"/>
        <w:ind w:right="-568"/>
        <w:jc w:val="both"/>
        <w:rPr>
          <w:rFonts w:ascii="Times New Roman" w:hAnsi="Times New Roman" w:cs="Times New Roman"/>
          <w:iCs/>
        </w:rPr>
      </w:pPr>
      <w:r w:rsidRPr="00D84571">
        <w:rPr>
          <w:rFonts w:ascii="Times New Roman" w:hAnsi="Times New Roman" w:cs="Times New Roman"/>
          <w:b/>
          <w:iCs/>
        </w:rPr>
        <w:t>17.16.1</w:t>
      </w:r>
      <w:r w:rsidRPr="00D84571">
        <w:rPr>
          <w:rFonts w:ascii="Times New Roman" w:hAnsi="Times New Roman" w:cs="Times New Roman"/>
          <w:iCs/>
        </w:rPr>
        <w:t xml:space="preserve"> A </w:t>
      </w:r>
      <w:r w:rsidRPr="00D84571">
        <w:rPr>
          <w:rFonts w:ascii="Times New Roman" w:hAnsi="Times New Roman" w:cs="Times New Roman"/>
          <w:bCs/>
          <w:iCs/>
        </w:rPr>
        <w:t xml:space="preserve">CONTRATADA </w:t>
      </w:r>
      <w:r w:rsidRPr="00D84571">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Pr="00D84571">
        <w:rPr>
          <w:rFonts w:ascii="Times New Roman" w:hAnsi="Times New Roman" w:cs="Times New Roman"/>
          <w:bCs/>
          <w:iCs/>
        </w:rPr>
        <w:t>CONTRATANTE</w:t>
      </w:r>
      <w:r w:rsidRPr="00D84571">
        <w:rPr>
          <w:rFonts w:ascii="Times New Roman" w:hAnsi="Times New Roman" w:cs="Times New Roman"/>
          <w:iCs/>
        </w:rPr>
        <w:t xml:space="preserve"> e/ou a terceiros diretamente resultantes do descumprimento pela </w:t>
      </w:r>
      <w:r w:rsidRPr="00D84571">
        <w:rPr>
          <w:rFonts w:ascii="Times New Roman" w:hAnsi="Times New Roman" w:cs="Times New Roman"/>
          <w:bCs/>
          <w:iCs/>
        </w:rPr>
        <w:t xml:space="preserve">CONTRATADA </w:t>
      </w:r>
      <w:r w:rsidRPr="00D84571">
        <w:rPr>
          <w:rFonts w:ascii="Times New Roman" w:hAnsi="Times New Roman" w:cs="Times New Roman"/>
          <w:iCs/>
        </w:rPr>
        <w:t>de qualquer das cláusulas previstas neste capítulo quanto a proteção e uso dos dados pessoais.</w:t>
      </w:r>
    </w:p>
    <w:p w14:paraId="1EEC4E70" w14:textId="77777777" w:rsidR="00B307DB" w:rsidRPr="00D84571" w:rsidRDefault="00B307DB" w:rsidP="00B307DB">
      <w:pPr>
        <w:spacing w:after="0" w:line="240" w:lineRule="auto"/>
        <w:ind w:right="-568"/>
        <w:jc w:val="both"/>
        <w:rPr>
          <w:rFonts w:ascii="Times New Roman" w:hAnsi="Times New Roman" w:cs="Times New Roman"/>
          <w:iCs/>
        </w:rPr>
      </w:pPr>
    </w:p>
    <w:p w14:paraId="6A89D84E" w14:textId="77777777" w:rsidR="00B307DB" w:rsidRPr="00D84571" w:rsidRDefault="00B307DB" w:rsidP="00B307DB">
      <w:pPr>
        <w:shd w:val="clear" w:color="auto" w:fill="A6A6A6" w:themeFill="background1" w:themeFillShade="A6"/>
        <w:spacing w:after="0" w:line="240" w:lineRule="auto"/>
        <w:ind w:right="-568"/>
        <w:jc w:val="both"/>
        <w:rPr>
          <w:rFonts w:ascii="Times New Roman" w:hAnsi="Times New Roman" w:cs="Times New Roman"/>
          <w:b/>
        </w:rPr>
      </w:pPr>
      <w:r w:rsidRPr="00D84571">
        <w:rPr>
          <w:rFonts w:ascii="Times New Roman" w:hAnsi="Times New Roman" w:cs="Times New Roman"/>
          <w:b/>
        </w:rPr>
        <w:t>CLÁUSULA DÉCIMA OITAVA: PUBLICAÇÃO</w:t>
      </w:r>
    </w:p>
    <w:p w14:paraId="453C1C53" w14:textId="77777777" w:rsidR="00B307DB" w:rsidRPr="00D84571" w:rsidRDefault="00B307DB" w:rsidP="00B307DB">
      <w:pPr>
        <w:spacing w:after="0" w:line="240" w:lineRule="auto"/>
        <w:ind w:right="-568"/>
        <w:jc w:val="both"/>
        <w:rPr>
          <w:rFonts w:ascii="Times New Roman" w:hAnsi="Times New Roman" w:cs="Times New Roman"/>
        </w:rPr>
      </w:pPr>
      <w:r w:rsidRPr="00D84571">
        <w:rPr>
          <w:rFonts w:ascii="Times New Roman" w:hAnsi="Times New Roman" w:cs="Times New Roman"/>
          <w:b/>
        </w:rPr>
        <w:t>1</w:t>
      </w:r>
      <w:r>
        <w:rPr>
          <w:rFonts w:ascii="Times New Roman" w:hAnsi="Times New Roman" w:cs="Times New Roman"/>
          <w:b/>
        </w:rPr>
        <w:t>8.1</w:t>
      </w:r>
      <w:r w:rsidRPr="00D84571">
        <w:rPr>
          <w:rFonts w:ascii="Times New Roman" w:hAnsi="Times New Roman" w:cs="Times New Roman"/>
        </w:rPr>
        <w:t xml:space="preserve"> Este contrato será publ</w:t>
      </w:r>
      <w:r>
        <w:rPr>
          <w:rFonts w:ascii="Times New Roman" w:hAnsi="Times New Roman" w:cs="Times New Roman"/>
        </w:rPr>
        <w:t>icado no prazo máximo de 20 (vinte</w:t>
      </w:r>
      <w:r w:rsidRPr="00D84571">
        <w:rPr>
          <w:rFonts w:ascii="Times New Roman" w:hAnsi="Times New Roman" w:cs="Times New Roman"/>
        </w:rPr>
        <w:t>) dias úteis a contar da assinatura das partes (</w:t>
      </w:r>
      <w:hyperlink r:id="rId382" w:anchor="art94i" w:history="1">
        <w:r w:rsidRPr="00D84571">
          <w:rPr>
            <w:rStyle w:val="Hyperlink"/>
            <w:rFonts w:ascii="Times New Roman" w:hAnsi="Times New Roman" w:cs="Times New Roman"/>
          </w:rPr>
          <w:t>art. 94, I da Lei nº 14.133/2021</w:t>
        </w:r>
      </w:hyperlink>
      <w:r w:rsidRPr="00D84571">
        <w:rPr>
          <w:rFonts w:ascii="Times New Roman" w:hAnsi="Times New Roman" w:cs="Times New Roman"/>
        </w:rPr>
        <w:t>).</w:t>
      </w:r>
    </w:p>
    <w:p w14:paraId="2E177CE3" w14:textId="77777777" w:rsidR="00B307DB" w:rsidRPr="00D84571" w:rsidRDefault="00B307DB" w:rsidP="00B307DB">
      <w:pPr>
        <w:spacing w:after="0" w:line="240" w:lineRule="auto"/>
        <w:ind w:right="-568"/>
        <w:jc w:val="both"/>
        <w:rPr>
          <w:rFonts w:ascii="Times New Roman" w:hAnsi="Times New Roman" w:cs="Times New Roman"/>
        </w:rPr>
      </w:pPr>
      <w:r>
        <w:rPr>
          <w:rFonts w:ascii="Times New Roman" w:hAnsi="Times New Roman" w:cs="Times New Roman"/>
          <w:b/>
        </w:rPr>
        <w:t>18.</w:t>
      </w:r>
      <w:r w:rsidRPr="00D84571">
        <w:rPr>
          <w:rFonts w:ascii="Times New Roman" w:hAnsi="Times New Roman" w:cs="Times New Roman"/>
          <w:b/>
        </w:rPr>
        <w:t>2</w:t>
      </w:r>
      <w:r w:rsidRPr="00D84571">
        <w:rPr>
          <w:rFonts w:ascii="Times New Roman" w:hAnsi="Times New Roman" w:cs="Times New Roman"/>
        </w:rPr>
        <w:t xml:space="preserve"> Para fins de garantir a ampla publicidade, este contrato e/ou seu extrato será divulgado:</w:t>
      </w:r>
    </w:p>
    <w:p w14:paraId="561ED70C" w14:textId="77777777" w:rsidR="00B307DB" w:rsidRPr="00D84571" w:rsidRDefault="00B307DB" w:rsidP="00B307DB">
      <w:pPr>
        <w:pStyle w:val="PargrafodaLista"/>
        <w:tabs>
          <w:tab w:val="left" w:pos="1134"/>
        </w:tabs>
        <w:spacing w:after="0" w:line="240" w:lineRule="auto"/>
        <w:ind w:left="567" w:right="-568"/>
        <w:contextualSpacing w:val="0"/>
        <w:jc w:val="both"/>
        <w:rPr>
          <w:rFonts w:ascii="Times New Roman" w:hAnsi="Times New Roman" w:cs="Times New Roman"/>
        </w:rPr>
      </w:pPr>
      <w:r>
        <w:rPr>
          <w:rFonts w:ascii="Times New Roman" w:hAnsi="Times New Roman" w:cs="Times New Roman"/>
          <w:b/>
        </w:rPr>
        <w:lastRenderedPageBreak/>
        <w:t xml:space="preserve">I - </w:t>
      </w:r>
      <w:r w:rsidRPr="00D84571">
        <w:rPr>
          <w:rFonts w:ascii="Times New Roman" w:hAnsi="Times New Roman" w:cs="Times New Roman"/>
        </w:rPr>
        <w:t>Portal Nacional de Contratações Públicas – PNCP, a partir da adoção pelo Município (</w:t>
      </w:r>
      <w:hyperlink r:id="rId383" w:anchor="art176iii" w:history="1">
        <w:r w:rsidRPr="00D84571">
          <w:rPr>
            <w:rStyle w:val="Hyperlink"/>
            <w:rFonts w:ascii="Times New Roman" w:hAnsi="Times New Roman" w:cs="Times New Roman"/>
          </w:rPr>
          <w:t>art. 176, III c/c p. ú. da Lei nº 14.133/2021</w:t>
        </w:r>
      </w:hyperlink>
      <w:r w:rsidRPr="00D84571">
        <w:rPr>
          <w:rFonts w:ascii="Times New Roman" w:hAnsi="Times New Roman" w:cs="Times New Roman"/>
        </w:rPr>
        <w:t>);</w:t>
      </w:r>
    </w:p>
    <w:p w14:paraId="782CC53E" w14:textId="77777777" w:rsidR="00B307DB" w:rsidRPr="00D84571" w:rsidRDefault="00B307DB" w:rsidP="00B307DB">
      <w:pPr>
        <w:pStyle w:val="PargrafodaLista"/>
        <w:tabs>
          <w:tab w:val="left" w:pos="1134"/>
        </w:tabs>
        <w:spacing w:after="0" w:line="240" w:lineRule="auto"/>
        <w:ind w:left="567" w:right="-568"/>
        <w:contextualSpacing w:val="0"/>
        <w:jc w:val="both"/>
        <w:rPr>
          <w:rFonts w:ascii="Times New Roman" w:hAnsi="Times New Roman" w:cs="Times New Roman"/>
        </w:rPr>
      </w:pPr>
      <w:r>
        <w:rPr>
          <w:rFonts w:ascii="Times New Roman" w:hAnsi="Times New Roman" w:cs="Times New Roman"/>
          <w:b/>
        </w:rPr>
        <w:t xml:space="preserve">II - </w:t>
      </w:r>
      <w:r w:rsidRPr="00D84571">
        <w:rPr>
          <w:rFonts w:ascii="Times New Roman" w:hAnsi="Times New Roman" w:cs="Times New Roman"/>
        </w:rPr>
        <w:t>Página do Município de Riqueza (</w:t>
      </w:r>
      <w:hyperlink r:id="rId384" w:history="1">
        <w:r w:rsidRPr="00D84571">
          <w:rPr>
            <w:rStyle w:val="Hyperlink"/>
            <w:rFonts w:ascii="Times New Roman" w:hAnsi="Times New Roman" w:cs="Times New Roman"/>
          </w:rPr>
          <w:t>https://riqueza.sc.gov.br/</w:t>
        </w:r>
      </w:hyperlink>
      <w:r w:rsidRPr="00D84571">
        <w:rPr>
          <w:rFonts w:ascii="Times New Roman" w:hAnsi="Times New Roman" w:cs="Times New Roman"/>
        </w:rPr>
        <w:t>);</w:t>
      </w:r>
    </w:p>
    <w:p w14:paraId="6897CC37" w14:textId="77777777" w:rsidR="00B307DB" w:rsidRPr="00D84571" w:rsidRDefault="00B307DB" w:rsidP="00B307DB">
      <w:pPr>
        <w:pStyle w:val="PargrafodaLista"/>
        <w:tabs>
          <w:tab w:val="left" w:pos="1134"/>
        </w:tabs>
        <w:spacing w:after="0" w:line="240" w:lineRule="auto"/>
        <w:ind w:left="567" w:right="-568"/>
        <w:contextualSpacing w:val="0"/>
        <w:jc w:val="both"/>
        <w:rPr>
          <w:rFonts w:ascii="Times New Roman" w:hAnsi="Times New Roman" w:cs="Times New Roman"/>
        </w:rPr>
      </w:pPr>
      <w:r>
        <w:rPr>
          <w:rFonts w:ascii="Times New Roman" w:hAnsi="Times New Roman" w:cs="Times New Roman"/>
          <w:b/>
        </w:rPr>
        <w:t xml:space="preserve">III - </w:t>
      </w:r>
      <w:r w:rsidRPr="00D84571">
        <w:rPr>
          <w:rFonts w:ascii="Times New Roman" w:hAnsi="Times New Roman" w:cs="Times New Roman"/>
        </w:rPr>
        <w:t>Diário Oficial dos Municípios – DOM (</w:t>
      </w:r>
      <w:hyperlink r:id="rId385" w:anchor="art176" w:history="1">
        <w:r w:rsidRPr="00D84571">
          <w:rPr>
            <w:rStyle w:val="Hyperlink"/>
            <w:rFonts w:ascii="Times New Roman" w:hAnsi="Times New Roman" w:cs="Times New Roman"/>
          </w:rPr>
          <w:t>art. 176, p. ú., I da Lei nº 14.133/2021</w:t>
        </w:r>
      </w:hyperlink>
      <w:r w:rsidRPr="00D84571">
        <w:rPr>
          <w:rFonts w:ascii="Times New Roman" w:hAnsi="Times New Roman" w:cs="Times New Roman"/>
        </w:rPr>
        <w:t>).</w:t>
      </w:r>
    </w:p>
    <w:p w14:paraId="22823B04" w14:textId="77777777" w:rsidR="00B307DB" w:rsidRPr="00D84571" w:rsidRDefault="00B307DB" w:rsidP="00B307DB">
      <w:pPr>
        <w:spacing w:after="0" w:line="240" w:lineRule="auto"/>
        <w:ind w:right="-568"/>
        <w:jc w:val="center"/>
        <w:rPr>
          <w:rFonts w:ascii="Times New Roman" w:hAnsi="Times New Roman" w:cs="Times New Roman"/>
        </w:rPr>
      </w:pPr>
    </w:p>
    <w:p w14:paraId="791EC48B" w14:textId="77777777" w:rsidR="00B307DB" w:rsidRPr="00D84571" w:rsidRDefault="00B307DB" w:rsidP="00B307DB">
      <w:pPr>
        <w:spacing w:after="0" w:line="240" w:lineRule="auto"/>
        <w:ind w:right="-568"/>
        <w:jc w:val="right"/>
        <w:rPr>
          <w:rFonts w:ascii="Times New Roman" w:hAnsi="Times New Roman" w:cs="Times New Roman"/>
        </w:rPr>
      </w:pPr>
      <w:r>
        <w:rPr>
          <w:rFonts w:ascii="Times New Roman" w:hAnsi="Times New Roman" w:cs="Times New Roman"/>
        </w:rPr>
        <w:t>Riqueza/SC, XX de XXX</w:t>
      </w:r>
      <w:r w:rsidRPr="00D84571">
        <w:rPr>
          <w:rFonts w:ascii="Times New Roman" w:hAnsi="Times New Roman" w:cs="Times New Roman"/>
        </w:rPr>
        <w:t xml:space="preserve"> de 2024.</w:t>
      </w:r>
    </w:p>
    <w:p w14:paraId="2C66FC43" w14:textId="77777777" w:rsidR="00B307DB" w:rsidRPr="00D84571" w:rsidRDefault="00B307DB" w:rsidP="00B307DB">
      <w:pPr>
        <w:spacing w:after="0" w:line="240" w:lineRule="auto"/>
        <w:ind w:right="-568"/>
        <w:rPr>
          <w:rFonts w:ascii="Times New Roman" w:hAnsi="Times New Roman" w:cs="Times New Roman"/>
        </w:rPr>
      </w:pPr>
    </w:p>
    <w:p w14:paraId="05E8623F" w14:textId="77777777" w:rsidR="00B307DB" w:rsidRPr="00D84571" w:rsidRDefault="00B307DB" w:rsidP="00B307DB">
      <w:pPr>
        <w:spacing w:after="0" w:line="240" w:lineRule="auto"/>
        <w:ind w:right="-568"/>
        <w:jc w:val="center"/>
        <w:rPr>
          <w:rFonts w:ascii="Times New Roman" w:eastAsia="Times New Roman" w:hAnsi="Times New Roman" w:cs="Times New Roman"/>
          <w:b/>
          <w:lang w:eastAsia="pt-BR"/>
        </w:rPr>
      </w:pPr>
    </w:p>
    <w:tbl>
      <w:tblPr>
        <w:tblStyle w:val="TabeladeGradeClara"/>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5007"/>
      </w:tblGrid>
      <w:tr w:rsidR="00B307DB" w:rsidRPr="00D84571" w14:paraId="10864F64" w14:textId="77777777" w:rsidTr="00B307DB">
        <w:trPr>
          <w:trHeight w:val="1134"/>
        </w:trPr>
        <w:tc>
          <w:tcPr>
            <w:tcW w:w="4898" w:type="dxa"/>
          </w:tcPr>
          <w:p w14:paraId="3F0DBE70" w14:textId="77777777" w:rsidR="00B307DB" w:rsidRPr="00D84571" w:rsidRDefault="00B307DB" w:rsidP="00B307DB">
            <w:pPr>
              <w:jc w:val="center"/>
              <w:rPr>
                <w:rFonts w:ascii="Times New Roman" w:hAnsi="Times New Roman" w:cs="Times New Roman"/>
              </w:rPr>
            </w:pPr>
          </w:p>
          <w:p w14:paraId="0D4FA755" w14:textId="77777777" w:rsidR="00B307DB" w:rsidRPr="00D84571" w:rsidRDefault="00B307DB" w:rsidP="00B307DB">
            <w:pPr>
              <w:jc w:val="center"/>
              <w:rPr>
                <w:rFonts w:ascii="Times New Roman" w:hAnsi="Times New Roman" w:cs="Times New Roman"/>
              </w:rPr>
            </w:pPr>
            <w:r w:rsidRPr="00D84571">
              <w:rPr>
                <w:rFonts w:ascii="Times New Roman" w:hAnsi="Times New Roman" w:cs="Times New Roman"/>
              </w:rPr>
              <w:t>________________________________</w:t>
            </w:r>
          </w:p>
          <w:p w14:paraId="43D316C9" w14:textId="4C80650D" w:rsidR="00B307DB" w:rsidRPr="00D84571" w:rsidRDefault="00EE4FFF" w:rsidP="00B307DB">
            <w:pPr>
              <w:jc w:val="center"/>
              <w:rPr>
                <w:rFonts w:ascii="Times New Roman" w:hAnsi="Times New Roman" w:cs="Times New Roman"/>
                <w:b/>
              </w:rPr>
            </w:pPr>
            <w:r>
              <w:rPr>
                <w:rFonts w:ascii="Times New Roman" w:hAnsi="Times New Roman" w:cs="Times New Roman"/>
                <w:b/>
              </w:rPr>
              <w:t>LEANDRO JOSÉ ALBA</w:t>
            </w:r>
          </w:p>
          <w:p w14:paraId="141DEB9F" w14:textId="6182BCB4" w:rsidR="00B307DB" w:rsidRPr="00D84571" w:rsidRDefault="00B307DB" w:rsidP="00B307DB">
            <w:pPr>
              <w:jc w:val="center"/>
              <w:rPr>
                <w:rFonts w:ascii="Times New Roman" w:hAnsi="Times New Roman" w:cs="Times New Roman"/>
              </w:rPr>
            </w:pPr>
            <w:r>
              <w:rPr>
                <w:rFonts w:ascii="Times New Roman" w:hAnsi="Times New Roman" w:cs="Times New Roman"/>
              </w:rPr>
              <w:t xml:space="preserve">Prefeito </w:t>
            </w:r>
            <w:r w:rsidR="00EE4FFF">
              <w:rPr>
                <w:rFonts w:ascii="Times New Roman" w:hAnsi="Times New Roman" w:cs="Times New Roman"/>
              </w:rPr>
              <w:t>em Exercício</w:t>
            </w:r>
          </w:p>
          <w:p w14:paraId="5AE4FAFE" w14:textId="77777777" w:rsidR="00B307DB" w:rsidRPr="00D84571" w:rsidRDefault="00B307DB" w:rsidP="00B307DB">
            <w:pPr>
              <w:jc w:val="center"/>
              <w:rPr>
                <w:rFonts w:ascii="Times New Roman" w:hAnsi="Times New Roman" w:cs="Times New Roman"/>
              </w:rPr>
            </w:pPr>
            <w:r w:rsidRPr="00D84571">
              <w:rPr>
                <w:rFonts w:ascii="Times New Roman" w:hAnsi="Times New Roman" w:cs="Times New Roman"/>
              </w:rPr>
              <w:t>CONTRATANTE</w:t>
            </w:r>
          </w:p>
          <w:p w14:paraId="1D7DC003" w14:textId="77777777" w:rsidR="00B307DB" w:rsidRPr="00D84571" w:rsidRDefault="00B307DB" w:rsidP="00B307DB">
            <w:pPr>
              <w:jc w:val="center"/>
              <w:rPr>
                <w:rFonts w:ascii="Times New Roman" w:hAnsi="Times New Roman" w:cs="Times New Roman"/>
              </w:rPr>
            </w:pPr>
          </w:p>
          <w:p w14:paraId="7C3BEF7B" w14:textId="77777777" w:rsidR="00B307DB" w:rsidRPr="00D84571" w:rsidRDefault="00B307DB" w:rsidP="00B307DB">
            <w:pPr>
              <w:jc w:val="center"/>
              <w:rPr>
                <w:rFonts w:ascii="Times New Roman" w:hAnsi="Times New Roman" w:cs="Times New Roman"/>
              </w:rPr>
            </w:pPr>
          </w:p>
        </w:tc>
        <w:tc>
          <w:tcPr>
            <w:tcW w:w="5007" w:type="dxa"/>
          </w:tcPr>
          <w:p w14:paraId="225F2AF6" w14:textId="77777777" w:rsidR="00B307DB" w:rsidRPr="00D84571" w:rsidRDefault="00B307DB" w:rsidP="00B307DB">
            <w:pPr>
              <w:jc w:val="center"/>
              <w:rPr>
                <w:rFonts w:ascii="Times New Roman" w:hAnsi="Times New Roman" w:cs="Times New Roman"/>
              </w:rPr>
            </w:pPr>
          </w:p>
          <w:p w14:paraId="37FFDAC9" w14:textId="77777777" w:rsidR="00B307DB" w:rsidRPr="00D84571" w:rsidRDefault="00B307DB" w:rsidP="00B307DB">
            <w:pPr>
              <w:jc w:val="center"/>
              <w:rPr>
                <w:rFonts w:ascii="Times New Roman" w:hAnsi="Times New Roman" w:cs="Times New Roman"/>
              </w:rPr>
            </w:pPr>
            <w:r w:rsidRPr="00D84571">
              <w:rPr>
                <w:rFonts w:ascii="Times New Roman" w:hAnsi="Times New Roman" w:cs="Times New Roman"/>
              </w:rPr>
              <w:t>_____________________________</w:t>
            </w:r>
          </w:p>
          <w:p w14:paraId="6D792C6E" w14:textId="77777777" w:rsidR="00B307DB" w:rsidRPr="00D84571" w:rsidRDefault="00B307DB" w:rsidP="00B307DB">
            <w:pPr>
              <w:jc w:val="center"/>
              <w:rPr>
                <w:rFonts w:ascii="Times New Roman" w:hAnsi="Times New Roman" w:cs="Times New Roman"/>
                <w:b/>
              </w:rPr>
            </w:pPr>
            <w:r w:rsidRPr="00D84571">
              <w:rPr>
                <w:rFonts w:ascii="Times New Roman" w:hAnsi="Times New Roman" w:cs="Times New Roman"/>
                <w:b/>
              </w:rPr>
              <w:t>XXX</w:t>
            </w:r>
          </w:p>
          <w:p w14:paraId="5CAA68E0" w14:textId="77777777" w:rsidR="00B307DB" w:rsidRPr="00D84571" w:rsidRDefault="00B307DB" w:rsidP="00B307DB">
            <w:pPr>
              <w:jc w:val="center"/>
              <w:rPr>
                <w:rFonts w:ascii="Times New Roman" w:hAnsi="Times New Roman" w:cs="Times New Roman"/>
              </w:rPr>
            </w:pPr>
            <w:r w:rsidRPr="00D84571">
              <w:rPr>
                <w:rFonts w:ascii="Times New Roman" w:hAnsi="Times New Roman" w:cs="Times New Roman"/>
              </w:rPr>
              <w:t>CONTRATADO</w:t>
            </w:r>
          </w:p>
        </w:tc>
      </w:tr>
      <w:tr w:rsidR="00B307DB" w:rsidRPr="00D84571" w14:paraId="48466C02" w14:textId="77777777" w:rsidTr="00B307DB">
        <w:trPr>
          <w:trHeight w:val="561"/>
        </w:trPr>
        <w:tc>
          <w:tcPr>
            <w:tcW w:w="4898" w:type="dxa"/>
          </w:tcPr>
          <w:p w14:paraId="0BA06608" w14:textId="77777777" w:rsidR="00B307DB" w:rsidRPr="00D84571" w:rsidRDefault="00B307DB" w:rsidP="00B307DB">
            <w:pPr>
              <w:jc w:val="both"/>
              <w:rPr>
                <w:rFonts w:ascii="Times New Roman" w:hAnsi="Times New Roman" w:cs="Times New Roman"/>
              </w:rPr>
            </w:pPr>
            <w:r w:rsidRPr="00D84571">
              <w:rPr>
                <w:rFonts w:ascii="Times New Roman" w:hAnsi="Times New Roman" w:cs="Times New Roman"/>
              </w:rPr>
              <w:t>1ª Testemunha</w:t>
            </w:r>
          </w:p>
          <w:p w14:paraId="2376E4F3" w14:textId="77777777" w:rsidR="00B307DB" w:rsidRPr="00D84571" w:rsidRDefault="00B307DB" w:rsidP="00B307DB">
            <w:pPr>
              <w:jc w:val="both"/>
              <w:rPr>
                <w:rFonts w:ascii="Times New Roman" w:hAnsi="Times New Roman" w:cs="Times New Roman"/>
              </w:rPr>
            </w:pPr>
          </w:p>
          <w:p w14:paraId="2339FFEB" w14:textId="77777777" w:rsidR="00B307DB" w:rsidRPr="00D84571" w:rsidRDefault="00B307DB" w:rsidP="00B307DB">
            <w:pPr>
              <w:jc w:val="both"/>
              <w:rPr>
                <w:rFonts w:ascii="Times New Roman" w:hAnsi="Times New Roman" w:cs="Times New Roman"/>
              </w:rPr>
            </w:pPr>
            <w:r w:rsidRPr="00D84571">
              <w:rPr>
                <w:rFonts w:ascii="Times New Roman" w:hAnsi="Times New Roman" w:cs="Times New Roman"/>
              </w:rPr>
              <w:t>_________________________________</w:t>
            </w:r>
          </w:p>
        </w:tc>
        <w:tc>
          <w:tcPr>
            <w:tcW w:w="5007" w:type="dxa"/>
          </w:tcPr>
          <w:p w14:paraId="031B9259" w14:textId="77777777" w:rsidR="00B307DB" w:rsidRPr="00D84571" w:rsidRDefault="00B307DB" w:rsidP="00B307DB">
            <w:pPr>
              <w:jc w:val="both"/>
              <w:rPr>
                <w:rFonts w:ascii="Times New Roman" w:hAnsi="Times New Roman" w:cs="Times New Roman"/>
              </w:rPr>
            </w:pPr>
            <w:r w:rsidRPr="00D84571">
              <w:rPr>
                <w:rFonts w:ascii="Times New Roman" w:hAnsi="Times New Roman" w:cs="Times New Roman"/>
              </w:rPr>
              <w:t>2ª Testemunha</w:t>
            </w:r>
          </w:p>
          <w:p w14:paraId="53CA07BE" w14:textId="77777777" w:rsidR="00B307DB" w:rsidRPr="00D84571" w:rsidRDefault="00B307DB" w:rsidP="00B307DB">
            <w:pPr>
              <w:jc w:val="both"/>
              <w:rPr>
                <w:rFonts w:ascii="Times New Roman" w:hAnsi="Times New Roman" w:cs="Times New Roman"/>
              </w:rPr>
            </w:pPr>
          </w:p>
          <w:p w14:paraId="0897F2B3" w14:textId="77777777" w:rsidR="00B307DB" w:rsidRPr="00D84571" w:rsidRDefault="00B307DB" w:rsidP="00B307DB">
            <w:pPr>
              <w:jc w:val="both"/>
              <w:rPr>
                <w:rFonts w:ascii="Times New Roman" w:hAnsi="Times New Roman" w:cs="Times New Roman"/>
              </w:rPr>
            </w:pPr>
            <w:r w:rsidRPr="00D84571">
              <w:rPr>
                <w:rFonts w:ascii="Times New Roman" w:hAnsi="Times New Roman" w:cs="Times New Roman"/>
              </w:rPr>
              <w:t xml:space="preserve">  _________________________________</w:t>
            </w:r>
          </w:p>
        </w:tc>
      </w:tr>
    </w:tbl>
    <w:p w14:paraId="50AA5E4B" w14:textId="77777777" w:rsidR="00B307DB" w:rsidRPr="00D84571" w:rsidRDefault="00B307DB" w:rsidP="00B307DB">
      <w:pPr>
        <w:spacing w:after="0" w:line="240" w:lineRule="auto"/>
        <w:ind w:right="-568"/>
        <w:jc w:val="center"/>
        <w:rPr>
          <w:rFonts w:ascii="Times New Roman" w:eastAsia="Times New Roman" w:hAnsi="Times New Roman" w:cs="Times New Roman"/>
          <w:b/>
          <w:lang w:eastAsia="pt-BR"/>
        </w:rPr>
      </w:pPr>
    </w:p>
    <w:p w14:paraId="32F04DB8" w14:textId="77777777" w:rsidR="00B307DB" w:rsidRPr="00D84571" w:rsidRDefault="00B307DB" w:rsidP="00B307DB">
      <w:pPr>
        <w:spacing w:after="0" w:line="240" w:lineRule="auto"/>
        <w:ind w:right="-568"/>
        <w:jc w:val="center"/>
        <w:rPr>
          <w:rFonts w:ascii="Times New Roman" w:eastAsia="Times New Roman" w:hAnsi="Times New Roman" w:cs="Times New Roman"/>
          <w:b/>
          <w:lang w:eastAsia="pt-BR"/>
        </w:rPr>
      </w:pPr>
    </w:p>
    <w:p w14:paraId="47E269F4" w14:textId="77777777" w:rsidR="00B307DB" w:rsidRPr="00D84571" w:rsidRDefault="00B307DB" w:rsidP="00B307DB">
      <w:pPr>
        <w:spacing w:after="0" w:line="240" w:lineRule="auto"/>
        <w:ind w:right="-568"/>
        <w:jc w:val="center"/>
        <w:rPr>
          <w:rFonts w:ascii="Times New Roman" w:eastAsia="Times New Roman" w:hAnsi="Times New Roman" w:cs="Times New Roman"/>
          <w:b/>
          <w:lang w:eastAsia="pt-BR"/>
        </w:rPr>
      </w:pPr>
    </w:p>
    <w:p w14:paraId="540794E0" w14:textId="77777777" w:rsidR="00B307DB" w:rsidRPr="00D84571"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D84571">
        <w:rPr>
          <w:rFonts w:ascii="Times New Roman" w:eastAsia="Times New Roman" w:hAnsi="Times New Roman" w:cs="Times New Roman"/>
          <w:lang w:eastAsia="pt-BR"/>
        </w:rPr>
        <w:t>____________________________</w:t>
      </w:r>
    </w:p>
    <w:p w14:paraId="41E72A0B" w14:textId="77777777" w:rsidR="00B307DB" w:rsidRPr="00D84571"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D84571">
        <w:rPr>
          <w:rFonts w:ascii="Times New Roman" w:eastAsia="Times New Roman" w:hAnsi="Times New Roman" w:cs="Times New Roman"/>
          <w:b/>
          <w:lang w:val="en-US" w:eastAsia="pt-BR"/>
        </w:rPr>
        <w:t>MARIELI FILIPPI</w:t>
      </w:r>
    </w:p>
    <w:p w14:paraId="5C44CB93" w14:textId="77777777" w:rsidR="00B307DB" w:rsidRPr="00D84571"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eastAsia="Times New Roman" w:hAnsi="Times New Roman" w:cs="Times New Roman"/>
          <w:lang w:val="en-US" w:eastAsia="pt-BR"/>
        </w:rPr>
        <w:t>OAB/SC 47.248</w:t>
      </w:r>
    </w:p>
    <w:p w14:paraId="5642AF9A" w14:textId="77777777" w:rsidR="00B307DB" w:rsidRPr="00D84571"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75781AF"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316EF23"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1E10661"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hAnsi="Times New Roman" w:cs="Times New Roman"/>
          <w:noProof/>
          <w:lang w:eastAsia="pt-BR"/>
        </w:rPr>
        <mc:AlternateContent>
          <mc:Choice Requires="wps">
            <w:drawing>
              <wp:anchor distT="0" distB="0" distL="114300" distR="114300" simplePos="0" relativeHeight="251695104" behindDoc="0" locked="0" layoutInCell="1" allowOverlap="1" wp14:anchorId="02D10989" wp14:editId="28677CE0">
                <wp:simplePos x="0" y="0"/>
                <wp:positionH relativeFrom="margin">
                  <wp:posOffset>4013200</wp:posOffset>
                </wp:positionH>
                <wp:positionV relativeFrom="paragraph">
                  <wp:posOffset>160020</wp:posOffset>
                </wp:positionV>
                <wp:extent cx="2336800" cy="1459230"/>
                <wp:effectExtent l="0" t="0" r="25400" b="2667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6B8F9E32"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7FB4DD52"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89B880D"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D10989" id="Caixa de Texto 18" o:spid="_x0000_s1041" type="#_x0000_t202" style="position:absolute;left:0;text-align:left;margin-left:316pt;margin-top:12.6pt;width:184pt;height:114.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">
                <v:textbox>
                  <w:txbxContent>
                    <w:p w14:paraId="6B8F9E32"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7FB4DD52"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589B880D"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D84571">
        <w:rPr>
          <w:rFonts w:ascii="Times New Roman" w:hAnsi="Times New Roman" w:cs="Times New Roman"/>
          <w:noProof/>
          <w:lang w:eastAsia="pt-BR"/>
        </w:rPr>
        <mc:AlternateContent>
          <mc:Choice Requires="wps">
            <w:drawing>
              <wp:anchor distT="0" distB="0" distL="114300" distR="114300" simplePos="0" relativeHeight="251692032" behindDoc="0" locked="0" layoutInCell="1" allowOverlap="1" wp14:anchorId="252E6862" wp14:editId="00673B44">
                <wp:simplePos x="0" y="0"/>
                <wp:positionH relativeFrom="margin">
                  <wp:posOffset>-791280</wp:posOffset>
                </wp:positionH>
                <wp:positionV relativeFrom="paragraph">
                  <wp:posOffset>181539</wp:posOffset>
                </wp:positionV>
                <wp:extent cx="2336800" cy="1459230"/>
                <wp:effectExtent l="0" t="0" r="25400" b="2667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00DCF824"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82836D9"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9CCFE64"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E6862" id="Caixa de Texto 20" o:spid="_x0000_s1042" type="#_x0000_t202" style="position:absolute;left:0;text-align:left;margin-left:-62.3pt;margin-top:14.3pt;width:184pt;height:114.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">
                <v:textbox>
                  <w:txbxContent>
                    <w:p w14:paraId="00DCF824"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82836D9"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79CCFE64"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20BE89F6" w14:textId="77777777" w:rsidR="00B307DB" w:rsidRDefault="00B307DB" w:rsidP="00B307DB">
      <w:pPr>
        <w:widowControl w:val="0"/>
        <w:tabs>
          <w:tab w:val="left" w:pos="1701"/>
          <w:tab w:val="center" w:pos="4252"/>
          <w:tab w:val="left" w:pos="6702"/>
        </w:tabs>
        <w:adjustRightInd w:val="0"/>
        <w:spacing w:after="0" w:line="240" w:lineRule="auto"/>
        <w:textAlignment w:val="baseline"/>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ab/>
      </w:r>
      <w:r>
        <w:rPr>
          <w:rFonts w:ascii="Times New Roman" w:eastAsia="Times New Roman" w:hAnsi="Times New Roman" w:cs="Times New Roman"/>
          <w:lang w:val="en-US" w:eastAsia="pt-BR"/>
        </w:rPr>
        <w:tab/>
      </w:r>
      <w:r w:rsidRPr="00D84571">
        <w:rPr>
          <w:rFonts w:ascii="Times New Roman" w:hAnsi="Times New Roman" w:cs="Times New Roman"/>
          <w:noProof/>
          <w:lang w:eastAsia="pt-BR"/>
        </w:rPr>
        <mc:AlternateContent>
          <mc:Choice Requires="wps">
            <w:drawing>
              <wp:anchor distT="0" distB="0" distL="114300" distR="114300" simplePos="0" relativeHeight="251693056" behindDoc="0" locked="0" layoutInCell="1" allowOverlap="1" wp14:anchorId="13595402" wp14:editId="64F87BF6">
                <wp:simplePos x="0" y="0"/>
                <wp:positionH relativeFrom="margin">
                  <wp:posOffset>1619885</wp:posOffset>
                </wp:positionH>
                <wp:positionV relativeFrom="paragraph">
                  <wp:posOffset>19474</wp:posOffset>
                </wp:positionV>
                <wp:extent cx="2336800" cy="1459230"/>
                <wp:effectExtent l="0" t="0" r="25400" b="2667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18B13BC6"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24EC8A2"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373E76A"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95402" id="Caixa de Texto 21" o:spid="_x0000_s1043" type="#_x0000_t202" style="position:absolute;margin-left:127.55pt;margin-top:1.55pt;width:184pt;height:114.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">
                <v:textbox>
                  <w:txbxContent>
                    <w:p w14:paraId="18B13BC6"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624EC8A2"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373E76A"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Pr>
          <w:rFonts w:ascii="Times New Roman" w:eastAsia="Times New Roman" w:hAnsi="Times New Roman" w:cs="Times New Roman"/>
          <w:lang w:val="en-US" w:eastAsia="pt-BR"/>
        </w:rPr>
        <w:tab/>
      </w:r>
    </w:p>
    <w:p w14:paraId="48BF6A39"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25AEDF6"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567EDBB"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1F17E00C"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1FB0047"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45468E6A"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ED264A1"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86B5273"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846D713"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D84571">
        <w:rPr>
          <w:rFonts w:ascii="Times New Roman" w:hAnsi="Times New Roman" w:cs="Times New Roman"/>
          <w:noProof/>
          <w:lang w:eastAsia="pt-BR"/>
        </w:rPr>
        <mc:AlternateContent>
          <mc:Choice Requires="wps">
            <w:drawing>
              <wp:anchor distT="0" distB="0" distL="114300" distR="114300" simplePos="0" relativeHeight="251697152" behindDoc="0" locked="0" layoutInCell="1" allowOverlap="1" wp14:anchorId="2BB86D28" wp14:editId="5D406CF3">
                <wp:simplePos x="0" y="0"/>
                <wp:positionH relativeFrom="margin">
                  <wp:posOffset>1618967</wp:posOffset>
                </wp:positionH>
                <wp:positionV relativeFrom="paragraph">
                  <wp:posOffset>113665</wp:posOffset>
                </wp:positionV>
                <wp:extent cx="2336800" cy="1459230"/>
                <wp:effectExtent l="0" t="0" r="25400" b="2667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54BC6404"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A55E231"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BD34B7E"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86D28" id="Caixa de Texto 22" o:spid="_x0000_s1044" type="#_x0000_t202" style="position:absolute;left:0;text-align:left;margin-left:127.5pt;margin-top:8.95pt;width:184pt;height:114.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">
                <v:textbox>
                  <w:txbxContent>
                    <w:p w14:paraId="54BC6404"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5A55E231"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2BD34B7E"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D84571">
        <w:rPr>
          <w:rFonts w:ascii="Times New Roman" w:hAnsi="Times New Roman" w:cs="Times New Roman"/>
          <w:noProof/>
          <w:lang w:eastAsia="pt-BR"/>
        </w:rPr>
        <mc:AlternateContent>
          <mc:Choice Requires="wps">
            <w:drawing>
              <wp:anchor distT="0" distB="0" distL="114300" distR="114300" simplePos="0" relativeHeight="251696128" behindDoc="0" locked="0" layoutInCell="1" allowOverlap="1" wp14:anchorId="0BA082D1" wp14:editId="27C74BEB">
                <wp:simplePos x="0" y="0"/>
                <wp:positionH relativeFrom="margin">
                  <wp:posOffset>-790222</wp:posOffset>
                </wp:positionH>
                <wp:positionV relativeFrom="paragraph">
                  <wp:posOffset>117475</wp:posOffset>
                </wp:positionV>
                <wp:extent cx="2336800" cy="1459230"/>
                <wp:effectExtent l="0" t="0" r="25400" b="26670"/>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046230DD"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5F93566"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4825CDB"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082D1" id="Caixa de Texto 23" o:spid="_x0000_s1045" type="#_x0000_t202" style="position:absolute;left:0;text-align:left;margin-left:-62.2pt;margin-top:9.25pt;width:184pt;height:114.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">
                <v:textbox>
                  <w:txbxContent>
                    <w:p w14:paraId="046230DD"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5F93566"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04825CDB"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D84571">
        <w:rPr>
          <w:rFonts w:ascii="Times New Roman" w:hAnsi="Times New Roman" w:cs="Times New Roman"/>
          <w:noProof/>
          <w:lang w:eastAsia="pt-BR"/>
        </w:rPr>
        <mc:AlternateContent>
          <mc:Choice Requires="wps">
            <w:drawing>
              <wp:anchor distT="0" distB="0" distL="114300" distR="114300" simplePos="0" relativeHeight="251698176" behindDoc="0" locked="0" layoutInCell="1" allowOverlap="1" wp14:anchorId="23B82E7F" wp14:editId="6BDC737C">
                <wp:simplePos x="0" y="0"/>
                <wp:positionH relativeFrom="margin">
                  <wp:posOffset>4010660</wp:posOffset>
                </wp:positionH>
                <wp:positionV relativeFrom="paragraph">
                  <wp:posOffset>115287</wp:posOffset>
                </wp:positionV>
                <wp:extent cx="2336800" cy="1459230"/>
                <wp:effectExtent l="0" t="0" r="25400" b="2667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26F52AF4"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67DA404"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D09EAF8"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82E7F" id="Caixa de Texto 24" o:spid="_x0000_s1046" type="#_x0000_t202" style="position:absolute;left:0;text-align:left;margin-left:315.8pt;margin-top:9.1pt;width:184pt;height:114.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">
                <v:textbox>
                  <w:txbxContent>
                    <w:p w14:paraId="26F52AF4"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267DA404" w14:textId="77777777" w:rsidR="00B307DB" w:rsidRDefault="00B307DB" w:rsidP="00B307DB">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D09EAF8" w14:textId="77777777" w:rsidR="00B307DB" w:rsidRPr="00CD3874" w:rsidRDefault="00B307DB" w:rsidP="00B307DB">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10B5D0D1"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A189E65"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D815293"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54988A0"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10B36F1"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647AD12"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06C74623" w14:textId="77777777" w:rsidR="00B307DB" w:rsidRDefault="00B307DB" w:rsidP="00B307DB">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CBD25F8" w14:textId="77777777" w:rsidR="00F37361" w:rsidRDefault="00F37361" w:rsidP="00002B71">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p>
    <w:p w14:paraId="3F6674A2"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8954703"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1D227F6"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2653FB75"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7EE29157"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54EEAEA4"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3AEA31E"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3DB49210" w14:textId="77777777" w:rsidR="00F37361" w:rsidRDefault="00F37361" w:rsidP="00F37361">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p>
    <w:p w14:paraId="6BE491B0" w14:textId="480A05C3" w:rsidR="00307EEB" w:rsidRPr="00D84571" w:rsidRDefault="00307EEB" w:rsidP="00486941">
      <w:pPr>
        <w:widowControl w:val="0"/>
        <w:tabs>
          <w:tab w:val="left" w:pos="1701"/>
        </w:tabs>
        <w:adjustRightInd w:val="0"/>
        <w:spacing w:after="0" w:line="240" w:lineRule="auto"/>
        <w:textAlignment w:val="baseline"/>
        <w:rPr>
          <w:rFonts w:ascii="Times New Roman" w:eastAsia="Times New Roman" w:hAnsi="Times New Roman" w:cs="Times New Roman"/>
          <w:lang w:val="en-US" w:eastAsia="pt-BR"/>
        </w:rPr>
      </w:pPr>
      <w:bookmarkStart w:id="0" w:name="_GoBack"/>
      <w:bookmarkEnd w:id="0"/>
    </w:p>
    <w:sectPr w:rsidR="00307EEB" w:rsidRPr="00D84571" w:rsidSect="00977C8B">
      <w:pgSz w:w="11906" w:h="16838"/>
      <w:pgMar w:top="1190"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41143" w14:textId="77777777" w:rsidR="00D52F36" w:rsidRDefault="00D52F36" w:rsidP="005E04F6">
      <w:pPr>
        <w:spacing w:after="0" w:line="240" w:lineRule="auto"/>
      </w:pPr>
      <w:r>
        <w:separator/>
      </w:r>
    </w:p>
  </w:endnote>
  <w:endnote w:type="continuationSeparator" w:id="0">
    <w:p w14:paraId="52EA7BCF" w14:textId="77777777" w:rsidR="00D52F36" w:rsidRDefault="00D52F36"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default"/>
    <w:sig w:usb0="00000003" w:usb1="00000000" w:usb2="00000000" w:usb3="00000000" w:csb0="00000001" w:csb1="00000000"/>
  </w:font>
  <w:font w:name="Lohit Hindi">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49965167"/>
      <w:docPartObj>
        <w:docPartGallery w:val="Page Numbers (Bottom of Page)"/>
        <w:docPartUnique/>
      </w:docPartObj>
    </w:sdtPr>
    <w:sdtEndPr/>
    <w:sdtContent>
      <w:sdt>
        <w:sdtPr>
          <w:rPr>
            <w:rFonts w:ascii="Arial" w:hAnsi="Arial" w:cs="Arial"/>
            <w:sz w:val="16"/>
            <w:szCs w:val="16"/>
          </w:rPr>
          <w:id w:val="-1844393578"/>
          <w:docPartObj>
            <w:docPartGallery w:val="Page Numbers (Top of Page)"/>
            <w:docPartUnique/>
          </w:docPartObj>
        </w:sdtPr>
        <w:sdtEndPr/>
        <w:sdtContent>
          <w:p w14:paraId="155FCDF3" w14:textId="77777777" w:rsidR="00B307DB" w:rsidRPr="00FB7A1C" w:rsidRDefault="00B307DB" w:rsidP="00F47688">
            <w:pPr>
              <w:pStyle w:val="Cabealho"/>
              <w:tabs>
                <w:tab w:val="clear" w:pos="4252"/>
                <w:tab w:val="center" w:pos="8504"/>
              </w:tabs>
              <w:jc w:val="center"/>
              <w:rPr>
                <w:rFonts w:ascii="Times New Roman" w:hAnsi="Times New Roman" w:cs="Times New Roman"/>
              </w:rPr>
            </w:pPr>
            <w:r>
              <w:rPr>
                <w:rFonts w:ascii="Calibri" w:eastAsia="Calibri" w:hAnsi="Calibri" w:cs="Calibri"/>
                <w:noProof/>
                <w:lang w:eastAsia="pt-BR"/>
              </w:rPr>
              <mc:AlternateContent>
                <mc:Choice Requires="wpg">
                  <w:drawing>
                    <wp:anchor distT="0" distB="0" distL="114300" distR="114300" simplePos="0" relativeHeight="251667456" behindDoc="0" locked="0" layoutInCell="1" allowOverlap="1" wp14:anchorId="66FED86D" wp14:editId="59C1B97E">
                      <wp:simplePos x="0" y="0"/>
                      <wp:positionH relativeFrom="page">
                        <wp:posOffset>1080135</wp:posOffset>
                      </wp:positionH>
                      <wp:positionV relativeFrom="page">
                        <wp:posOffset>9917747</wp:posOffset>
                      </wp:positionV>
                      <wp:extent cx="5798185" cy="6350"/>
                      <wp:effectExtent l="0" t="0" r="0" b="0"/>
                      <wp:wrapSquare wrapText="bothSides"/>
                      <wp:docPr id="25"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26"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5393BA" id="Group 327049" o:spid="_x0000_s1026" style="position:absolute;margin-left:85.05pt;margin-top:780.9pt;width:456.55pt;height:.5pt;z-index:251667456;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" path="m,l5798185,r,9144l,9144,,e" fillcolor="black" stroked="f" strokeweight="0">
                        <v:stroke miterlimit="83231f" joinstyle="miter"/>
                        <v:path arrowok="t" textboxrect="0,0,5798185,9144"/>
                      </v:shape>
                      <w10:wrap type="square" anchorx="page" anchory="page"/>
                    </v:group>
                  </w:pict>
                </mc:Fallback>
              </mc:AlternateContent>
            </w:r>
            <w:r w:rsidRPr="00FB7A1C">
              <w:rPr>
                <w:rFonts w:ascii="Times New Roman" w:hAnsi="Times New Roman" w:cs="Times New Roman"/>
                <w:sz w:val="20"/>
              </w:rPr>
              <w:t>Rua João Mari, 55, Centro – CEP: 89.895-000 – Riqueza/SC</w:t>
            </w:r>
          </w:p>
          <w:p w14:paraId="176C9A47" w14:textId="77777777" w:rsidR="00B307DB" w:rsidRPr="00FB7A1C" w:rsidRDefault="00B307DB" w:rsidP="00A33840">
            <w:pPr>
              <w:tabs>
                <w:tab w:val="center" w:pos="4252"/>
              </w:tabs>
              <w:spacing w:after="0" w:line="240" w:lineRule="auto"/>
              <w:ind w:right="-710"/>
              <w:jc w:val="center"/>
              <w:rPr>
                <w:rFonts w:ascii="Times New Roman" w:hAnsi="Times New Roman" w:cs="Times New Roman"/>
              </w:rPr>
            </w:pPr>
            <w:r w:rsidRPr="00FB7A1C">
              <w:rPr>
                <w:rFonts w:ascii="Times New Roman" w:hAnsi="Times New Roman" w:cs="Times New Roman"/>
                <w:sz w:val="20"/>
              </w:rPr>
              <w:t>CNPJ: 95.988.309/0001-48 – Fone/Fax (49) 3675-3200 – E-mail: contratos@riqueza.sc.gov.br</w:t>
            </w:r>
          </w:p>
          <w:p w14:paraId="3C6755B5" w14:textId="77777777" w:rsidR="00B307DB" w:rsidRPr="00B6216E" w:rsidRDefault="00D52F36" w:rsidP="00A33840">
            <w:pPr>
              <w:pStyle w:val="Rodap"/>
              <w:tabs>
                <w:tab w:val="clear" w:pos="4252"/>
              </w:tabs>
              <w:jc w:val="center"/>
              <w:rPr>
                <w:rFonts w:ascii="Arial" w:hAnsi="Arial" w:cs="Arial"/>
                <w:sz w:val="16"/>
                <w:szCs w:val="16"/>
              </w:rPr>
            </w:pPr>
          </w:p>
        </w:sdtContent>
      </w:sdt>
    </w:sdtContent>
  </w:sdt>
  <w:p w14:paraId="634FD845" w14:textId="77777777" w:rsidR="00B307DB" w:rsidRDefault="00B307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C7BEC" w14:textId="77777777" w:rsidR="00D52F36" w:rsidRDefault="00D52F36" w:rsidP="005E04F6">
      <w:pPr>
        <w:spacing w:after="0" w:line="240" w:lineRule="auto"/>
      </w:pPr>
      <w:r>
        <w:separator/>
      </w:r>
    </w:p>
  </w:footnote>
  <w:footnote w:type="continuationSeparator" w:id="0">
    <w:p w14:paraId="2D5494B6" w14:textId="77777777" w:rsidR="00D52F36" w:rsidRDefault="00D52F36" w:rsidP="005E04F6">
      <w:pPr>
        <w:spacing w:after="0" w:line="240" w:lineRule="auto"/>
      </w:pPr>
      <w:r>
        <w:continuationSeparator/>
      </w:r>
    </w:p>
  </w:footnote>
  <w:footnote w:id="1">
    <w:p w14:paraId="0347427A" w14:textId="77777777" w:rsidR="00B307DB" w:rsidRPr="00E07612" w:rsidRDefault="00B307DB" w:rsidP="00B307DB">
      <w:pPr>
        <w:pStyle w:val="Textodecomentrio"/>
        <w:ind w:right="-568"/>
        <w:jc w:val="both"/>
        <w:rPr>
          <w:rFonts w:ascii="Times New Roman" w:hAnsi="Times New Roman" w:cs="Times New Roman"/>
          <w:sz w:val="16"/>
          <w:szCs w:val="16"/>
        </w:rPr>
      </w:pPr>
      <w:r w:rsidRPr="00E07612">
        <w:rPr>
          <w:rStyle w:val="Refdenotaderodap"/>
          <w:rFonts w:ascii="Times New Roman" w:hAnsi="Times New Roman" w:cs="Times New Roman"/>
          <w:sz w:val="16"/>
          <w:szCs w:val="16"/>
        </w:rPr>
        <w:footnoteRef/>
      </w:r>
      <w:r w:rsidRPr="00E07612">
        <w:rPr>
          <w:rFonts w:ascii="Times New Roman" w:hAnsi="Times New Roman" w:cs="Times New Roman"/>
          <w:sz w:val="16"/>
          <w:szCs w:val="16"/>
        </w:rPr>
        <w:t xml:space="preserve"> </w:t>
      </w:r>
      <w:r>
        <w:rPr>
          <w:rFonts w:ascii="Times New Roman" w:hAnsi="Times New Roman" w:cs="Times New Roman"/>
          <w:sz w:val="16"/>
          <w:szCs w:val="16"/>
        </w:rPr>
        <w:t>F</w:t>
      </w:r>
      <w:r w:rsidRPr="00E07612">
        <w:rPr>
          <w:rFonts w:ascii="Times New Roman" w:hAnsi="Times New Roman" w:cs="Times New Roman"/>
          <w:sz w:val="16"/>
          <w:szCs w:val="16"/>
        </w:rPr>
        <w:t>ica VEDADA a subcontratação do objeto principal contratual (locação de software web, assistência técnica, suporte e serviços de manutenção), permitida, no entanto, a contratada optar pela alocação/hospedagem dos seus softwares e aplicativos em qualquer data center de sua livre escolha ou preferência. A estrutura de data center poderá ser tanto da própria contratada ou terceirizada, devendo atender aos requisitos de segurança previstos em edital.</w:t>
      </w:r>
    </w:p>
  </w:footnote>
  <w:footnote w:id="2">
    <w:p w14:paraId="5FCE017C" w14:textId="77777777" w:rsidR="00B307DB" w:rsidRPr="00062244" w:rsidRDefault="00B307DB" w:rsidP="00B307DB">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7D1BD09B" w14:textId="77777777" w:rsidR="00B307DB" w:rsidRPr="00062244" w:rsidRDefault="00D52F36" w:rsidP="00B307DB">
      <w:pPr>
        <w:pStyle w:val="Textodenotaderodap"/>
        <w:ind w:right="-568"/>
        <w:rPr>
          <w:rFonts w:ascii="Arial" w:hAnsi="Arial" w:cs="Arial"/>
          <w:sz w:val="16"/>
          <w:szCs w:val="16"/>
        </w:rPr>
      </w:pPr>
      <w:hyperlink r:id="rId1" w:anchor="art337j" w:history="1">
        <w:r w:rsidR="00B307DB" w:rsidRPr="00062244">
          <w:rPr>
            <w:rStyle w:val="Hyperlink"/>
            <w:rFonts w:ascii="Arial" w:hAnsi="Arial" w:cs="Arial"/>
            <w:sz w:val="16"/>
            <w:szCs w:val="16"/>
          </w:rPr>
          <w:t>Art. 337-J</w:t>
        </w:r>
      </w:hyperlink>
      <w:r w:rsidR="00B307DB" w:rsidRPr="00062244">
        <w:rPr>
          <w:rFonts w:ascii="Arial" w:hAnsi="Arial" w:cs="Arial"/>
          <w:sz w:val="16"/>
          <w:szCs w:val="16"/>
        </w:rPr>
        <w:t>. Devassar o sigilo de proposta apresentada em processo licitatório ou proporcionar a terceiro o ensejo de devassá-lo:</w:t>
      </w:r>
    </w:p>
    <w:p w14:paraId="2F1EC3FE" w14:textId="77777777" w:rsidR="00B307DB" w:rsidRDefault="00B307DB" w:rsidP="00B307DB">
      <w:pPr>
        <w:pStyle w:val="Textodenotaderodap"/>
      </w:pPr>
      <w:r w:rsidRPr="00062244">
        <w:rPr>
          <w:rFonts w:ascii="Arial" w:hAnsi="Arial" w:cs="Arial"/>
          <w:sz w:val="16"/>
          <w:szCs w:val="16"/>
        </w:rPr>
        <w:t>Pena - detenção, de 2 (dois) anos a 3 (três) anos, e multa.</w:t>
      </w:r>
    </w:p>
  </w:footnote>
  <w:footnote w:id="3">
    <w:p w14:paraId="4A51C083" w14:textId="77777777" w:rsidR="00B307DB" w:rsidRPr="00062244" w:rsidRDefault="00B307DB" w:rsidP="00B307DB">
      <w:pPr>
        <w:pStyle w:val="Textodenotaderodap"/>
        <w:ind w:right="-568"/>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D53483E" w14:textId="77777777" w:rsidR="00B307DB" w:rsidRPr="00062244" w:rsidRDefault="00B307DB" w:rsidP="00B307DB">
      <w:pPr>
        <w:pStyle w:val="Textodenotaderodap"/>
        <w:ind w:right="-568"/>
        <w:rPr>
          <w:rFonts w:ascii="Arial" w:hAnsi="Arial" w:cs="Arial"/>
          <w:sz w:val="16"/>
          <w:szCs w:val="16"/>
        </w:rPr>
      </w:pPr>
      <w:r w:rsidRPr="00062244">
        <w:rPr>
          <w:rFonts w:ascii="Arial" w:hAnsi="Arial" w:cs="Arial"/>
          <w:sz w:val="16"/>
          <w:szCs w:val="16"/>
        </w:rPr>
        <w:t>Art. 337-M. Admitir à licitação empresa ou profissional declarado inidôneo:</w:t>
      </w:r>
    </w:p>
    <w:p w14:paraId="3F074685" w14:textId="77777777" w:rsidR="00B307DB" w:rsidRPr="00062244" w:rsidRDefault="00B307DB" w:rsidP="00B307DB">
      <w:pPr>
        <w:pStyle w:val="Textodenotaderodap"/>
        <w:ind w:right="-568"/>
        <w:rPr>
          <w:rFonts w:ascii="Arial" w:hAnsi="Arial" w:cs="Arial"/>
          <w:sz w:val="16"/>
          <w:szCs w:val="16"/>
        </w:rPr>
      </w:pPr>
      <w:r w:rsidRPr="00062244">
        <w:rPr>
          <w:rFonts w:ascii="Arial" w:hAnsi="Arial" w:cs="Arial"/>
          <w:sz w:val="16"/>
          <w:szCs w:val="16"/>
        </w:rPr>
        <w:t>Pena - reclusão, de 1 (um) ano a 3 (três) anos, e multa.</w:t>
      </w:r>
    </w:p>
    <w:p w14:paraId="1529278C" w14:textId="77777777" w:rsidR="00B307DB" w:rsidRPr="00062244" w:rsidRDefault="00B307DB" w:rsidP="00B307DB">
      <w:pPr>
        <w:pStyle w:val="Textodenotaderodap"/>
        <w:ind w:right="-568"/>
        <w:rPr>
          <w:rFonts w:ascii="Arial" w:hAnsi="Arial" w:cs="Arial"/>
          <w:sz w:val="16"/>
          <w:szCs w:val="16"/>
        </w:rPr>
      </w:pPr>
      <w:r w:rsidRPr="00062244">
        <w:rPr>
          <w:rFonts w:ascii="Arial" w:hAnsi="Arial" w:cs="Arial"/>
          <w:sz w:val="16"/>
          <w:szCs w:val="16"/>
        </w:rPr>
        <w:t>§ 1º Celebrar contrato com empresa ou profissional declarado inidôneo:</w:t>
      </w:r>
    </w:p>
    <w:p w14:paraId="66DEE76B" w14:textId="77777777" w:rsidR="00B307DB" w:rsidRPr="00062244" w:rsidRDefault="00B307DB" w:rsidP="00B307DB">
      <w:pPr>
        <w:pStyle w:val="Textodenotaderodap"/>
        <w:ind w:right="-568"/>
        <w:rPr>
          <w:rFonts w:ascii="Arial" w:hAnsi="Arial" w:cs="Arial"/>
          <w:sz w:val="16"/>
          <w:szCs w:val="16"/>
        </w:rPr>
      </w:pPr>
      <w:r w:rsidRPr="00062244">
        <w:rPr>
          <w:rFonts w:ascii="Arial" w:hAnsi="Arial" w:cs="Arial"/>
          <w:sz w:val="16"/>
          <w:szCs w:val="16"/>
        </w:rPr>
        <w:t>Pena - reclusão, de 3 (três) anos a 6 (seis) anos, e multa.</w:t>
      </w:r>
    </w:p>
    <w:p w14:paraId="1060F19B" w14:textId="77777777" w:rsidR="00B307DB" w:rsidRDefault="00B307DB" w:rsidP="00B307DB">
      <w:pPr>
        <w:pStyle w:val="Textodenotaderodap"/>
        <w:ind w:right="-568"/>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722172D7" w14:textId="77777777" w:rsidR="00B307DB" w:rsidRPr="00062244" w:rsidRDefault="00B307DB" w:rsidP="00B307DB">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8915" w14:textId="77777777" w:rsidR="00B307DB" w:rsidRPr="00FB7A1C" w:rsidRDefault="00B307DB"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66432" behindDoc="1" locked="0" layoutInCell="1" allowOverlap="1" wp14:anchorId="78CA939B" wp14:editId="0E8D8A49">
          <wp:simplePos x="0" y="0"/>
          <wp:positionH relativeFrom="column">
            <wp:posOffset>73689</wp:posOffset>
          </wp:positionH>
          <wp:positionV relativeFrom="paragraph">
            <wp:posOffset>30280</wp:posOffset>
          </wp:positionV>
          <wp:extent cx="667820" cy="667157"/>
          <wp:effectExtent l="0" t="0" r="0" b="0"/>
          <wp:wrapNone/>
          <wp:docPr id="29" name="Imagem 29"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04B3A560" w14:textId="77777777" w:rsidR="00B307DB" w:rsidRPr="00FB7A1C" w:rsidRDefault="00B307DB" w:rsidP="00F93465">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7ADC16EF" w14:textId="77777777" w:rsidR="00B307DB" w:rsidRPr="00FB7A1C" w:rsidRDefault="00B307DB" w:rsidP="00F93465">
    <w:pPr>
      <w:pStyle w:val="Cabealho"/>
      <w:pBdr>
        <w:bottom w:val="thinThickThinSmallGap" w:sz="24" w:space="1" w:color="auto"/>
      </w:pBdr>
      <w:tabs>
        <w:tab w:val="clear" w:pos="8504"/>
        <w:tab w:val="left" w:pos="1860"/>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D4A99F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4447A"/>
    <w:multiLevelType w:val="multilevel"/>
    <w:tmpl w:val="3B1629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D50B95"/>
    <w:multiLevelType w:val="multilevel"/>
    <w:tmpl w:val="EEA616B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4" w15:restartNumberingAfterBreak="0">
    <w:nsid w:val="00EA3F24"/>
    <w:multiLevelType w:val="multilevel"/>
    <w:tmpl w:val="4936E97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5" w15:restartNumberingAfterBreak="0">
    <w:nsid w:val="00FA37E6"/>
    <w:multiLevelType w:val="multilevel"/>
    <w:tmpl w:val="62C22A9C"/>
    <w:lvl w:ilvl="0">
      <w:start w:val="21"/>
      <w:numFmt w:val="decimal"/>
      <w:lvlText w:val="%1"/>
      <w:lvlJc w:val="left"/>
      <w:pPr>
        <w:ind w:left="384" w:hanging="384"/>
      </w:pPr>
      <w:rPr>
        <w:rFonts w:hint="default"/>
        <w:b/>
      </w:rPr>
    </w:lvl>
    <w:lvl w:ilvl="1">
      <w:start w:val="4"/>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18D2F39"/>
    <w:multiLevelType w:val="multilevel"/>
    <w:tmpl w:val="26307F5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7" w15:restartNumberingAfterBreak="0">
    <w:nsid w:val="01BF2FD5"/>
    <w:multiLevelType w:val="multilevel"/>
    <w:tmpl w:val="7608A28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 w15:restartNumberingAfterBreak="0">
    <w:nsid w:val="01DA3750"/>
    <w:multiLevelType w:val="hybridMultilevel"/>
    <w:tmpl w:val="FB9C17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1FD6C00"/>
    <w:multiLevelType w:val="multilevel"/>
    <w:tmpl w:val="C7F0FF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0" w15:restartNumberingAfterBreak="0">
    <w:nsid w:val="025D5F12"/>
    <w:multiLevelType w:val="multilevel"/>
    <w:tmpl w:val="39FA79C4"/>
    <w:lvl w:ilvl="0">
      <w:start w:val="1"/>
      <w:numFmt w:val="lowerLetter"/>
      <w:lvlText w:val="%1)"/>
      <w:lvlJc w:val="left"/>
      <w:pPr>
        <w:tabs>
          <w:tab w:val="num" w:pos="0"/>
        </w:tabs>
        <w:ind w:left="927" w:hanging="360"/>
      </w:pPr>
      <w:rPr>
        <w:rFonts w:ascii="Times New Roman" w:eastAsia="Arial" w:hAnsi="Times New Roman" w:cs="Times New Roman" w:hint="default"/>
        <w:b/>
        <w:bCs w:val="0"/>
        <w:spacing w:val="-3"/>
        <w:w w:val="99"/>
        <w:sz w:val="24"/>
        <w:szCs w:val="24"/>
      </w:rPr>
    </w:lvl>
    <w:lvl w:ilvl="1">
      <w:start w:val="1"/>
      <w:numFmt w:val="lowerLetter"/>
      <w:isLgl/>
      <w:suff w:val="space"/>
      <w:lvlText w:val="%2."/>
      <w:lvlJc w:val="left"/>
      <w:pPr>
        <w:tabs>
          <w:tab w:val="num" w:pos="0"/>
        </w:tabs>
        <w:ind w:left="1647" w:hanging="360"/>
      </w:pPr>
    </w:lvl>
    <w:lvl w:ilvl="2">
      <w:start w:val="1"/>
      <w:numFmt w:val="lowerRoman"/>
      <w:isLgl/>
      <w:suff w:val="space"/>
      <w:lvlText w:val="%3."/>
      <w:lvlJc w:val="right"/>
      <w:pPr>
        <w:tabs>
          <w:tab w:val="num" w:pos="0"/>
        </w:tabs>
        <w:ind w:left="2367" w:hanging="180"/>
      </w:pPr>
    </w:lvl>
    <w:lvl w:ilvl="3">
      <w:start w:val="1"/>
      <w:numFmt w:val="decimal"/>
      <w:isLgl/>
      <w:suff w:val="space"/>
      <w:lvlText w:val="%4."/>
      <w:lvlJc w:val="left"/>
      <w:pPr>
        <w:tabs>
          <w:tab w:val="num" w:pos="0"/>
        </w:tabs>
        <w:ind w:left="3087" w:hanging="360"/>
      </w:pPr>
    </w:lvl>
    <w:lvl w:ilvl="4">
      <w:start w:val="1"/>
      <w:numFmt w:val="lowerLetter"/>
      <w:isLgl/>
      <w:suff w:val="space"/>
      <w:lvlText w:val="%5."/>
      <w:lvlJc w:val="left"/>
      <w:pPr>
        <w:tabs>
          <w:tab w:val="num" w:pos="0"/>
        </w:tabs>
        <w:ind w:left="3807" w:hanging="360"/>
      </w:pPr>
    </w:lvl>
    <w:lvl w:ilvl="5">
      <w:start w:val="1"/>
      <w:numFmt w:val="lowerRoman"/>
      <w:isLgl/>
      <w:suff w:val="space"/>
      <w:lvlText w:val="%6."/>
      <w:lvlJc w:val="right"/>
      <w:pPr>
        <w:tabs>
          <w:tab w:val="num" w:pos="0"/>
        </w:tabs>
        <w:ind w:left="4527" w:hanging="180"/>
      </w:pPr>
    </w:lvl>
    <w:lvl w:ilvl="6">
      <w:start w:val="1"/>
      <w:numFmt w:val="decimal"/>
      <w:isLgl/>
      <w:suff w:val="space"/>
      <w:lvlText w:val="%7."/>
      <w:lvlJc w:val="left"/>
      <w:pPr>
        <w:tabs>
          <w:tab w:val="num" w:pos="0"/>
        </w:tabs>
        <w:ind w:left="5247" w:hanging="360"/>
      </w:pPr>
    </w:lvl>
    <w:lvl w:ilvl="7">
      <w:start w:val="1"/>
      <w:numFmt w:val="lowerLetter"/>
      <w:isLgl/>
      <w:suff w:val="space"/>
      <w:lvlText w:val="%8."/>
      <w:lvlJc w:val="left"/>
      <w:pPr>
        <w:tabs>
          <w:tab w:val="num" w:pos="0"/>
        </w:tabs>
        <w:ind w:left="5967" w:hanging="360"/>
      </w:pPr>
    </w:lvl>
    <w:lvl w:ilvl="8">
      <w:start w:val="1"/>
      <w:numFmt w:val="lowerRoman"/>
      <w:isLgl/>
      <w:suff w:val="space"/>
      <w:lvlText w:val="%9."/>
      <w:lvlJc w:val="right"/>
      <w:pPr>
        <w:tabs>
          <w:tab w:val="num" w:pos="0"/>
        </w:tabs>
        <w:ind w:left="6687" w:hanging="180"/>
      </w:pPr>
    </w:lvl>
  </w:abstractNum>
  <w:abstractNum w:abstractNumId="11" w15:restartNumberingAfterBreak="0">
    <w:nsid w:val="02691C52"/>
    <w:multiLevelType w:val="multilevel"/>
    <w:tmpl w:val="405A232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2" w15:restartNumberingAfterBreak="0">
    <w:nsid w:val="02C271C6"/>
    <w:multiLevelType w:val="multilevel"/>
    <w:tmpl w:val="249E02DA"/>
    <w:lvl w:ilvl="0">
      <w:start w:val="22"/>
      <w:numFmt w:val="decimal"/>
      <w:lvlText w:val="%1"/>
      <w:lvlJc w:val="left"/>
      <w:pPr>
        <w:ind w:left="384" w:hanging="384"/>
      </w:pPr>
      <w:rPr>
        <w:rFonts w:hint="default"/>
        <w:b/>
      </w:rPr>
    </w:lvl>
    <w:lvl w:ilvl="1">
      <w:start w:val="4"/>
      <w:numFmt w:val="decimal"/>
      <w:lvlText w:val="%1.%2"/>
      <w:lvlJc w:val="left"/>
      <w:pPr>
        <w:ind w:left="768" w:hanging="384"/>
      </w:pPr>
      <w:rPr>
        <w:rFonts w:hint="default"/>
        <w:b/>
      </w:rPr>
    </w:lvl>
    <w:lvl w:ilvl="2">
      <w:start w:val="1"/>
      <w:numFmt w:val="decimal"/>
      <w:lvlText w:val="%1.%2.%3"/>
      <w:lvlJc w:val="left"/>
      <w:pPr>
        <w:ind w:left="1488" w:hanging="720"/>
      </w:pPr>
      <w:rPr>
        <w:rFonts w:hint="default"/>
        <w:b/>
      </w:rPr>
    </w:lvl>
    <w:lvl w:ilvl="3">
      <w:start w:val="1"/>
      <w:numFmt w:val="decimal"/>
      <w:lvlText w:val="%1.%2.%3.%4"/>
      <w:lvlJc w:val="left"/>
      <w:pPr>
        <w:ind w:left="1872" w:hanging="720"/>
      </w:pPr>
      <w:rPr>
        <w:rFonts w:hint="default"/>
        <w:b/>
      </w:rPr>
    </w:lvl>
    <w:lvl w:ilvl="4">
      <w:start w:val="1"/>
      <w:numFmt w:val="decimalZero"/>
      <w:lvlText w:val="%1.%2.%3.%4.%5"/>
      <w:lvlJc w:val="left"/>
      <w:pPr>
        <w:ind w:left="2616" w:hanging="1080"/>
      </w:pPr>
      <w:rPr>
        <w:rFonts w:hint="default"/>
        <w:b/>
      </w:rPr>
    </w:lvl>
    <w:lvl w:ilvl="5">
      <w:start w:val="1"/>
      <w:numFmt w:val="decimalZero"/>
      <w:lvlText w:val="%1.%2.%3.%4.%5.%6"/>
      <w:lvlJc w:val="left"/>
      <w:pPr>
        <w:ind w:left="3000" w:hanging="1080"/>
      </w:pPr>
      <w:rPr>
        <w:rFonts w:hint="default"/>
        <w:b/>
      </w:rPr>
    </w:lvl>
    <w:lvl w:ilvl="6">
      <w:start w:val="1"/>
      <w:numFmt w:val="decimalZero"/>
      <w:lvlText w:val="%1.%2.%3.%4.%5.%6.%7"/>
      <w:lvlJc w:val="left"/>
      <w:pPr>
        <w:ind w:left="3744" w:hanging="1440"/>
      </w:pPr>
      <w:rPr>
        <w:rFonts w:hint="default"/>
        <w:b/>
      </w:rPr>
    </w:lvl>
    <w:lvl w:ilvl="7">
      <w:start w:val="1"/>
      <w:numFmt w:val="decimal"/>
      <w:lvlText w:val="%1.%2.%3.%4.%5.%6.%7.%8"/>
      <w:lvlJc w:val="left"/>
      <w:pPr>
        <w:ind w:left="4128" w:hanging="1440"/>
      </w:pPr>
      <w:rPr>
        <w:rFonts w:hint="default"/>
        <w:b/>
      </w:rPr>
    </w:lvl>
    <w:lvl w:ilvl="8">
      <w:start w:val="1"/>
      <w:numFmt w:val="decimal"/>
      <w:lvlText w:val="%1.%2.%3.%4.%5.%6.%7.%8.%9"/>
      <w:lvlJc w:val="left"/>
      <w:pPr>
        <w:ind w:left="4512" w:hanging="1440"/>
      </w:pPr>
      <w:rPr>
        <w:rFonts w:hint="default"/>
        <w:b/>
      </w:rPr>
    </w:lvl>
  </w:abstractNum>
  <w:abstractNum w:abstractNumId="13" w15:restartNumberingAfterBreak="0">
    <w:nsid w:val="03394722"/>
    <w:multiLevelType w:val="multilevel"/>
    <w:tmpl w:val="39FA79C4"/>
    <w:lvl w:ilvl="0">
      <w:start w:val="1"/>
      <w:numFmt w:val="lowerLetter"/>
      <w:lvlText w:val="%1)"/>
      <w:lvlJc w:val="left"/>
      <w:pPr>
        <w:tabs>
          <w:tab w:val="num" w:pos="0"/>
        </w:tabs>
        <w:ind w:left="927" w:hanging="360"/>
      </w:pPr>
      <w:rPr>
        <w:rFonts w:ascii="Times New Roman" w:eastAsia="Arial" w:hAnsi="Times New Roman" w:cs="Times New Roman" w:hint="default"/>
        <w:b/>
        <w:bCs w:val="0"/>
        <w:spacing w:val="-3"/>
        <w:w w:val="99"/>
        <w:sz w:val="24"/>
        <w:szCs w:val="24"/>
      </w:rPr>
    </w:lvl>
    <w:lvl w:ilvl="1">
      <w:start w:val="1"/>
      <w:numFmt w:val="lowerLetter"/>
      <w:isLgl/>
      <w:suff w:val="space"/>
      <w:lvlText w:val="%2."/>
      <w:lvlJc w:val="left"/>
      <w:pPr>
        <w:tabs>
          <w:tab w:val="num" w:pos="0"/>
        </w:tabs>
        <w:ind w:left="1647" w:hanging="360"/>
      </w:pPr>
    </w:lvl>
    <w:lvl w:ilvl="2">
      <w:start w:val="1"/>
      <w:numFmt w:val="lowerRoman"/>
      <w:isLgl/>
      <w:suff w:val="space"/>
      <w:lvlText w:val="%3."/>
      <w:lvlJc w:val="right"/>
      <w:pPr>
        <w:tabs>
          <w:tab w:val="num" w:pos="0"/>
        </w:tabs>
        <w:ind w:left="2367" w:hanging="180"/>
      </w:pPr>
    </w:lvl>
    <w:lvl w:ilvl="3">
      <w:start w:val="1"/>
      <w:numFmt w:val="decimal"/>
      <w:isLgl/>
      <w:suff w:val="space"/>
      <w:lvlText w:val="%4."/>
      <w:lvlJc w:val="left"/>
      <w:pPr>
        <w:tabs>
          <w:tab w:val="num" w:pos="0"/>
        </w:tabs>
        <w:ind w:left="3087" w:hanging="360"/>
      </w:pPr>
    </w:lvl>
    <w:lvl w:ilvl="4">
      <w:start w:val="1"/>
      <w:numFmt w:val="lowerLetter"/>
      <w:isLgl/>
      <w:suff w:val="space"/>
      <w:lvlText w:val="%5."/>
      <w:lvlJc w:val="left"/>
      <w:pPr>
        <w:tabs>
          <w:tab w:val="num" w:pos="0"/>
        </w:tabs>
        <w:ind w:left="3807" w:hanging="360"/>
      </w:pPr>
    </w:lvl>
    <w:lvl w:ilvl="5">
      <w:start w:val="1"/>
      <w:numFmt w:val="lowerRoman"/>
      <w:isLgl/>
      <w:suff w:val="space"/>
      <w:lvlText w:val="%6."/>
      <w:lvlJc w:val="right"/>
      <w:pPr>
        <w:tabs>
          <w:tab w:val="num" w:pos="0"/>
        </w:tabs>
        <w:ind w:left="4527" w:hanging="180"/>
      </w:pPr>
    </w:lvl>
    <w:lvl w:ilvl="6">
      <w:start w:val="1"/>
      <w:numFmt w:val="decimal"/>
      <w:isLgl/>
      <w:suff w:val="space"/>
      <w:lvlText w:val="%7."/>
      <w:lvlJc w:val="left"/>
      <w:pPr>
        <w:tabs>
          <w:tab w:val="num" w:pos="0"/>
        </w:tabs>
        <w:ind w:left="5247" w:hanging="360"/>
      </w:pPr>
    </w:lvl>
    <w:lvl w:ilvl="7">
      <w:start w:val="1"/>
      <w:numFmt w:val="lowerLetter"/>
      <w:isLgl/>
      <w:suff w:val="space"/>
      <w:lvlText w:val="%8."/>
      <w:lvlJc w:val="left"/>
      <w:pPr>
        <w:tabs>
          <w:tab w:val="num" w:pos="0"/>
        </w:tabs>
        <w:ind w:left="5967" w:hanging="360"/>
      </w:pPr>
    </w:lvl>
    <w:lvl w:ilvl="8">
      <w:start w:val="1"/>
      <w:numFmt w:val="lowerRoman"/>
      <w:isLgl/>
      <w:suff w:val="space"/>
      <w:lvlText w:val="%9."/>
      <w:lvlJc w:val="right"/>
      <w:pPr>
        <w:tabs>
          <w:tab w:val="num" w:pos="0"/>
        </w:tabs>
        <w:ind w:left="6687" w:hanging="180"/>
      </w:pPr>
    </w:lvl>
  </w:abstractNum>
  <w:abstractNum w:abstractNumId="14" w15:restartNumberingAfterBreak="0">
    <w:nsid w:val="0369122A"/>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3F03989"/>
    <w:multiLevelType w:val="multilevel"/>
    <w:tmpl w:val="505C69D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45E4B31"/>
    <w:multiLevelType w:val="multilevel"/>
    <w:tmpl w:val="CDA6164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7" w15:restartNumberingAfterBreak="0">
    <w:nsid w:val="04BD7523"/>
    <w:multiLevelType w:val="multilevel"/>
    <w:tmpl w:val="0712835A"/>
    <w:lvl w:ilvl="0">
      <w:start w:val="21"/>
      <w:numFmt w:val="decimal"/>
      <w:lvlText w:val="%1"/>
      <w:lvlJc w:val="left"/>
      <w:pPr>
        <w:ind w:left="384" w:hanging="384"/>
      </w:pPr>
      <w:rPr>
        <w:rFonts w:hint="default"/>
      </w:rPr>
    </w:lvl>
    <w:lvl w:ilvl="1">
      <w:start w:val="4"/>
      <w:numFmt w:val="decimal"/>
      <w:lvlText w:val="%1.%2"/>
      <w:lvlJc w:val="left"/>
      <w:pPr>
        <w:ind w:left="768" w:hanging="384"/>
      </w:pPr>
      <w:rPr>
        <w:rFonts w:hint="default"/>
        <w:b/>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8" w15:restartNumberingAfterBreak="0">
    <w:nsid w:val="05194B66"/>
    <w:multiLevelType w:val="multilevel"/>
    <w:tmpl w:val="103C34C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9" w15:restartNumberingAfterBreak="0">
    <w:nsid w:val="056A6E07"/>
    <w:multiLevelType w:val="multilevel"/>
    <w:tmpl w:val="F934EB30"/>
    <w:lvl w:ilvl="0">
      <w:start w:val="1"/>
      <w:numFmt w:val="decimal"/>
      <w:lvlText w:val="%1."/>
      <w:lvlJc w:val="left"/>
      <w:pPr>
        <w:tabs>
          <w:tab w:val="num" w:pos="0"/>
        </w:tabs>
        <w:ind w:left="288"/>
      </w:pPr>
      <w:rPr>
        <w:rFonts w:hint="default"/>
        <w:b/>
        <w:bCs/>
        <w:i w:val="0"/>
        <w:strike w:val="0"/>
        <w:dstrike w:val="0"/>
        <w:color w:val="000009"/>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9"/>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9"/>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9"/>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9"/>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9"/>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9"/>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9"/>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9"/>
        <w:position w:val="0"/>
        <w:sz w:val="18"/>
        <w:szCs w:val="18"/>
        <w:u w:val="none"/>
        <w:vertAlign w:val="baseline"/>
      </w:rPr>
    </w:lvl>
  </w:abstractNum>
  <w:abstractNum w:abstractNumId="20" w15:restartNumberingAfterBreak="0">
    <w:nsid w:val="06371814"/>
    <w:multiLevelType w:val="multilevel"/>
    <w:tmpl w:val="FFDE9F22"/>
    <w:lvl w:ilvl="0">
      <w:start w:val="1"/>
      <w:numFmt w:val="decimal"/>
      <w:lvlText w:val="%1."/>
      <w:lvlJc w:val="left"/>
      <w:pPr>
        <w:tabs>
          <w:tab w:val="num" w:pos="0"/>
        </w:tabs>
        <w:ind w:left="720" w:hanging="360"/>
      </w:pPr>
      <w:rPr>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21" w15:restartNumberingAfterBreak="0">
    <w:nsid w:val="06B75C3B"/>
    <w:multiLevelType w:val="multilevel"/>
    <w:tmpl w:val="875C348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Letter"/>
      <w:lvlText w:val="%3)"/>
      <w:lvlJc w:val="left"/>
      <w:pPr>
        <w:tabs>
          <w:tab w:val="num" w:pos="1440"/>
        </w:tabs>
        <w:ind w:left="1440" w:hanging="360"/>
      </w:pPr>
      <w:rPr>
        <w:rFonts w:cs="Times New Roman"/>
        <w:b/>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2" w15:restartNumberingAfterBreak="0">
    <w:nsid w:val="07213239"/>
    <w:multiLevelType w:val="hybridMultilevel"/>
    <w:tmpl w:val="A1EA29B2"/>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07AE49D8"/>
    <w:multiLevelType w:val="multilevel"/>
    <w:tmpl w:val="F8D494D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083F13D4"/>
    <w:multiLevelType w:val="multilevel"/>
    <w:tmpl w:val="6F822F46"/>
    <w:lvl w:ilvl="0">
      <w:start w:val="1"/>
      <w:numFmt w:val="lowerLetter"/>
      <w:lvlText w:val="%1)"/>
      <w:lvlJc w:val="left"/>
      <w:pPr>
        <w:tabs>
          <w:tab w:val="num" w:pos="-567"/>
        </w:tabs>
        <w:ind w:left="928" w:hanging="360"/>
      </w:pPr>
      <w:rPr>
        <w:rFonts w:hint="default"/>
        <w:b/>
        <w:strike w:val="0"/>
        <w:dstrike w:val="0"/>
        <w:color w:val="auto"/>
        <w:sz w:val="22"/>
        <w:szCs w:val="22"/>
      </w:rPr>
    </w:lvl>
    <w:lvl w:ilvl="1">
      <w:start w:val="1"/>
      <w:numFmt w:val="lowerLetter"/>
      <w:isLgl/>
      <w:suff w:val="space"/>
      <w:lvlText w:val="%2."/>
      <w:lvlJc w:val="left"/>
      <w:pPr>
        <w:tabs>
          <w:tab w:val="num" w:pos="-567"/>
        </w:tabs>
        <w:ind w:left="873" w:hanging="360"/>
      </w:pPr>
    </w:lvl>
    <w:lvl w:ilvl="2">
      <w:start w:val="1"/>
      <w:numFmt w:val="lowerRoman"/>
      <w:isLgl/>
      <w:suff w:val="space"/>
      <w:lvlText w:val="%3."/>
      <w:lvlJc w:val="right"/>
      <w:pPr>
        <w:tabs>
          <w:tab w:val="num" w:pos="-567"/>
        </w:tabs>
        <w:ind w:left="1593" w:hanging="180"/>
      </w:pPr>
    </w:lvl>
    <w:lvl w:ilvl="3">
      <w:start w:val="1"/>
      <w:numFmt w:val="decimal"/>
      <w:isLgl/>
      <w:suff w:val="space"/>
      <w:lvlText w:val="%4."/>
      <w:lvlJc w:val="left"/>
      <w:pPr>
        <w:tabs>
          <w:tab w:val="num" w:pos="-567"/>
        </w:tabs>
        <w:ind w:left="2313" w:hanging="360"/>
      </w:pPr>
    </w:lvl>
    <w:lvl w:ilvl="4">
      <w:start w:val="1"/>
      <w:numFmt w:val="lowerRoman"/>
      <w:lvlText w:val="%5."/>
      <w:lvlJc w:val="right"/>
      <w:pPr>
        <w:tabs>
          <w:tab w:val="num" w:pos="-567"/>
        </w:tabs>
        <w:ind w:left="3033" w:hanging="360"/>
      </w:pPr>
    </w:lvl>
    <w:lvl w:ilvl="5">
      <w:start w:val="1"/>
      <w:numFmt w:val="lowerRoman"/>
      <w:isLgl/>
      <w:suff w:val="space"/>
      <w:lvlText w:val="%6."/>
      <w:lvlJc w:val="right"/>
      <w:pPr>
        <w:tabs>
          <w:tab w:val="num" w:pos="-567"/>
        </w:tabs>
        <w:ind w:left="3753" w:hanging="180"/>
      </w:pPr>
    </w:lvl>
    <w:lvl w:ilvl="6">
      <w:start w:val="1"/>
      <w:numFmt w:val="decimal"/>
      <w:isLgl/>
      <w:suff w:val="space"/>
      <w:lvlText w:val="%7."/>
      <w:lvlJc w:val="left"/>
      <w:pPr>
        <w:tabs>
          <w:tab w:val="num" w:pos="-567"/>
        </w:tabs>
        <w:ind w:left="4473" w:hanging="360"/>
      </w:pPr>
    </w:lvl>
    <w:lvl w:ilvl="7">
      <w:start w:val="1"/>
      <w:numFmt w:val="lowerLetter"/>
      <w:isLgl/>
      <w:suff w:val="space"/>
      <w:lvlText w:val="%8."/>
      <w:lvlJc w:val="left"/>
      <w:pPr>
        <w:tabs>
          <w:tab w:val="num" w:pos="-567"/>
        </w:tabs>
        <w:ind w:left="5193" w:hanging="360"/>
      </w:pPr>
    </w:lvl>
    <w:lvl w:ilvl="8">
      <w:start w:val="1"/>
      <w:numFmt w:val="lowerRoman"/>
      <w:isLgl/>
      <w:suff w:val="space"/>
      <w:lvlText w:val="%9."/>
      <w:lvlJc w:val="right"/>
      <w:pPr>
        <w:tabs>
          <w:tab w:val="num" w:pos="-567"/>
        </w:tabs>
        <w:ind w:left="5913" w:hanging="180"/>
      </w:pPr>
    </w:lvl>
  </w:abstractNum>
  <w:abstractNum w:abstractNumId="25" w15:restartNumberingAfterBreak="0">
    <w:nsid w:val="08E2016E"/>
    <w:multiLevelType w:val="multilevel"/>
    <w:tmpl w:val="B56685D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093A32B3"/>
    <w:multiLevelType w:val="multilevel"/>
    <w:tmpl w:val="91E6C6FC"/>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097C7BCA"/>
    <w:multiLevelType w:val="multilevel"/>
    <w:tmpl w:val="030068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8" w15:restartNumberingAfterBreak="0">
    <w:nsid w:val="09F93B53"/>
    <w:multiLevelType w:val="hybridMultilevel"/>
    <w:tmpl w:val="A1EA29B2"/>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0A215300"/>
    <w:multiLevelType w:val="multilevel"/>
    <w:tmpl w:val="F192073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0A60280B"/>
    <w:multiLevelType w:val="hybridMultilevel"/>
    <w:tmpl w:val="B16AC2D2"/>
    <w:lvl w:ilvl="0" w:tplc="5D06187A">
      <w:start w:val="1"/>
      <w:numFmt w:val="lowerLetter"/>
      <w:lvlText w:val="%1)"/>
      <w:lvlJc w:val="left"/>
      <w:pPr>
        <w:ind w:left="1920" w:hanging="360"/>
      </w:pPr>
      <w:rPr>
        <w:rFonts w:hint="default"/>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0A7A2A70"/>
    <w:multiLevelType w:val="multilevel"/>
    <w:tmpl w:val="A2528BE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32" w15:restartNumberingAfterBreak="0">
    <w:nsid w:val="0AB57ADC"/>
    <w:multiLevelType w:val="multilevel"/>
    <w:tmpl w:val="A466464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33" w15:restartNumberingAfterBreak="0">
    <w:nsid w:val="0B382752"/>
    <w:multiLevelType w:val="multilevel"/>
    <w:tmpl w:val="93EAE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34" w15:restartNumberingAfterBreak="0">
    <w:nsid w:val="0BAC088F"/>
    <w:multiLevelType w:val="multilevel"/>
    <w:tmpl w:val="BD70E422"/>
    <w:lvl w:ilvl="0">
      <w:start w:val="1"/>
      <w:numFmt w:val="lowerLetter"/>
      <w:lvlText w:val="%1)"/>
      <w:lvlJc w:val="left"/>
      <w:pPr>
        <w:tabs>
          <w:tab w:val="num" w:pos="1211"/>
        </w:tabs>
        <w:ind w:left="1211" w:hanging="360"/>
      </w:pPr>
      <w:rPr>
        <w:rFonts w:cs="Times New Roman"/>
        <w:b/>
      </w:rPr>
    </w:lvl>
    <w:lvl w:ilvl="1">
      <w:start w:val="1"/>
      <w:numFmt w:val="lowerLetter"/>
      <w:lvlText w:val="%2)"/>
      <w:lvlJc w:val="left"/>
      <w:pPr>
        <w:tabs>
          <w:tab w:val="num" w:pos="1571"/>
        </w:tabs>
        <w:ind w:left="1571" w:hanging="360"/>
      </w:pPr>
      <w:rPr>
        <w:rFonts w:cs="Times New Roman"/>
      </w:rPr>
    </w:lvl>
    <w:lvl w:ilvl="2">
      <w:start w:val="1"/>
      <w:numFmt w:val="lowerLetter"/>
      <w:lvlText w:val="%3)"/>
      <w:lvlJc w:val="left"/>
      <w:pPr>
        <w:tabs>
          <w:tab w:val="num" w:pos="1931"/>
        </w:tabs>
        <w:ind w:left="1931" w:hanging="360"/>
      </w:pPr>
      <w:rPr>
        <w:rFonts w:cs="Times New Roman"/>
      </w:rPr>
    </w:lvl>
    <w:lvl w:ilvl="3">
      <w:start w:val="1"/>
      <w:numFmt w:val="lowerLetter"/>
      <w:lvlText w:val="%4)"/>
      <w:lvlJc w:val="left"/>
      <w:pPr>
        <w:tabs>
          <w:tab w:val="num" w:pos="2291"/>
        </w:tabs>
        <w:ind w:left="2291" w:hanging="360"/>
      </w:pPr>
      <w:rPr>
        <w:rFonts w:cs="Times New Roman"/>
      </w:rPr>
    </w:lvl>
    <w:lvl w:ilvl="4">
      <w:start w:val="1"/>
      <w:numFmt w:val="lowerLetter"/>
      <w:lvlText w:val="%5)"/>
      <w:lvlJc w:val="left"/>
      <w:pPr>
        <w:tabs>
          <w:tab w:val="num" w:pos="2651"/>
        </w:tabs>
        <w:ind w:left="2651" w:hanging="360"/>
      </w:pPr>
      <w:rPr>
        <w:rFonts w:cs="Times New Roman"/>
      </w:rPr>
    </w:lvl>
    <w:lvl w:ilvl="5">
      <w:start w:val="1"/>
      <w:numFmt w:val="lowerLetter"/>
      <w:lvlText w:val="%6)"/>
      <w:lvlJc w:val="left"/>
      <w:pPr>
        <w:tabs>
          <w:tab w:val="num" w:pos="3011"/>
        </w:tabs>
        <w:ind w:left="3011" w:hanging="360"/>
      </w:pPr>
      <w:rPr>
        <w:rFonts w:cs="Times New Roman"/>
      </w:rPr>
    </w:lvl>
    <w:lvl w:ilvl="6">
      <w:start w:val="1"/>
      <w:numFmt w:val="lowerLetter"/>
      <w:lvlText w:val="%7)"/>
      <w:lvlJc w:val="left"/>
      <w:pPr>
        <w:tabs>
          <w:tab w:val="num" w:pos="3371"/>
        </w:tabs>
        <w:ind w:left="3371" w:hanging="360"/>
      </w:pPr>
      <w:rPr>
        <w:rFonts w:cs="Times New Roman"/>
      </w:rPr>
    </w:lvl>
    <w:lvl w:ilvl="7">
      <w:start w:val="1"/>
      <w:numFmt w:val="lowerLetter"/>
      <w:lvlText w:val="%8)"/>
      <w:lvlJc w:val="left"/>
      <w:pPr>
        <w:tabs>
          <w:tab w:val="num" w:pos="3731"/>
        </w:tabs>
        <w:ind w:left="3731" w:hanging="360"/>
      </w:pPr>
      <w:rPr>
        <w:rFonts w:cs="Times New Roman"/>
      </w:rPr>
    </w:lvl>
    <w:lvl w:ilvl="8">
      <w:start w:val="1"/>
      <w:numFmt w:val="lowerLetter"/>
      <w:lvlText w:val="%9)"/>
      <w:lvlJc w:val="left"/>
      <w:pPr>
        <w:tabs>
          <w:tab w:val="num" w:pos="4091"/>
        </w:tabs>
        <w:ind w:left="4091" w:hanging="360"/>
      </w:pPr>
      <w:rPr>
        <w:rFonts w:cs="Times New Roman"/>
      </w:rPr>
    </w:lvl>
  </w:abstractNum>
  <w:abstractNum w:abstractNumId="35" w15:restartNumberingAfterBreak="0">
    <w:nsid w:val="0BE50FEF"/>
    <w:multiLevelType w:val="multilevel"/>
    <w:tmpl w:val="4D4CE3E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0BF86CDC"/>
    <w:multiLevelType w:val="hybridMultilevel"/>
    <w:tmpl w:val="FE4A27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0C0D1325"/>
    <w:multiLevelType w:val="multilevel"/>
    <w:tmpl w:val="464082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8" w15:restartNumberingAfterBreak="0">
    <w:nsid w:val="0C2C2406"/>
    <w:multiLevelType w:val="multilevel"/>
    <w:tmpl w:val="4936E97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9" w15:restartNumberingAfterBreak="0">
    <w:nsid w:val="0C985241"/>
    <w:multiLevelType w:val="multilevel"/>
    <w:tmpl w:val="80EAFE36"/>
    <w:lvl w:ilvl="0">
      <w:start w:val="1"/>
      <w:numFmt w:val="decimal"/>
      <w:lvlText w:val="%1."/>
      <w:lvlJc w:val="left"/>
      <w:pPr>
        <w:tabs>
          <w:tab w:val="num" w:pos="0"/>
        </w:tabs>
        <w:ind w:left="360"/>
      </w:pPr>
      <w:rPr>
        <w:rFonts w:hint="default"/>
        <w:b/>
        <w:i w:val="0"/>
        <w:strike w:val="0"/>
        <w:dstrike w:val="0"/>
        <w:color w:val="000000"/>
        <w:position w:val="0"/>
        <w:sz w:val="22"/>
        <w:szCs w:val="22"/>
        <w:u w:val="none"/>
        <w:vertAlign w:val="baseline"/>
      </w:rPr>
    </w:lvl>
    <w:lvl w:ilvl="1">
      <w:start w:val="3"/>
      <w:numFmt w:val="decimal"/>
      <w:isLgl/>
      <w:suff w:val="space"/>
      <w:lvlText w:val="%1.%2."/>
      <w:lvlJc w:val="left"/>
      <w:pPr>
        <w:tabs>
          <w:tab w:val="num" w:pos="0"/>
        </w:tabs>
        <w:ind w:left="73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abstractNum>
  <w:abstractNum w:abstractNumId="40" w15:restartNumberingAfterBreak="0">
    <w:nsid w:val="0C9853CF"/>
    <w:multiLevelType w:val="hybridMultilevel"/>
    <w:tmpl w:val="CD667408"/>
    <w:lvl w:ilvl="0" w:tplc="85DE34B8">
      <w:start w:val="1"/>
      <w:numFmt w:val="upperRoman"/>
      <w:lvlText w:val="%1 - "/>
      <w:lvlJc w:val="left"/>
      <w:pPr>
        <w:ind w:left="1440" w:hanging="360"/>
      </w:pPr>
      <w:rPr>
        <w:rFonts w:hint="default"/>
        <w:b/>
      </w:rPr>
    </w:lvl>
    <w:lvl w:ilvl="1" w:tplc="6F28CDFE">
      <w:start w:val="1"/>
      <w:numFmt w:val="upperLetter"/>
      <w:lvlText w:val="%2)"/>
      <w:lvlJc w:val="left"/>
      <w:pPr>
        <w:ind w:left="2160" w:hanging="360"/>
      </w:pPr>
      <w:rPr>
        <w:rFonts w:hint="default"/>
      </w:rPr>
    </w:lvl>
    <w:lvl w:ilvl="2" w:tplc="1668DBCC">
      <w:start w:val="1"/>
      <w:numFmt w:val="decimal"/>
      <w:lvlText w:val="%3)"/>
      <w:lvlJc w:val="left"/>
      <w:pPr>
        <w:ind w:left="3060" w:hanging="36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0D0E07D5"/>
    <w:multiLevelType w:val="hybridMultilevel"/>
    <w:tmpl w:val="A1EA29B2"/>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0D35590B"/>
    <w:multiLevelType w:val="hybridMultilevel"/>
    <w:tmpl w:val="368E649E"/>
    <w:lvl w:ilvl="0" w:tplc="64D24982">
      <w:start w:val="1"/>
      <w:numFmt w:val="lowerLetter"/>
      <w:lvlText w:val="%1)"/>
      <w:lvlJc w:val="left"/>
      <w:pPr>
        <w:ind w:left="1494" w:hanging="360"/>
      </w:pPr>
      <w:rPr>
        <w:rFonts w:hint="default"/>
        <w:b/>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3" w15:restartNumberingAfterBreak="0">
    <w:nsid w:val="0DA35900"/>
    <w:multiLevelType w:val="multilevel"/>
    <w:tmpl w:val="361AD8CC"/>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44" w15:restartNumberingAfterBreak="0">
    <w:nsid w:val="0DB93044"/>
    <w:multiLevelType w:val="multilevel"/>
    <w:tmpl w:val="DCD46A92"/>
    <w:lvl w:ilvl="0">
      <w:start w:val="1"/>
      <w:numFmt w:val="decimal"/>
      <w:pStyle w:val="numerado"/>
      <w:isLgl/>
      <w:lvlText w:val="%1."/>
      <w:lvlJc w:val="left"/>
      <w:pPr>
        <w:tabs>
          <w:tab w:val="num" w:pos="0"/>
        </w:tabs>
        <w:ind w:left="720" w:hanging="360"/>
      </w:pPr>
      <w:rPr>
        <w:rFonts w:ascii="Calibri" w:hAnsi="Calibri" w:cs="Times New Roman"/>
        <w:b w:val="0"/>
        <w:i w:val="0"/>
        <w:sz w:val="22"/>
      </w:rPr>
    </w:lvl>
    <w:lvl w:ilvl="1">
      <w:start w:val="1"/>
      <w:numFmt w:val="lowerLetter"/>
      <w:isLgl/>
      <w:lvlText w:val="%2."/>
      <w:lvlJc w:val="left"/>
      <w:pPr>
        <w:tabs>
          <w:tab w:val="num" w:pos="0"/>
        </w:tabs>
        <w:ind w:left="1440" w:hanging="360"/>
      </w:pPr>
      <w:rPr>
        <w:rFonts w:cs="Times New Roman"/>
      </w:rPr>
    </w:lvl>
    <w:lvl w:ilvl="2">
      <w:start w:val="1"/>
      <w:numFmt w:val="lowerRoman"/>
      <w:isLgl/>
      <w:lvlText w:val="%3."/>
      <w:lvlJc w:val="right"/>
      <w:pPr>
        <w:tabs>
          <w:tab w:val="num" w:pos="0"/>
        </w:tabs>
        <w:ind w:left="2160" w:hanging="180"/>
      </w:pPr>
      <w:rPr>
        <w:rFonts w:cs="Times New Roman"/>
      </w:rPr>
    </w:lvl>
    <w:lvl w:ilvl="3">
      <w:start w:val="1"/>
      <w:numFmt w:val="decimal"/>
      <w:isLgl/>
      <w:lvlText w:val="%4."/>
      <w:lvlJc w:val="left"/>
      <w:pPr>
        <w:tabs>
          <w:tab w:val="num" w:pos="0"/>
        </w:tabs>
        <w:ind w:left="2880" w:hanging="360"/>
      </w:pPr>
      <w:rPr>
        <w:rFonts w:cs="Times New Roman"/>
      </w:rPr>
    </w:lvl>
    <w:lvl w:ilvl="4">
      <w:start w:val="1"/>
      <w:numFmt w:val="lowerLetter"/>
      <w:isLgl/>
      <w:lvlText w:val="%5."/>
      <w:lvlJc w:val="left"/>
      <w:pPr>
        <w:tabs>
          <w:tab w:val="num" w:pos="0"/>
        </w:tabs>
        <w:ind w:left="3600" w:hanging="360"/>
      </w:pPr>
      <w:rPr>
        <w:rFonts w:cs="Times New Roman"/>
      </w:rPr>
    </w:lvl>
    <w:lvl w:ilvl="5">
      <w:start w:val="1"/>
      <w:numFmt w:val="lowerRoman"/>
      <w:isLgl/>
      <w:lvlText w:val="%6."/>
      <w:lvlJc w:val="right"/>
      <w:pPr>
        <w:tabs>
          <w:tab w:val="num" w:pos="0"/>
        </w:tabs>
        <w:ind w:left="4320" w:hanging="180"/>
      </w:pPr>
      <w:rPr>
        <w:rFonts w:cs="Times New Roman"/>
      </w:rPr>
    </w:lvl>
    <w:lvl w:ilvl="6">
      <w:start w:val="1"/>
      <w:numFmt w:val="decimal"/>
      <w:isLgl/>
      <w:lvlText w:val="%7."/>
      <w:lvlJc w:val="left"/>
      <w:pPr>
        <w:tabs>
          <w:tab w:val="num" w:pos="0"/>
        </w:tabs>
        <w:ind w:left="5040" w:hanging="360"/>
      </w:pPr>
      <w:rPr>
        <w:rFonts w:cs="Times New Roman"/>
      </w:rPr>
    </w:lvl>
    <w:lvl w:ilvl="7">
      <w:start w:val="1"/>
      <w:numFmt w:val="lowerLetter"/>
      <w:isLgl/>
      <w:lvlText w:val="%8."/>
      <w:lvlJc w:val="left"/>
      <w:pPr>
        <w:tabs>
          <w:tab w:val="num" w:pos="0"/>
        </w:tabs>
        <w:ind w:left="5760" w:hanging="360"/>
      </w:pPr>
      <w:rPr>
        <w:rFonts w:cs="Times New Roman"/>
      </w:rPr>
    </w:lvl>
    <w:lvl w:ilvl="8">
      <w:start w:val="1"/>
      <w:numFmt w:val="lowerRoman"/>
      <w:isLgl/>
      <w:lvlText w:val="%9."/>
      <w:lvlJc w:val="right"/>
      <w:pPr>
        <w:tabs>
          <w:tab w:val="num" w:pos="0"/>
        </w:tabs>
        <w:ind w:left="6480" w:hanging="180"/>
      </w:pPr>
      <w:rPr>
        <w:rFonts w:cs="Times New Roman"/>
      </w:rPr>
    </w:lvl>
  </w:abstractNum>
  <w:abstractNum w:abstractNumId="45" w15:restartNumberingAfterBreak="0">
    <w:nsid w:val="0E1A2720"/>
    <w:multiLevelType w:val="multilevel"/>
    <w:tmpl w:val="76AE9128"/>
    <w:lvl w:ilvl="0">
      <w:start w:val="1"/>
      <w:numFmt w:val="decimal"/>
      <w:isLgl/>
      <w:suff w:val="space"/>
      <w:lvlText w:val="%1."/>
      <w:lvlJc w:val="left"/>
      <w:pPr>
        <w:tabs>
          <w:tab w:val="num" w:pos="0"/>
        </w:tabs>
        <w:ind w:left="360" w:hanging="360"/>
      </w:pPr>
      <w:rPr>
        <w:rFonts w:cs="Times New Roman"/>
        <w:b/>
        <w:bCs/>
        <w:sz w:val="22"/>
        <w:szCs w:val="22"/>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46" w15:restartNumberingAfterBreak="0">
    <w:nsid w:val="0E2966FD"/>
    <w:multiLevelType w:val="multilevel"/>
    <w:tmpl w:val="756646D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7" w15:restartNumberingAfterBreak="0">
    <w:nsid w:val="0EDA7290"/>
    <w:multiLevelType w:val="hybridMultilevel"/>
    <w:tmpl w:val="E70C7634"/>
    <w:lvl w:ilvl="0" w:tplc="4DCCE348">
      <w:start w:val="13"/>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8" w15:restartNumberingAfterBreak="0">
    <w:nsid w:val="0EEA5857"/>
    <w:multiLevelType w:val="multilevel"/>
    <w:tmpl w:val="939C5468"/>
    <w:lvl w:ilvl="0">
      <w:start w:val="12"/>
      <w:numFmt w:val="decimal"/>
      <w:lvlText w:val="%1"/>
      <w:lvlJc w:val="left"/>
      <w:pPr>
        <w:ind w:left="552" w:hanging="552"/>
      </w:pPr>
      <w:rPr>
        <w:rFonts w:hint="default"/>
        <w:b/>
      </w:rPr>
    </w:lvl>
    <w:lvl w:ilvl="1">
      <w:start w:val="2"/>
      <w:numFmt w:val="decimal"/>
      <w:lvlText w:val="%1.%2"/>
      <w:lvlJc w:val="left"/>
      <w:pPr>
        <w:ind w:left="828" w:hanging="552"/>
      </w:pPr>
      <w:rPr>
        <w:rFonts w:hint="default"/>
        <w:b/>
      </w:rPr>
    </w:lvl>
    <w:lvl w:ilvl="2">
      <w:start w:val="4"/>
      <w:numFmt w:val="decimal"/>
      <w:lvlText w:val="%1.%2.%3"/>
      <w:lvlJc w:val="left"/>
      <w:pPr>
        <w:ind w:left="1272" w:hanging="720"/>
      </w:pPr>
      <w:rPr>
        <w:rFonts w:hint="default"/>
        <w:b/>
      </w:rPr>
    </w:lvl>
    <w:lvl w:ilvl="3">
      <w:start w:val="1"/>
      <w:numFmt w:val="decimal"/>
      <w:lvlText w:val="%1.%2.%3.%4"/>
      <w:lvlJc w:val="left"/>
      <w:pPr>
        <w:ind w:left="1548" w:hanging="720"/>
      </w:pPr>
      <w:rPr>
        <w:rFonts w:hint="default"/>
        <w:b/>
      </w:rPr>
    </w:lvl>
    <w:lvl w:ilvl="4">
      <w:start w:val="1"/>
      <w:numFmt w:val="decimal"/>
      <w:lvlText w:val="%1.%2.%3.%4.%5"/>
      <w:lvlJc w:val="left"/>
      <w:pPr>
        <w:ind w:left="2184" w:hanging="1080"/>
      </w:pPr>
      <w:rPr>
        <w:rFonts w:hint="default"/>
        <w:b/>
      </w:rPr>
    </w:lvl>
    <w:lvl w:ilvl="5">
      <w:start w:val="1"/>
      <w:numFmt w:val="decimal"/>
      <w:lvlText w:val="%1.%2.%3.%4.%5.%6"/>
      <w:lvlJc w:val="left"/>
      <w:pPr>
        <w:ind w:left="2460" w:hanging="1080"/>
      </w:pPr>
      <w:rPr>
        <w:rFonts w:hint="default"/>
        <w:b/>
      </w:rPr>
    </w:lvl>
    <w:lvl w:ilvl="6">
      <w:start w:val="1"/>
      <w:numFmt w:val="decimal"/>
      <w:lvlText w:val="%1.%2.%3.%4.%5.%6.%7"/>
      <w:lvlJc w:val="left"/>
      <w:pPr>
        <w:ind w:left="3096" w:hanging="1440"/>
      </w:pPr>
      <w:rPr>
        <w:rFonts w:hint="default"/>
        <w:b/>
      </w:rPr>
    </w:lvl>
    <w:lvl w:ilvl="7">
      <w:start w:val="1"/>
      <w:numFmt w:val="decimal"/>
      <w:lvlText w:val="%1.%2.%3.%4.%5.%6.%7.%8"/>
      <w:lvlJc w:val="left"/>
      <w:pPr>
        <w:ind w:left="3372" w:hanging="1440"/>
      </w:pPr>
      <w:rPr>
        <w:rFonts w:hint="default"/>
        <w:b/>
      </w:rPr>
    </w:lvl>
    <w:lvl w:ilvl="8">
      <w:start w:val="1"/>
      <w:numFmt w:val="decimal"/>
      <w:lvlText w:val="%1.%2.%3.%4.%5.%6.%7.%8.%9"/>
      <w:lvlJc w:val="left"/>
      <w:pPr>
        <w:ind w:left="3648" w:hanging="1440"/>
      </w:pPr>
      <w:rPr>
        <w:rFonts w:hint="default"/>
        <w:b/>
      </w:rPr>
    </w:lvl>
  </w:abstractNum>
  <w:abstractNum w:abstractNumId="49" w15:restartNumberingAfterBreak="0">
    <w:nsid w:val="104A1497"/>
    <w:multiLevelType w:val="multilevel"/>
    <w:tmpl w:val="C16288F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50" w15:restartNumberingAfterBreak="0">
    <w:nsid w:val="10833582"/>
    <w:multiLevelType w:val="hybridMultilevel"/>
    <w:tmpl w:val="0602CCC8"/>
    <w:lvl w:ilvl="0" w:tplc="04160017">
      <w:start w:val="1"/>
      <w:numFmt w:val="lowerLetter"/>
      <w:lvlText w:val="%1)"/>
      <w:lvlJc w:val="left"/>
      <w:pPr>
        <w:ind w:left="1778" w:hanging="360"/>
      </w:pPr>
      <w:rPr>
        <w:rFonts w:hint="default"/>
        <w:b/>
        <w:strike w:val="0"/>
        <w:color w:val="000000" w:themeColor="text1"/>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1" w15:restartNumberingAfterBreak="0">
    <w:nsid w:val="10D454DE"/>
    <w:multiLevelType w:val="multilevel"/>
    <w:tmpl w:val="C7F0FF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52" w15:restartNumberingAfterBreak="0">
    <w:nsid w:val="110466AE"/>
    <w:multiLevelType w:val="hybridMultilevel"/>
    <w:tmpl w:val="32F8AC22"/>
    <w:lvl w:ilvl="0" w:tplc="6F4651CA">
      <w:start w:val="1"/>
      <w:numFmt w:val="lowerLetter"/>
      <w:lvlText w:val="%1)"/>
      <w:lvlJc w:val="left"/>
      <w:pPr>
        <w:ind w:left="1493" w:hanging="360"/>
      </w:pPr>
      <w:rPr>
        <w:rFonts w:hint="default"/>
        <w:b/>
        <w:color w:val="auto"/>
      </w:rPr>
    </w:lvl>
    <w:lvl w:ilvl="1" w:tplc="6F4651CA">
      <w:start w:val="1"/>
      <w:numFmt w:val="lowerLetter"/>
      <w:lvlText w:val="%2)"/>
      <w:lvlJc w:val="left"/>
      <w:pPr>
        <w:ind w:left="2213" w:hanging="360"/>
      </w:pPr>
      <w:rPr>
        <w:rFonts w:hint="default"/>
        <w:b/>
        <w:color w:val="auto"/>
      </w:r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53" w15:restartNumberingAfterBreak="0">
    <w:nsid w:val="11075D16"/>
    <w:multiLevelType w:val="multilevel"/>
    <w:tmpl w:val="C708376C"/>
    <w:lvl w:ilvl="0">
      <w:start w:val="1"/>
      <w:numFmt w:val="decimal"/>
      <w:isLgl/>
      <w:suff w:val="space"/>
      <w:lvlText w:val="%1."/>
      <w:lvlJc w:val="left"/>
      <w:pPr>
        <w:tabs>
          <w:tab w:val="num" w:pos="0"/>
        </w:tabs>
        <w:ind w:left="360" w:hanging="360"/>
      </w:pPr>
      <w:rPr>
        <w:rFonts w:cs="Times New Roman"/>
        <w:b/>
        <w:bCs/>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54" w15:restartNumberingAfterBreak="0">
    <w:nsid w:val="111638B2"/>
    <w:multiLevelType w:val="hybridMultilevel"/>
    <w:tmpl w:val="29980F64"/>
    <w:lvl w:ilvl="0" w:tplc="F29CE912">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5" w15:restartNumberingAfterBreak="0">
    <w:nsid w:val="11E23A28"/>
    <w:multiLevelType w:val="multilevel"/>
    <w:tmpl w:val="C1AC9BB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56" w15:restartNumberingAfterBreak="0">
    <w:nsid w:val="12656F70"/>
    <w:multiLevelType w:val="multilevel"/>
    <w:tmpl w:val="4F6C6F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57" w15:restartNumberingAfterBreak="0">
    <w:nsid w:val="127A7816"/>
    <w:multiLevelType w:val="multilevel"/>
    <w:tmpl w:val="274AAFF8"/>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58" w15:restartNumberingAfterBreak="0">
    <w:nsid w:val="128B0227"/>
    <w:multiLevelType w:val="multilevel"/>
    <w:tmpl w:val="030068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59" w15:restartNumberingAfterBreak="0">
    <w:nsid w:val="12EC2E27"/>
    <w:multiLevelType w:val="hybridMultilevel"/>
    <w:tmpl w:val="85CC53D6"/>
    <w:lvl w:ilvl="0" w:tplc="95A8D086">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0" w15:restartNumberingAfterBreak="0">
    <w:nsid w:val="13986903"/>
    <w:multiLevelType w:val="multilevel"/>
    <w:tmpl w:val="9EFCA602"/>
    <w:lvl w:ilvl="0">
      <w:start w:val="1"/>
      <w:numFmt w:val="decimal"/>
      <w:lvlText w:val="%1."/>
      <w:lvlJc w:val="left"/>
      <w:pPr>
        <w:tabs>
          <w:tab w:val="num" w:pos="0"/>
        </w:tabs>
        <w:ind w:left="10"/>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61" w15:restartNumberingAfterBreak="0">
    <w:nsid w:val="13E32AE5"/>
    <w:multiLevelType w:val="hybridMultilevel"/>
    <w:tmpl w:val="5312702A"/>
    <w:lvl w:ilvl="0" w:tplc="EC6CAC80">
      <w:start w:val="9"/>
      <w:numFmt w:val="decimal"/>
      <w:lvlText w:val="%1"/>
      <w:lvlJc w:val="left"/>
      <w:pPr>
        <w:ind w:left="830" w:hanging="360"/>
      </w:pPr>
      <w:rPr>
        <w:rFonts w:hint="default"/>
      </w:rPr>
    </w:lvl>
    <w:lvl w:ilvl="1" w:tplc="04160019" w:tentative="1">
      <w:start w:val="1"/>
      <w:numFmt w:val="lowerLetter"/>
      <w:lvlText w:val="%2."/>
      <w:lvlJc w:val="left"/>
      <w:pPr>
        <w:ind w:left="1550" w:hanging="360"/>
      </w:pPr>
    </w:lvl>
    <w:lvl w:ilvl="2" w:tplc="0416001B" w:tentative="1">
      <w:start w:val="1"/>
      <w:numFmt w:val="lowerRoman"/>
      <w:lvlText w:val="%3."/>
      <w:lvlJc w:val="right"/>
      <w:pPr>
        <w:ind w:left="2270" w:hanging="180"/>
      </w:pPr>
    </w:lvl>
    <w:lvl w:ilvl="3" w:tplc="0416000F" w:tentative="1">
      <w:start w:val="1"/>
      <w:numFmt w:val="decimal"/>
      <w:lvlText w:val="%4."/>
      <w:lvlJc w:val="left"/>
      <w:pPr>
        <w:ind w:left="2990" w:hanging="360"/>
      </w:pPr>
    </w:lvl>
    <w:lvl w:ilvl="4" w:tplc="04160019" w:tentative="1">
      <w:start w:val="1"/>
      <w:numFmt w:val="lowerLetter"/>
      <w:lvlText w:val="%5."/>
      <w:lvlJc w:val="left"/>
      <w:pPr>
        <w:ind w:left="3710" w:hanging="360"/>
      </w:pPr>
    </w:lvl>
    <w:lvl w:ilvl="5" w:tplc="0416001B" w:tentative="1">
      <w:start w:val="1"/>
      <w:numFmt w:val="lowerRoman"/>
      <w:lvlText w:val="%6."/>
      <w:lvlJc w:val="right"/>
      <w:pPr>
        <w:ind w:left="4430" w:hanging="180"/>
      </w:pPr>
    </w:lvl>
    <w:lvl w:ilvl="6" w:tplc="0416000F" w:tentative="1">
      <w:start w:val="1"/>
      <w:numFmt w:val="decimal"/>
      <w:lvlText w:val="%7."/>
      <w:lvlJc w:val="left"/>
      <w:pPr>
        <w:ind w:left="5150" w:hanging="360"/>
      </w:pPr>
    </w:lvl>
    <w:lvl w:ilvl="7" w:tplc="04160019" w:tentative="1">
      <w:start w:val="1"/>
      <w:numFmt w:val="lowerLetter"/>
      <w:lvlText w:val="%8."/>
      <w:lvlJc w:val="left"/>
      <w:pPr>
        <w:ind w:left="5870" w:hanging="360"/>
      </w:pPr>
    </w:lvl>
    <w:lvl w:ilvl="8" w:tplc="0416001B" w:tentative="1">
      <w:start w:val="1"/>
      <w:numFmt w:val="lowerRoman"/>
      <w:lvlText w:val="%9."/>
      <w:lvlJc w:val="right"/>
      <w:pPr>
        <w:ind w:left="6590" w:hanging="180"/>
      </w:pPr>
    </w:lvl>
  </w:abstractNum>
  <w:abstractNum w:abstractNumId="62" w15:restartNumberingAfterBreak="0">
    <w:nsid w:val="13E57600"/>
    <w:multiLevelType w:val="multilevel"/>
    <w:tmpl w:val="73B0C37C"/>
    <w:lvl w:ilvl="0">
      <w:start w:val="1"/>
      <w:numFmt w:val="decimal"/>
      <w:lvlText w:val="%1."/>
      <w:lvlJc w:val="left"/>
      <w:pPr>
        <w:tabs>
          <w:tab w:val="num" w:pos="0"/>
        </w:tabs>
        <w:ind w:left="260"/>
      </w:pPr>
      <w:rPr>
        <w:b/>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val="0"/>
        <w:i w:val="0"/>
        <w:strike w:val="0"/>
        <w:dstrike w:val="0"/>
        <w:color w:val="000000"/>
        <w:position w:val="0"/>
        <w:sz w:val="18"/>
        <w:szCs w:val="18"/>
        <w:u w:val="none"/>
        <w:vertAlign w:val="baseline"/>
      </w:rPr>
    </w:lvl>
  </w:abstractNum>
  <w:abstractNum w:abstractNumId="63" w15:restartNumberingAfterBreak="0">
    <w:nsid w:val="14DB53A1"/>
    <w:multiLevelType w:val="hybridMultilevel"/>
    <w:tmpl w:val="2818A3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15383597"/>
    <w:multiLevelType w:val="hybridMultilevel"/>
    <w:tmpl w:val="711E2206"/>
    <w:lvl w:ilvl="0" w:tplc="5D06187A">
      <w:start w:val="1"/>
      <w:numFmt w:val="lowerLetter"/>
      <w:lvlText w:val="%1)"/>
      <w:lvlJc w:val="left"/>
      <w:pPr>
        <w:ind w:left="2340" w:hanging="360"/>
      </w:pPr>
      <w:rPr>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5" w15:restartNumberingAfterBreak="0">
    <w:nsid w:val="16310E48"/>
    <w:multiLevelType w:val="multilevel"/>
    <w:tmpl w:val="829C328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66" w15:restartNumberingAfterBreak="0">
    <w:nsid w:val="16501D12"/>
    <w:multiLevelType w:val="multilevel"/>
    <w:tmpl w:val="1850FC38"/>
    <w:lvl w:ilvl="0">
      <w:start w:val="1"/>
      <w:numFmt w:val="lowerLetter"/>
      <w:lvlText w:val="%1)"/>
      <w:lvlJc w:val="left"/>
      <w:pPr>
        <w:tabs>
          <w:tab w:val="num" w:pos="0"/>
        </w:tabs>
        <w:ind w:left="1135" w:firstLine="0"/>
      </w:pPr>
      <w:rPr>
        <w:rFonts w:ascii="Times New Roman" w:eastAsia="Arial" w:hAnsi="Times New Roman" w:cs="Times New Roman" w:hint="default"/>
        <w:b/>
        <w:bCs w:val="0"/>
        <w:i w:val="0"/>
        <w:strike w:val="0"/>
        <w:dstrike w:val="0"/>
        <w:color w:val="000000"/>
        <w:spacing w:val="-3"/>
        <w:w w:val="99"/>
        <w:position w:val="0"/>
        <w:sz w:val="24"/>
        <w:szCs w:val="24"/>
        <w:u w:val="none"/>
        <w:vertAlign w:val="baseline"/>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67" w15:restartNumberingAfterBreak="0">
    <w:nsid w:val="169B7AE2"/>
    <w:multiLevelType w:val="multilevel"/>
    <w:tmpl w:val="4CE8D7F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8" w15:restartNumberingAfterBreak="0">
    <w:nsid w:val="16B96293"/>
    <w:multiLevelType w:val="multilevel"/>
    <w:tmpl w:val="70EC82B0"/>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16DF105C"/>
    <w:multiLevelType w:val="multilevel"/>
    <w:tmpl w:val="0F1CFEF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16E16BEC"/>
    <w:multiLevelType w:val="multilevel"/>
    <w:tmpl w:val="F192073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1" w15:restartNumberingAfterBreak="0">
    <w:nsid w:val="170F5A08"/>
    <w:multiLevelType w:val="multilevel"/>
    <w:tmpl w:val="BDECA988"/>
    <w:lvl w:ilvl="0">
      <w:start w:val="1"/>
      <w:numFmt w:val="decimal"/>
      <w:lvlText w:val="%1."/>
      <w:lvlJc w:val="left"/>
      <w:pPr>
        <w:tabs>
          <w:tab w:val="num" w:pos="0"/>
        </w:tabs>
        <w:ind w:left="383"/>
      </w:pPr>
      <w:rPr>
        <w:b/>
        <w:bCs/>
        <w:i w:val="0"/>
        <w:strike w:val="0"/>
        <w:dstrike w:val="0"/>
        <w:color w:val="000000"/>
        <w:position w:val="0"/>
        <w:sz w:val="22"/>
        <w:szCs w:val="22"/>
        <w:u w:val="none"/>
        <w:vertAlign w:val="baseline"/>
      </w:rPr>
    </w:lvl>
    <w:lvl w:ilvl="1">
      <w:start w:val="1"/>
      <w:numFmt w:val="decimal"/>
      <w:isLgl/>
      <w:suff w:val="space"/>
      <w:lvlText w:val="%1.%2."/>
      <w:lvlJc w:val="left"/>
      <w:pPr>
        <w:tabs>
          <w:tab w:val="num" w:pos="0"/>
        </w:tabs>
        <w:ind w:left="1295"/>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abstractNum>
  <w:abstractNum w:abstractNumId="72" w15:restartNumberingAfterBreak="0">
    <w:nsid w:val="174319FB"/>
    <w:multiLevelType w:val="hybridMultilevel"/>
    <w:tmpl w:val="34B671A4"/>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3" w15:restartNumberingAfterBreak="0">
    <w:nsid w:val="17C91CDF"/>
    <w:multiLevelType w:val="multilevel"/>
    <w:tmpl w:val="F934EB30"/>
    <w:lvl w:ilvl="0">
      <w:start w:val="1"/>
      <w:numFmt w:val="decimal"/>
      <w:lvlText w:val="%1."/>
      <w:lvlJc w:val="left"/>
      <w:pPr>
        <w:tabs>
          <w:tab w:val="num" w:pos="0"/>
        </w:tabs>
        <w:ind w:left="288"/>
      </w:pPr>
      <w:rPr>
        <w:rFonts w:hint="default"/>
        <w:b/>
        <w:bCs/>
        <w:i w:val="0"/>
        <w:strike w:val="0"/>
        <w:dstrike w:val="0"/>
        <w:color w:val="000009"/>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9"/>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9"/>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9"/>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9"/>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9"/>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9"/>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9"/>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9"/>
        <w:position w:val="0"/>
        <w:sz w:val="18"/>
        <w:szCs w:val="18"/>
        <w:u w:val="none"/>
        <w:vertAlign w:val="baseline"/>
      </w:rPr>
    </w:lvl>
  </w:abstractNum>
  <w:abstractNum w:abstractNumId="74" w15:restartNumberingAfterBreak="0">
    <w:nsid w:val="17EE4A7B"/>
    <w:multiLevelType w:val="multilevel"/>
    <w:tmpl w:val="93EAE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75" w15:restartNumberingAfterBreak="0">
    <w:nsid w:val="18203DDC"/>
    <w:multiLevelType w:val="hybridMultilevel"/>
    <w:tmpl w:val="ACCEE766"/>
    <w:lvl w:ilvl="0" w:tplc="04160011">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76" w15:restartNumberingAfterBreak="0">
    <w:nsid w:val="18344A97"/>
    <w:multiLevelType w:val="multilevel"/>
    <w:tmpl w:val="361AD8CC"/>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77" w15:restartNumberingAfterBreak="0">
    <w:nsid w:val="19267FEB"/>
    <w:multiLevelType w:val="multilevel"/>
    <w:tmpl w:val="3DA8A21A"/>
    <w:lvl w:ilvl="0">
      <w:start w:val="1"/>
      <w:numFmt w:val="decimal"/>
      <w:lvlText w:val="%1."/>
      <w:lvlJc w:val="left"/>
      <w:pPr>
        <w:tabs>
          <w:tab w:val="num" w:pos="0"/>
        </w:tabs>
        <w:ind w:left="288"/>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78" w15:restartNumberingAfterBreak="0">
    <w:nsid w:val="1AD51CA4"/>
    <w:multiLevelType w:val="multilevel"/>
    <w:tmpl w:val="9170E62C"/>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79" w15:restartNumberingAfterBreak="0">
    <w:nsid w:val="1BA36150"/>
    <w:multiLevelType w:val="hybridMultilevel"/>
    <w:tmpl w:val="1088A8CE"/>
    <w:lvl w:ilvl="0" w:tplc="81727D84">
      <w:start w:val="1"/>
      <w:numFmt w:val="lowerLetter"/>
      <w:lvlText w:val="%1)"/>
      <w:lvlJc w:val="left"/>
      <w:pPr>
        <w:ind w:left="720" w:hanging="360"/>
      </w:pPr>
      <w:rPr>
        <w:b/>
      </w:rPr>
    </w:lvl>
    <w:lvl w:ilvl="1" w:tplc="85DE34B8">
      <w:start w:val="1"/>
      <w:numFmt w:val="upperRoman"/>
      <w:lvlText w:val="%2 - "/>
      <w:lvlJc w:val="left"/>
      <w:pPr>
        <w:ind w:left="928"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1C4B2F59"/>
    <w:multiLevelType w:val="multilevel"/>
    <w:tmpl w:val="93EAE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81" w15:restartNumberingAfterBreak="0">
    <w:nsid w:val="1C952CFD"/>
    <w:multiLevelType w:val="multilevel"/>
    <w:tmpl w:val="ED800BC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2" w15:restartNumberingAfterBreak="0">
    <w:nsid w:val="1D4D4A42"/>
    <w:multiLevelType w:val="multilevel"/>
    <w:tmpl w:val="4CE8D7F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3" w15:restartNumberingAfterBreak="0">
    <w:nsid w:val="1DBC5A0F"/>
    <w:multiLevelType w:val="multilevel"/>
    <w:tmpl w:val="86D65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84" w15:restartNumberingAfterBreak="0">
    <w:nsid w:val="1E1A7A19"/>
    <w:multiLevelType w:val="multilevel"/>
    <w:tmpl w:val="B176AB1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85" w15:restartNumberingAfterBreak="0">
    <w:nsid w:val="1ED1696B"/>
    <w:multiLevelType w:val="multilevel"/>
    <w:tmpl w:val="A998BA48"/>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86" w15:restartNumberingAfterBreak="0">
    <w:nsid w:val="1EFB2957"/>
    <w:multiLevelType w:val="multilevel"/>
    <w:tmpl w:val="A2528BE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87" w15:restartNumberingAfterBreak="0">
    <w:nsid w:val="1F0537CB"/>
    <w:multiLevelType w:val="multilevel"/>
    <w:tmpl w:val="F8D494D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8" w15:restartNumberingAfterBreak="0">
    <w:nsid w:val="1FE84FE9"/>
    <w:multiLevelType w:val="hybridMultilevel"/>
    <w:tmpl w:val="711E2206"/>
    <w:lvl w:ilvl="0" w:tplc="5D06187A">
      <w:start w:val="1"/>
      <w:numFmt w:val="lowerLetter"/>
      <w:lvlText w:val="%1)"/>
      <w:lvlJc w:val="left"/>
      <w:pPr>
        <w:ind w:left="2340" w:hanging="360"/>
      </w:pPr>
      <w:rPr>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89" w15:restartNumberingAfterBreak="0">
    <w:nsid w:val="1FF06223"/>
    <w:multiLevelType w:val="multilevel"/>
    <w:tmpl w:val="76AE9128"/>
    <w:lvl w:ilvl="0">
      <w:start w:val="1"/>
      <w:numFmt w:val="decimal"/>
      <w:isLgl/>
      <w:suff w:val="space"/>
      <w:lvlText w:val="%1."/>
      <w:lvlJc w:val="left"/>
      <w:pPr>
        <w:tabs>
          <w:tab w:val="num" w:pos="0"/>
        </w:tabs>
        <w:ind w:left="360" w:hanging="360"/>
      </w:pPr>
      <w:rPr>
        <w:rFonts w:cs="Times New Roman"/>
        <w:b/>
        <w:bCs/>
        <w:sz w:val="22"/>
        <w:szCs w:val="22"/>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90" w15:restartNumberingAfterBreak="0">
    <w:nsid w:val="2022035C"/>
    <w:multiLevelType w:val="multilevel"/>
    <w:tmpl w:val="F29AA58E"/>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1" w15:restartNumberingAfterBreak="0">
    <w:nsid w:val="20771FEC"/>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92" w15:restartNumberingAfterBreak="0">
    <w:nsid w:val="208A030F"/>
    <w:multiLevelType w:val="multilevel"/>
    <w:tmpl w:val="1368CBF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3" w15:restartNumberingAfterBreak="0">
    <w:nsid w:val="209C47C6"/>
    <w:multiLevelType w:val="multilevel"/>
    <w:tmpl w:val="361AD8CC"/>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94" w15:restartNumberingAfterBreak="0">
    <w:nsid w:val="216E37CC"/>
    <w:multiLevelType w:val="multilevel"/>
    <w:tmpl w:val="B176AB1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95" w15:restartNumberingAfterBreak="0">
    <w:nsid w:val="22637684"/>
    <w:multiLevelType w:val="multilevel"/>
    <w:tmpl w:val="C7A6E75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6" w15:restartNumberingAfterBreak="0">
    <w:nsid w:val="22B47EB7"/>
    <w:multiLevelType w:val="multilevel"/>
    <w:tmpl w:val="EBF47FFE"/>
    <w:lvl w:ilvl="0">
      <w:start w:val="1"/>
      <w:numFmt w:val="lowerLetter"/>
      <w:lvlText w:val="%1)"/>
      <w:lvlJc w:val="left"/>
      <w:pPr>
        <w:tabs>
          <w:tab w:val="num" w:pos="0"/>
        </w:tabs>
        <w:ind w:left="720" w:hanging="360"/>
      </w:pPr>
      <w:rPr>
        <w:rFonts w:ascii="Times New Roman" w:eastAsia="Arial" w:hAnsi="Times New Roman" w:cs="Times New Roman" w:hint="default"/>
        <w:b/>
        <w:spacing w:val="-3"/>
        <w:w w:val="99"/>
        <w:sz w:val="24"/>
        <w:szCs w:val="24"/>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97" w15:restartNumberingAfterBreak="0">
    <w:nsid w:val="22E137CF"/>
    <w:multiLevelType w:val="multilevel"/>
    <w:tmpl w:val="806658BA"/>
    <w:lvl w:ilvl="0">
      <w:start w:val="2"/>
      <w:numFmt w:val="decimal"/>
      <w:isLgl/>
      <w:suff w:val="space"/>
      <w:lvlText w:val="%1"/>
      <w:lvlJc w:val="left"/>
      <w:pPr>
        <w:tabs>
          <w:tab w:val="num" w:pos="0"/>
        </w:tabs>
        <w:ind w:left="360" w:hanging="360"/>
      </w:pPr>
      <w:rPr>
        <w:rFonts w:cs="Times New Roman"/>
      </w:rPr>
    </w:lvl>
    <w:lvl w:ilvl="1">
      <w:start w:val="1"/>
      <w:numFmt w:val="decimal"/>
      <w:isLgl/>
      <w:suff w:val="space"/>
      <w:lvlText w:val="%1.%2"/>
      <w:lvlJc w:val="left"/>
      <w:pPr>
        <w:tabs>
          <w:tab w:val="num" w:pos="0"/>
        </w:tabs>
        <w:ind w:left="360" w:hanging="360"/>
      </w:pPr>
      <w:rPr>
        <w:rFonts w:cs="Times New Roman"/>
        <w:b/>
        <w:bCs w:val="0"/>
      </w:rPr>
    </w:lvl>
    <w:lvl w:ilvl="2">
      <w:start w:val="1"/>
      <w:numFmt w:val="decimal"/>
      <w:isLgl/>
      <w:suff w:val="space"/>
      <w:lvlText w:val="%1.%2.%3"/>
      <w:lvlJc w:val="left"/>
      <w:pPr>
        <w:tabs>
          <w:tab w:val="num" w:pos="0"/>
        </w:tabs>
        <w:ind w:left="720" w:hanging="720"/>
      </w:pPr>
      <w:rPr>
        <w:rFonts w:cs="Times New Roman"/>
        <w:b/>
        <w:bCs/>
      </w:rPr>
    </w:lvl>
    <w:lvl w:ilvl="3">
      <w:start w:val="1"/>
      <w:numFmt w:val="decimal"/>
      <w:isLgl/>
      <w:suff w:val="space"/>
      <w:lvlText w:val="%1.%2.%3.%4"/>
      <w:lvlJc w:val="left"/>
      <w:pPr>
        <w:tabs>
          <w:tab w:val="num" w:pos="0"/>
        </w:tabs>
        <w:ind w:left="720" w:hanging="720"/>
      </w:pPr>
      <w:rPr>
        <w:rFonts w:cs="Times New Roman"/>
      </w:rPr>
    </w:lvl>
    <w:lvl w:ilvl="4">
      <w:start w:val="1"/>
      <w:numFmt w:val="decimal"/>
      <w:isLgl/>
      <w:suff w:val="space"/>
      <w:lvlText w:val="%1.%2.%3.%4.%5"/>
      <w:lvlJc w:val="left"/>
      <w:pPr>
        <w:tabs>
          <w:tab w:val="num" w:pos="0"/>
        </w:tabs>
        <w:ind w:left="1080" w:hanging="1080"/>
      </w:pPr>
      <w:rPr>
        <w:rFonts w:cs="Times New Roman"/>
      </w:rPr>
    </w:lvl>
    <w:lvl w:ilvl="5">
      <w:start w:val="1"/>
      <w:numFmt w:val="decimal"/>
      <w:isLgl/>
      <w:suff w:val="space"/>
      <w:lvlText w:val="%1.%2.%3.%4.%5.%6"/>
      <w:lvlJc w:val="left"/>
      <w:pPr>
        <w:tabs>
          <w:tab w:val="num" w:pos="0"/>
        </w:tabs>
        <w:ind w:left="1080" w:hanging="1080"/>
      </w:pPr>
      <w:rPr>
        <w:rFonts w:cs="Times New Roman"/>
      </w:rPr>
    </w:lvl>
    <w:lvl w:ilvl="6">
      <w:start w:val="1"/>
      <w:numFmt w:val="decimal"/>
      <w:isLgl/>
      <w:suff w:val="space"/>
      <w:lvlText w:val="%1.%2.%3.%4.%5.%6.%7"/>
      <w:lvlJc w:val="left"/>
      <w:pPr>
        <w:tabs>
          <w:tab w:val="num" w:pos="0"/>
        </w:tabs>
        <w:ind w:left="1440" w:hanging="1440"/>
      </w:pPr>
      <w:rPr>
        <w:rFonts w:cs="Times New Roman"/>
      </w:rPr>
    </w:lvl>
    <w:lvl w:ilvl="7">
      <w:start w:val="1"/>
      <w:numFmt w:val="decimal"/>
      <w:isLgl/>
      <w:suff w:val="space"/>
      <w:lvlText w:val="%1.%2.%3.%4.%5.%6.%7.%8"/>
      <w:lvlJc w:val="left"/>
      <w:pPr>
        <w:tabs>
          <w:tab w:val="num" w:pos="0"/>
        </w:tabs>
        <w:ind w:left="1440" w:hanging="1440"/>
      </w:pPr>
      <w:rPr>
        <w:rFonts w:cs="Times New Roman"/>
      </w:rPr>
    </w:lvl>
    <w:lvl w:ilvl="8">
      <w:start w:val="1"/>
      <w:numFmt w:val="decimal"/>
      <w:isLgl/>
      <w:suff w:val="space"/>
      <w:lvlText w:val="%1.%2.%3.%4.%5.%6.%7.%8.%9"/>
      <w:lvlJc w:val="left"/>
      <w:pPr>
        <w:tabs>
          <w:tab w:val="num" w:pos="0"/>
        </w:tabs>
        <w:ind w:left="1800" w:hanging="1800"/>
      </w:pPr>
      <w:rPr>
        <w:rFonts w:cs="Times New Roman"/>
      </w:rPr>
    </w:lvl>
  </w:abstractNum>
  <w:abstractNum w:abstractNumId="98" w15:restartNumberingAfterBreak="0">
    <w:nsid w:val="23355974"/>
    <w:multiLevelType w:val="hybridMultilevel"/>
    <w:tmpl w:val="29980F64"/>
    <w:lvl w:ilvl="0" w:tplc="F29CE912">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9" w15:restartNumberingAfterBreak="0">
    <w:nsid w:val="23D73A3D"/>
    <w:multiLevelType w:val="multilevel"/>
    <w:tmpl w:val="F29AA58E"/>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0" w15:restartNumberingAfterBreak="0">
    <w:nsid w:val="245169B5"/>
    <w:multiLevelType w:val="hybridMultilevel"/>
    <w:tmpl w:val="ECE0D884"/>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1" w15:restartNumberingAfterBreak="0">
    <w:nsid w:val="24796D1F"/>
    <w:multiLevelType w:val="multilevel"/>
    <w:tmpl w:val="9DC6656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02" w15:restartNumberingAfterBreak="0">
    <w:nsid w:val="248420A4"/>
    <w:multiLevelType w:val="multilevel"/>
    <w:tmpl w:val="73B0C37C"/>
    <w:lvl w:ilvl="0">
      <w:start w:val="1"/>
      <w:numFmt w:val="decimal"/>
      <w:lvlText w:val="%1."/>
      <w:lvlJc w:val="left"/>
      <w:pPr>
        <w:tabs>
          <w:tab w:val="num" w:pos="0"/>
        </w:tabs>
        <w:ind w:left="260"/>
      </w:pPr>
      <w:rPr>
        <w:b/>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val="0"/>
        <w:i w:val="0"/>
        <w:strike w:val="0"/>
        <w:dstrike w:val="0"/>
        <w:color w:val="000000"/>
        <w:position w:val="0"/>
        <w:sz w:val="18"/>
        <w:szCs w:val="18"/>
        <w:u w:val="none"/>
        <w:vertAlign w:val="baseline"/>
      </w:rPr>
    </w:lvl>
  </w:abstractNum>
  <w:abstractNum w:abstractNumId="103" w15:restartNumberingAfterBreak="0">
    <w:nsid w:val="24D944CA"/>
    <w:multiLevelType w:val="multilevel"/>
    <w:tmpl w:val="F934EB30"/>
    <w:lvl w:ilvl="0">
      <w:start w:val="1"/>
      <w:numFmt w:val="decimal"/>
      <w:lvlText w:val="%1."/>
      <w:lvlJc w:val="left"/>
      <w:pPr>
        <w:tabs>
          <w:tab w:val="num" w:pos="0"/>
        </w:tabs>
        <w:ind w:left="288"/>
      </w:pPr>
      <w:rPr>
        <w:rFonts w:hint="default"/>
        <w:b/>
        <w:bCs/>
        <w:i w:val="0"/>
        <w:strike w:val="0"/>
        <w:dstrike w:val="0"/>
        <w:color w:val="000009"/>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9"/>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9"/>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9"/>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9"/>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9"/>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9"/>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9"/>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9"/>
        <w:position w:val="0"/>
        <w:sz w:val="18"/>
        <w:szCs w:val="18"/>
        <w:u w:val="none"/>
        <w:vertAlign w:val="baseline"/>
      </w:rPr>
    </w:lvl>
  </w:abstractNum>
  <w:abstractNum w:abstractNumId="104" w15:restartNumberingAfterBreak="0">
    <w:nsid w:val="24DD5EC4"/>
    <w:multiLevelType w:val="multilevel"/>
    <w:tmpl w:val="0FB63FA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05" w15:restartNumberingAfterBreak="0">
    <w:nsid w:val="250C69E5"/>
    <w:multiLevelType w:val="multilevel"/>
    <w:tmpl w:val="82FA173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06" w15:restartNumberingAfterBreak="0">
    <w:nsid w:val="252117E7"/>
    <w:multiLevelType w:val="hybridMultilevel"/>
    <w:tmpl w:val="707E132A"/>
    <w:lvl w:ilvl="0" w:tplc="04160017">
      <w:start w:val="1"/>
      <w:numFmt w:val="lowerLetter"/>
      <w:lvlText w:val="%1)"/>
      <w:lvlJc w:val="left"/>
      <w:pPr>
        <w:ind w:left="720" w:hanging="360"/>
      </w:pPr>
    </w:lvl>
    <w:lvl w:ilvl="1" w:tplc="85DE34B8">
      <w:start w:val="1"/>
      <w:numFmt w:val="upperRoman"/>
      <w:lvlText w:val="%2 - "/>
      <w:lvlJc w:val="left"/>
      <w:pPr>
        <w:ind w:left="928"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25950191"/>
    <w:multiLevelType w:val="multilevel"/>
    <w:tmpl w:val="9192196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08" w15:restartNumberingAfterBreak="0">
    <w:nsid w:val="25A157BD"/>
    <w:multiLevelType w:val="multilevel"/>
    <w:tmpl w:val="0338EE82"/>
    <w:lvl w:ilvl="0">
      <w:start w:val="1"/>
      <w:numFmt w:val="decimal"/>
      <w:isLgl/>
      <w:lvlText w:val="%1."/>
      <w:lvlJc w:val="left"/>
      <w:pPr>
        <w:tabs>
          <w:tab w:val="num" w:pos="0"/>
        </w:tabs>
        <w:ind w:left="720" w:hanging="360"/>
      </w:pPr>
      <w:rPr>
        <w:rFonts w:cs="Times New Roman"/>
        <w:b/>
      </w:rPr>
    </w:lvl>
    <w:lvl w:ilvl="1">
      <w:start w:val="1"/>
      <w:numFmt w:val="lowerLetter"/>
      <w:isLgl/>
      <w:lvlText w:val="%2."/>
      <w:lvlJc w:val="left"/>
      <w:pPr>
        <w:tabs>
          <w:tab w:val="num" w:pos="0"/>
        </w:tabs>
        <w:ind w:left="1440" w:hanging="360"/>
      </w:pPr>
      <w:rPr>
        <w:rFonts w:cs="Times New Roman"/>
      </w:rPr>
    </w:lvl>
    <w:lvl w:ilvl="2">
      <w:start w:val="1"/>
      <w:numFmt w:val="lowerRoman"/>
      <w:isLgl/>
      <w:lvlText w:val="%3."/>
      <w:lvlJc w:val="right"/>
      <w:pPr>
        <w:tabs>
          <w:tab w:val="num" w:pos="0"/>
        </w:tabs>
        <w:ind w:left="2160" w:hanging="180"/>
      </w:pPr>
      <w:rPr>
        <w:rFonts w:cs="Times New Roman"/>
      </w:rPr>
    </w:lvl>
    <w:lvl w:ilvl="3">
      <w:start w:val="1"/>
      <w:numFmt w:val="decimal"/>
      <w:isLgl/>
      <w:lvlText w:val="%4."/>
      <w:lvlJc w:val="left"/>
      <w:pPr>
        <w:tabs>
          <w:tab w:val="num" w:pos="0"/>
        </w:tabs>
        <w:ind w:left="2880" w:hanging="360"/>
      </w:pPr>
      <w:rPr>
        <w:rFonts w:cs="Times New Roman"/>
      </w:rPr>
    </w:lvl>
    <w:lvl w:ilvl="4">
      <w:start w:val="1"/>
      <w:numFmt w:val="lowerLetter"/>
      <w:isLgl/>
      <w:lvlText w:val="%5."/>
      <w:lvlJc w:val="left"/>
      <w:pPr>
        <w:tabs>
          <w:tab w:val="num" w:pos="0"/>
        </w:tabs>
        <w:ind w:left="3600" w:hanging="360"/>
      </w:pPr>
      <w:rPr>
        <w:rFonts w:cs="Times New Roman"/>
      </w:rPr>
    </w:lvl>
    <w:lvl w:ilvl="5">
      <w:start w:val="1"/>
      <w:numFmt w:val="lowerRoman"/>
      <w:isLgl/>
      <w:lvlText w:val="%6."/>
      <w:lvlJc w:val="right"/>
      <w:pPr>
        <w:tabs>
          <w:tab w:val="num" w:pos="0"/>
        </w:tabs>
        <w:ind w:left="4320" w:hanging="180"/>
      </w:pPr>
      <w:rPr>
        <w:rFonts w:cs="Times New Roman"/>
      </w:rPr>
    </w:lvl>
    <w:lvl w:ilvl="6">
      <w:start w:val="1"/>
      <w:numFmt w:val="decimal"/>
      <w:isLgl/>
      <w:lvlText w:val="%7."/>
      <w:lvlJc w:val="left"/>
      <w:pPr>
        <w:tabs>
          <w:tab w:val="num" w:pos="0"/>
        </w:tabs>
        <w:ind w:left="5040" w:hanging="360"/>
      </w:pPr>
      <w:rPr>
        <w:rFonts w:cs="Times New Roman"/>
      </w:rPr>
    </w:lvl>
    <w:lvl w:ilvl="7">
      <w:start w:val="1"/>
      <w:numFmt w:val="lowerLetter"/>
      <w:isLgl/>
      <w:lvlText w:val="%8."/>
      <w:lvlJc w:val="left"/>
      <w:pPr>
        <w:tabs>
          <w:tab w:val="num" w:pos="0"/>
        </w:tabs>
        <w:ind w:left="5760" w:hanging="360"/>
      </w:pPr>
      <w:rPr>
        <w:rFonts w:cs="Times New Roman"/>
      </w:rPr>
    </w:lvl>
    <w:lvl w:ilvl="8">
      <w:start w:val="1"/>
      <w:numFmt w:val="lowerRoman"/>
      <w:isLgl/>
      <w:lvlText w:val="%9."/>
      <w:lvlJc w:val="right"/>
      <w:pPr>
        <w:tabs>
          <w:tab w:val="num" w:pos="0"/>
        </w:tabs>
        <w:ind w:left="6480" w:hanging="180"/>
      </w:pPr>
      <w:rPr>
        <w:rFonts w:cs="Times New Roman"/>
      </w:rPr>
    </w:lvl>
  </w:abstractNum>
  <w:abstractNum w:abstractNumId="109" w15:restartNumberingAfterBreak="0">
    <w:nsid w:val="25B666D8"/>
    <w:multiLevelType w:val="multilevel"/>
    <w:tmpl w:val="AB7AD288"/>
    <w:lvl w:ilvl="0">
      <w:start w:val="16"/>
      <w:numFmt w:val="decimal"/>
      <w:lvlText w:val="%1"/>
      <w:lvlJc w:val="left"/>
      <w:pPr>
        <w:ind w:left="384" w:hanging="384"/>
      </w:pPr>
      <w:rPr>
        <w:rFonts w:hint="default"/>
        <w:b/>
      </w:rPr>
    </w:lvl>
    <w:lvl w:ilvl="1">
      <w:start w:val="5"/>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0" w15:restartNumberingAfterBreak="0">
    <w:nsid w:val="25C94074"/>
    <w:multiLevelType w:val="multilevel"/>
    <w:tmpl w:val="1C6006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11" w15:restartNumberingAfterBreak="0">
    <w:nsid w:val="26663FFE"/>
    <w:multiLevelType w:val="multilevel"/>
    <w:tmpl w:val="F2647C0A"/>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12" w15:restartNumberingAfterBreak="0">
    <w:nsid w:val="269441EA"/>
    <w:multiLevelType w:val="multilevel"/>
    <w:tmpl w:val="FCBC53F0"/>
    <w:lvl w:ilvl="0">
      <w:start w:val="1"/>
      <w:numFmt w:val="lowerLetter"/>
      <w:lvlText w:val="%1)"/>
      <w:lvlJc w:val="left"/>
      <w:pPr>
        <w:tabs>
          <w:tab w:val="num" w:pos="0"/>
        </w:tabs>
        <w:ind w:left="1495" w:hanging="360"/>
      </w:pPr>
      <w:rPr>
        <w:rFonts w:ascii="Times New Roman" w:eastAsia="Arial" w:hAnsi="Times New Roman" w:cs="Times New Roman" w:hint="default"/>
        <w:b/>
        <w:strike w:val="0"/>
        <w:dstrike w:val="0"/>
        <w:color w:val="auto"/>
        <w:spacing w:val="-3"/>
        <w:w w:val="99"/>
        <w:sz w:val="24"/>
        <w:szCs w:val="24"/>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113" w15:restartNumberingAfterBreak="0">
    <w:nsid w:val="26D44E4B"/>
    <w:multiLevelType w:val="multilevel"/>
    <w:tmpl w:val="26307F5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14" w15:restartNumberingAfterBreak="0">
    <w:nsid w:val="276915DB"/>
    <w:multiLevelType w:val="multilevel"/>
    <w:tmpl w:val="A466464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15" w15:restartNumberingAfterBreak="0">
    <w:nsid w:val="291C5DDF"/>
    <w:multiLevelType w:val="multilevel"/>
    <w:tmpl w:val="875C348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Letter"/>
      <w:lvlText w:val="%3)"/>
      <w:lvlJc w:val="left"/>
      <w:pPr>
        <w:tabs>
          <w:tab w:val="num" w:pos="1440"/>
        </w:tabs>
        <w:ind w:left="1440" w:hanging="360"/>
      </w:pPr>
      <w:rPr>
        <w:rFonts w:cs="Times New Roman"/>
        <w:b/>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16" w15:restartNumberingAfterBreak="0">
    <w:nsid w:val="296F3FAC"/>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7" w15:restartNumberingAfterBreak="0">
    <w:nsid w:val="2A583A4C"/>
    <w:multiLevelType w:val="multilevel"/>
    <w:tmpl w:val="4CE8D7F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8" w15:restartNumberingAfterBreak="0">
    <w:nsid w:val="2AAD7B55"/>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2B093BCC"/>
    <w:multiLevelType w:val="multilevel"/>
    <w:tmpl w:val="0938FB8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20" w15:restartNumberingAfterBreak="0">
    <w:nsid w:val="2B2F6E97"/>
    <w:multiLevelType w:val="multilevel"/>
    <w:tmpl w:val="B56685D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1" w15:restartNumberingAfterBreak="0">
    <w:nsid w:val="2B550C3A"/>
    <w:multiLevelType w:val="multilevel"/>
    <w:tmpl w:val="80EAFE36"/>
    <w:lvl w:ilvl="0">
      <w:start w:val="1"/>
      <w:numFmt w:val="decimal"/>
      <w:lvlText w:val="%1."/>
      <w:lvlJc w:val="left"/>
      <w:pPr>
        <w:tabs>
          <w:tab w:val="num" w:pos="0"/>
        </w:tabs>
        <w:ind w:left="360"/>
      </w:pPr>
      <w:rPr>
        <w:rFonts w:hint="default"/>
        <w:b/>
        <w:i w:val="0"/>
        <w:strike w:val="0"/>
        <w:dstrike w:val="0"/>
        <w:color w:val="000000"/>
        <w:position w:val="0"/>
        <w:sz w:val="22"/>
        <w:szCs w:val="22"/>
        <w:u w:val="none"/>
        <w:vertAlign w:val="baseline"/>
      </w:rPr>
    </w:lvl>
    <w:lvl w:ilvl="1">
      <w:start w:val="3"/>
      <w:numFmt w:val="decimal"/>
      <w:isLgl/>
      <w:suff w:val="space"/>
      <w:lvlText w:val="%1.%2."/>
      <w:lvlJc w:val="left"/>
      <w:pPr>
        <w:tabs>
          <w:tab w:val="num" w:pos="0"/>
        </w:tabs>
        <w:ind w:left="73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abstractNum>
  <w:abstractNum w:abstractNumId="122" w15:restartNumberingAfterBreak="0">
    <w:nsid w:val="2BCD19FF"/>
    <w:multiLevelType w:val="multilevel"/>
    <w:tmpl w:val="DD22FD24"/>
    <w:lvl w:ilvl="0">
      <w:start w:val="16"/>
      <w:numFmt w:val="decimal"/>
      <w:lvlText w:val="%1"/>
      <w:lvlJc w:val="left"/>
      <w:pPr>
        <w:ind w:left="384" w:hanging="384"/>
      </w:pPr>
      <w:rPr>
        <w:rFonts w:hint="default"/>
        <w:b/>
      </w:rPr>
    </w:lvl>
    <w:lvl w:ilvl="1">
      <w:start w:val="6"/>
      <w:numFmt w:val="decimal"/>
      <w:lvlText w:val="%1.%2"/>
      <w:lvlJc w:val="left"/>
      <w:pPr>
        <w:ind w:left="768" w:hanging="384"/>
      </w:pPr>
      <w:rPr>
        <w:rFonts w:hint="default"/>
        <w:b/>
      </w:rPr>
    </w:lvl>
    <w:lvl w:ilvl="2">
      <w:start w:val="1"/>
      <w:numFmt w:val="decimal"/>
      <w:lvlText w:val="%1.%2.%3"/>
      <w:lvlJc w:val="left"/>
      <w:pPr>
        <w:ind w:left="1488" w:hanging="720"/>
      </w:pPr>
      <w:rPr>
        <w:rFonts w:hint="default"/>
        <w:b/>
      </w:rPr>
    </w:lvl>
    <w:lvl w:ilvl="3">
      <w:start w:val="1"/>
      <w:numFmt w:val="decimal"/>
      <w:lvlText w:val="%1.%2.%3.%4"/>
      <w:lvlJc w:val="left"/>
      <w:pPr>
        <w:ind w:left="1872" w:hanging="720"/>
      </w:pPr>
      <w:rPr>
        <w:rFonts w:hint="default"/>
        <w:b/>
      </w:rPr>
    </w:lvl>
    <w:lvl w:ilvl="4">
      <w:start w:val="1"/>
      <w:numFmt w:val="decimalZero"/>
      <w:lvlText w:val="%1.%2.%3.%4.%5"/>
      <w:lvlJc w:val="left"/>
      <w:pPr>
        <w:ind w:left="2616" w:hanging="1080"/>
      </w:pPr>
      <w:rPr>
        <w:rFonts w:hint="default"/>
        <w:b/>
      </w:rPr>
    </w:lvl>
    <w:lvl w:ilvl="5">
      <w:start w:val="1"/>
      <w:numFmt w:val="decimalZero"/>
      <w:lvlText w:val="%1.%2.%3.%4.%5.%6"/>
      <w:lvlJc w:val="left"/>
      <w:pPr>
        <w:ind w:left="3000" w:hanging="1080"/>
      </w:pPr>
      <w:rPr>
        <w:rFonts w:hint="default"/>
        <w:b/>
      </w:rPr>
    </w:lvl>
    <w:lvl w:ilvl="6">
      <w:start w:val="1"/>
      <w:numFmt w:val="decimalZero"/>
      <w:lvlText w:val="%1.%2.%3.%4.%5.%6.%7"/>
      <w:lvlJc w:val="left"/>
      <w:pPr>
        <w:ind w:left="3744" w:hanging="1440"/>
      </w:pPr>
      <w:rPr>
        <w:rFonts w:hint="default"/>
        <w:b/>
      </w:rPr>
    </w:lvl>
    <w:lvl w:ilvl="7">
      <w:start w:val="1"/>
      <w:numFmt w:val="decimal"/>
      <w:lvlText w:val="%1.%2.%3.%4.%5.%6.%7.%8"/>
      <w:lvlJc w:val="left"/>
      <w:pPr>
        <w:ind w:left="4128" w:hanging="1440"/>
      </w:pPr>
      <w:rPr>
        <w:rFonts w:hint="default"/>
        <w:b/>
      </w:rPr>
    </w:lvl>
    <w:lvl w:ilvl="8">
      <w:start w:val="1"/>
      <w:numFmt w:val="decimal"/>
      <w:lvlText w:val="%1.%2.%3.%4.%5.%6.%7.%8.%9"/>
      <w:lvlJc w:val="left"/>
      <w:pPr>
        <w:ind w:left="4512" w:hanging="1440"/>
      </w:pPr>
      <w:rPr>
        <w:rFonts w:hint="default"/>
        <w:b/>
      </w:rPr>
    </w:lvl>
  </w:abstractNum>
  <w:abstractNum w:abstractNumId="123" w15:restartNumberingAfterBreak="0">
    <w:nsid w:val="2BFD3D54"/>
    <w:multiLevelType w:val="multilevel"/>
    <w:tmpl w:val="861A072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24" w15:restartNumberingAfterBreak="0">
    <w:nsid w:val="2C6F49BC"/>
    <w:multiLevelType w:val="multilevel"/>
    <w:tmpl w:val="405A232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25" w15:restartNumberingAfterBreak="0">
    <w:nsid w:val="2CEA40D3"/>
    <w:multiLevelType w:val="multilevel"/>
    <w:tmpl w:val="861A072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26" w15:restartNumberingAfterBreak="0">
    <w:nsid w:val="2D8870A6"/>
    <w:multiLevelType w:val="multilevel"/>
    <w:tmpl w:val="1C6006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27" w15:restartNumberingAfterBreak="0">
    <w:nsid w:val="2DB70F8F"/>
    <w:multiLevelType w:val="multilevel"/>
    <w:tmpl w:val="C4C09AF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28" w15:restartNumberingAfterBreak="0">
    <w:nsid w:val="2E2B689E"/>
    <w:multiLevelType w:val="hybridMultilevel"/>
    <w:tmpl w:val="368E649E"/>
    <w:lvl w:ilvl="0" w:tplc="64D24982">
      <w:start w:val="1"/>
      <w:numFmt w:val="lowerLetter"/>
      <w:lvlText w:val="%1)"/>
      <w:lvlJc w:val="left"/>
      <w:pPr>
        <w:ind w:left="1494" w:hanging="360"/>
      </w:pPr>
      <w:rPr>
        <w:rFonts w:hint="default"/>
        <w:b/>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9" w15:restartNumberingAfterBreak="0">
    <w:nsid w:val="2F580F91"/>
    <w:multiLevelType w:val="multilevel"/>
    <w:tmpl w:val="0938FB8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30" w15:restartNumberingAfterBreak="0">
    <w:nsid w:val="2FBF787D"/>
    <w:multiLevelType w:val="hybridMultilevel"/>
    <w:tmpl w:val="ECE0D884"/>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1" w15:restartNumberingAfterBreak="0">
    <w:nsid w:val="2FDF2828"/>
    <w:multiLevelType w:val="multilevel"/>
    <w:tmpl w:val="FFDE9F22"/>
    <w:lvl w:ilvl="0">
      <w:start w:val="1"/>
      <w:numFmt w:val="decimal"/>
      <w:lvlText w:val="%1."/>
      <w:lvlJc w:val="left"/>
      <w:pPr>
        <w:tabs>
          <w:tab w:val="num" w:pos="0"/>
        </w:tabs>
        <w:ind w:left="720" w:hanging="360"/>
      </w:pPr>
      <w:rPr>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32" w15:restartNumberingAfterBreak="0">
    <w:nsid w:val="30560479"/>
    <w:multiLevelType w:val="multilevel"/>
    <w:tmpl w:val="B8344BD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33" w15:restartNumberingAfterBreak="0">
    <w:nsid w:val="30BA1932"/>
    <w:multiLevelType w:val="multilevel"/>
    <w:tmpl w:val="A998BA48"/>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34" w15:restartNumberingAfterBreak="0">
    <w:nsid w:val="30D34FEC"/>
    <w:multiLevelType w:val="multilevel"/>
    <w:tmpl w:val="C1AC9BB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35" w15:restartNumberingAfterBreak="0">
    <w:nsid w:val="31147B38"/>
    <w:multiLevelType w:val="multilevel"/>
    <w:tmpl w:val="861A072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36" w15:restartNumberingAfterBreak="0">
    <w:nsid w:val="332B3942"/>
    <w:multiLevelType w:val="multilevel"/>
    <w:tmpl w:val="94D6507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5"/>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33C12B70"/>
    <w:multiLevelType w:val="hybridMultilevel"/>
    <w:tmpl w:val="0602CCC8"/>
    <w:lvl w:ilvl="0" w:tplc="04160017">
      <w:start w:val="1"/>
      <w:numFmt w:val="lowerLetter"/>
      <w:lvlText w:val="%1)"/>
      <w:lvlJc w:val="left"/>
      <w:pPr>
        <w:ind w:left="1778" w:hanging="360"/>
      </w:pPr>
      <w:rPr>
        <w:rFonts w:hint="default"/>
        <w:b/>
        <w:strike w:val="0"/>
        <w:color w:val="000000" w:themeColor="text1"/>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8" w15:restartNumberingAfterBreak="0">
    <w:nsid w:val="34100C9D"/>
    <w:multiLevelType w:val="multilevel"/>
    <w:tmpl w:val="B56685D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9" w15:restartNumberingAfterBreak="0">
    <w:nsid w:val="34560840"/>
    <w:multiLevelType w:val="multilevel"/>
    <w:tmpl w:val="3F38C0C2"/>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0" w15:restartNumberingAfterBreak="0">
    <w:nsid w:val="34AB304C"/>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1" w15:restartNumberingAfterBreak="0">
    <w:nsid w:val="34BD7887"/>
    <w:multiLevelType w:val="multilevel"/>
    <w:tmpl w:val="60980B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42" w15:restartNumberingAfterBreak="0">
    <w:nsid w:val="36052F10"/>
    <w:multiLevelType w:val="multilevel"/>
    <w:tmpl w:val="91E6C6FC"/>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3" w15:restartNumberingAfterBreak="0">
    <w:nsid w:val="36535FA9"/>
    <w:multiLevelType w:val="multilevel"/>
    <w:tmpl w:val="80EAFE36"/>
    <w:lvl w:ilvl="0">
      <w:start w:val="1"/>
      <w:numFmt w:val="decimal"/>
      <w:lvlText w:val="%1."/>
      <w:lvlJc w:val="left"/>
      <w:pPr>
        <w:tabs>
          <w:tab w:val="num" w:pos="0"/>
        </w:tabs>
        <w:ind w:left="360"/>
      </w:pPr>
      <w:rPr>
        <w:rFonts w:hint="default"/>
        <w:b/>
        <w:i w:val="0"/>
        <w:strike w:val="0"/>
        <w:dstrike w:val="0"/>
        <w:color w:val="000000"/>
        <w:position w:val="0"/>
        <w:sz w:val="22"/>
        <w:szCs w:val="22"/>
        <w:u w:val="none"/>
        <w:vertAlign w:val="baseline"/>
      </w:rPr>
    </w:lvl>
    <w:lvl w:ilvl="1">
      <w:start w:val="3"/>
      <w:numFmt w:val="decimal"/>
      <w:isLgl/>
      <w:suff w:val="space"/>
      <w:lvlText w:val="%1.%2."/>
      <w:lvlJc w:val="left"/>
      <w:pPr>
        <w:tabs>
          <w:tab w:val="num" w:pos="0"/>
        </w:tabs>
        <w:ind w:left="73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abstractNum>
  <w:abstractNum w:abstractNumId="144" w15:restartNumberingAfterBreak="0">
    <w:nsid w:val="368B4317"/>
    <w:multiLevelType w:val="multilevel"/>
    <w:tmpl w:val="C4C09AF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45" w15:restartNumberingAfterBreak="0">
    <w:nsid w:val="380E2D34"/>
    <w:multiLevelType w:val="multilevel"/>
    <w:tmpl w:val="E0D852C4"/>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146" w15:restartNumberingAfterBreak="0">
    <w:nsid w:val="386B1332"/>
    <w:multiLevelType w:val="multilevel"/>
    <w:tmpl w:val="756646D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47" w15:restartNumberingAfterBreak="0">
    <w:nsid w:val="388F0E9A"/>
    <w:multiLevelType w:val="multilevel"/>
    <w:tmpl w:val="01E61C4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48" w15:restartNumberingAfterBreak="0">
    <w:nsid w:val="390246CC"/>
    <w:multiLevelType w:val="multilevel"/>
    <w:tmpl w:val="C7F0FF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49" w15:restartNumberingAfterBreak="0">
    <w:nsid w:val="39163093"/>
    <w:multiLevelType w:val="multilevel"/>
    <w:tmpl w:val="164CE64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0" w15:restartNumberingAfterBreak="0">
    <w:nsid w:val="394B30BC"/>
    <w:multiLevelType w:val="multilevel"/>
    <w:tmpl w:val="9192196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1" w15:restartNumberingAfterBreak="0">
    <w:nsid w:val="39704AF6"/>
    <w:multiLevelType w:val="multilevel"/>
    <w:tmpl w:val="B34272F0"/>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52" w15:restartNumberingAfterBreak="0">
    <w:nsid w:val="39761A11"/>
    <w:multiLevelType w:val="multilevel"/>
    <w:tmpl w:val="756646D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3" w15:restartNumberingAfterBreak="0">
    <w:nsid w:val="39A24E7C"/>
    <w:multiLevelType w:val="multilevel"/>
    <w:tmpl w:val="164CE64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4" w15:restartNumberingAfterBreak="0">
    <w:nsid w:val="3A3B233B"/>
    <w:multiLevelType w:val="multilevel"/>
    <w:tmpl w:val="C7A6E75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5" w15:restartNumberingAfterBreak="0">
    <w:nsid w:val="3A4F1FA5"/>
    <w:multiLevelType w:val="multilevel"/>
    <w:tmpl w:val="A2528BE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56" w15:restartNumberingAfterBreak="0">
    <w:nsid w:val="3A767480"/>
    <w:multiLevelType w:val="multilevel"/>
    <w:tmpl w:val="C7325960"/>
    <w:lvl w:ilvl="0">
      <w:start w:val="1"/>
      <w:numFmt w:val="lowerLetter"/>
      <w:lvlText w:val="%1)"/>
      <w:lvlJc w:val="left"/>
      <w:pPr>
        <w:tabs>
          <w:tab w:val="num" w:pos="-567"/>
        </w:tabs>
        <w:ind w:left="928" w:hanging="360"/>
      </w:pPr>
      <w:rPr>
        <w:rFonts w:hint="default"/>
        <w:b/>
        <w:strike w:val="0"/>
        <w:dstrike w:val="0"/>
        <w:color w:val="auto"/>
        <w:sz w:val="22"/>
        <w:szCs w:val="22"/>
      </w:rPr>
    </w:lvl>
    <w:lvl w:ilvl="1">
      <w:start w:val="1"/>
      <w:numFmt w:val="lowerLetter"/>
      <w:isLgl/>
      <w:suff w:val="space"/>
      <w:lvlText w:val="%2."/>
      <w:lvlJc w:val="left"/>
      <w:pPr>
        <w:tabs>
          <w:tab w:val="num" w:pos="-567"/>
        </w:tabs>
        <w:ind w:left="873" w:hanging="360"/>
      </w:pPr>
    </w:lvl>
    <w:lvl w:ilvl="2">
      <w:start w:val="1"/>
      <w:numFmt w:val="lowerRoman"/>
      <w:isLgl/>
      <w:suff w:val="space"/>
      <w:lvlText w:val="%3."/>
      <w:lvlJc w:val="right"/>
      <w:pPr>
        <w:tabs>
          <w:tab w:val="num" w:pos="-567"/>
        </w:tabs>
        <w:ind w:left="1593" w:hanging="180"/>
      </w:pPr>
    </w:lvl>
    <w:lvl w:ilvl="3">
      <w:start w:val="1"/>
      <w:numFmt w:val="decimal"/>
      <w:isLgl/>
      <w:suff w:val="space"/>
      <w:lvlText w:val="%4."/>
      <w:lvlJc w:val="left"/>
      <w:pPr>
        <w:tabs>
          <w:tab w:val="num" w:pos="-567"/>
        </w:tabs>
        <w:ind w:left="2313" w:hanging="360"/>
      </w:pPr>
    </w:lvl>
    <w:lvl w:ilvl="4">
      <w:start w:val="1"/>
      <w:numFmt w:val="lowerLetter"/>
      <w:isLgl/>
      <w:suff w:val="space"/>
      <w:lvlText w:val="%5."/>
      <w:lvlJc w:val="left"/>
      <w:pPr>
        <w:tabs>
          <w:tab w:val="num" w:pos="-567"/>
        </w:tabs>
        <w:ind w:left="3033" w:hanging="360"/>
      </w:pPr>
    </w:lvl>
    <w:lvl w:ilvl="5">
      <w:start w:val="1"/>
      <w:numFmt w:val="lowerRoman"/>
      <w:isLgl/>
      <w:suff w:val="space"/>
      <w:lvlText w:val="%6."/>
      <w:lvlJc w:val="right"/>
      <w:pPr>
        <w:tabs>
          <w:tab w:val="num" w:pos="-567"/>
        </w:tabs>
        <w:ind w:left="3753" w:hanging="180"/>
      </w:pPr>
    </w:lvl>
    <w:lvl w:ilvl="6">
      <w:start w:val="1"/>
      <w:numFmt w:val="decimal"/>
      <w:isLgl/>
      <w:suff w:val="space"/>
      <w:lvlText w:val="%7."/>
      <w:lvlJc w:val="left"/>
      <w:pPr>
        <w:tabs>
          <w:tab w:val="num" w:pos="-567"/>
        </w:tabs>
        <w:ind w:left="4473" w:hanging="360"/>
      </w:pPr>
    </w:lvl>
    <w:lvl w:ilvl="7">
      <w:start w:val="1"/>
      <w:numFmt w:val="lowerLetter"/>
      <w:isLgl/>
      <w:suff w:val="space"/>
      <w:lvlText w:val="%8."/>
      <w:lvlJc w:val="left"/>
      <w:pPr>
        <w:tabs>
          <w:tab w:val="num" w:pos="-567"/>
        </w:tabs>
        <w:ind w:left="5193" w:hanging="360"/>
      </w:pPr>
    </w:lvl>
    <w:lvl w:ilvl="8">
      <w:start w:val="1"/>
      <w:numFmt w:val="lowerRoman"/>
      <w:isLgl/>
      <w:suff w:val="space"/>
      <w:lvlText w:val="%9."/>
      <w:lvlJc w:val="right"/>
      <w:pPr>
        <w:tabs>
          <w:tab w:val="num" w:pos="-567"/>
        </w:tabs>
        <w:ind w:left="5913" w:hanging="180"/>
      </w:pPr>
    </w:lvl>
  </w:abstractNum>
  <w:abstractNum w:abstractNumId="157" w15:restartNumberingAfterBreak="0">
    <w:nsid w:val="3ADD6E3D"/>
    <w:multiLevelType w:val="multilevel"/>
    <w:tmpl w:val="CB201A6E"/>
    <w:lvl w:ilvl="0">
      <w:start w:val="12"/>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8" w15:restartNumberingAfterBreak="0">
    <w:nsid w:val="3B1E22AB"/>
    <w:multiLevelType w:val="multilevel"/>
    <w:tmpl w:val="4F6C6F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9" w15:restartNumberingAfterBreak="0">
    <w:nsid w:val="3B305EAD"/>
    <w:multiLevelType w:val="multilevel"/>
    <w:tmpl w:val="EEA616B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60" w15:restartNumberingAfterBreak="0">
    <w:nsid w:val="3B544875"/>
    <w:multiLevelType w:val="multilevel"/>
    <w:tmpl w:val="739E11A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61" w15:restartNumberingAfterBreak="0">
    <w:nsid w:val="3BE74B20"/>
    <w:multiLevelType w:val="hybridMultilevel"/>
    <w:tmpl w:val="711E2206"/>
    <w:lvl w:ilvl="0" w:tplc="5D06187A">
      <w:start w:val="1"/>
      <w:numFmt w:val="lowerLetter"/>
      <w:lvlText w:val="%1)"/>
      <w:lvlJc w:val="left"/>
      <w:pPr>
        <w:ind w:left="2340" w:hanging="360"/>
      </w:pPr>
      <w:rPr>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62" w15:restartNumberingAfterBreak="0">
    <w:nsid w:val="3C5D0C43"/>
    <w:multiLevelType w:val="multilevel"/>
    <w:tmpl w:val="0938FB8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63" w15:restartNumberingAfterBreak="0">
    <w:nsid w:val="3CB10285"/>
    <w:multiLevelType w:val="multilevel"/>
    <w:tmpl w:val="BDECA988"/>
    <w:lvl w:ilvl="0">
      <w:start w:val="1"/>
      <w:numFmt w:val="decimal"/>
      <w:lvlText w:val="%1."/>
      <w:lvlJc w:val="left"/>
      <w:pPr>
        <w:tabs>
          <w:tab w:val="num" w:pos="0"/>
        </w:tabs>
        <w:ind w:left="383"/>
      </w:pPr>
      <w:rPr>
        <w:b/>
        <w:bCs/>
        <w:i w:val="0"/>
        <w:strike w:val="0"/>
        <w:dstrike w:val="0"/>
        <w:color w:val="000000"/>
        <w:position w:val="0"/>
        <w:sz w:val="22"/>
        <w:szCs w:val="22"/>
        <w:u w:val="none"/>
        <w:vertAlign w:val="baseline"/>
      </w:rPr>
    </w:lvl>
    <w:lvl w:ilvl="1">
      <w:start w:val="1"/>
      <w:numFmt w:val="decimal"/>
      <w:isLgl/>
      <w:suff w:val="space"/>
      <w:lvlText w:val="%1.%2."/>
      <w:lvlJc w:val="left"/>
      <w:pPr>
        <w:tabs>
          <w:tab w:val="num" w:pos="0"/>
        </w:tabs>
        <w:ind w:left="1295"/>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abstractNum>
  <w:abstractNum w:abstractNumId="164" w15:restartNumberingAfterBreak="0">
    <w:nsid w:val="3D094EFA"/>
    <w:multiLevelType w:val="multilevel"/>
    <w:tmpl w:val="0FB63FA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65" w15:restartNumberingAfterBreak="0">
    <w:nsid w:val="3D094F17"/>
    <w:multiLevelType w:val="hybridMultilevel"/>
    <w:tmpl w:val="1088A8CE"/>
    <w:lvl w:ilvl="0" w:tplc="81727D84">
      <w:start w:val="1"/>
      <w:numFmt w:val="lowerLetter"/>
      <w:lvlText w:val="%1)"/>
      <w:lvlJc w:val="left"/>
      <w:pPr>
        <w:ind w:left="720" w:hanging="360"/>
      </w:pPr>
      <w:rPr>
        <w:b/>
      </w:rPr>
    </w:lvl>
    <w:lvl w:ilvl="1" w:tplc="85DE34B8">
      <w:start w:val="1"/>
      <w:numFmt w:val="upperRoman"/>
      <w:lvlText w:val="%2 - "/>
      <w:lvlJc w:val="left"/>
      <w:pPr>
        <w:ind w:left="928"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3D6A4E19"/>
    <w:multiLevelType w:val="hybridMultilevel"/>
    <w:tmpl w:val="7E8683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7" w15:restartNumberingAfterBreak="0">
    <w:nsid w:val="3D7160A9"/>
    <w:multiLevelType w:val="multilevel"/>
    <w:tmpl w:val="58DC87B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8" w15:restartNumberingAfterBreak="0">
    <w:nsid w:val="3D982D3B"/>
    <w:multiLevelType w:val="multilevel"/>
    <w:tmpl w:val="5A68ACB8"/>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9" w15:restartNumberingAfterBreak="0">
    <w:nsid w:val="3DB205F5"/>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3DE37058"/>
    <w:multiLevelType w:val="multilevel"/>
    <w:tmpl w:val="FFDE9F22"/>
    <w:lvl w:ilvl="0">
      <w:start w:val="1"/>
      <w:numFmt w:val="decimal"/>
      <w:lvlText w:val="%1."/>
      <w:lvlJc w:val="left"/>
      <w:pPr>
        <w:tabs>
          <w:tab w:val="num" w:pos="0"/>
        </w:tabs>
        <w:ind w:left="720" w:hanging="360"/>
      </w:pPr>
      <w:rPr>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71" w15:restartNumberingAfterBreak="0">
    <w:nsid w:val="3E9B0E8E"/>
    <w:multiLevelType w:val="hybridMultilevel"/>
    <w:tmpl w:val="F3A8FCE6"/>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2" w15:restartNumberingAfterBreak="0">
    <w:nsid w:val="3EE46FBC"/>
    <w:multiLevelType w:val="multilevel"/>
    <w:tmpl w:val="B8344BD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73" w15:restartNumberingAfterBreak="0">
    <w:nsid w:val="3F487E3F"/>
    <w:multiLevelType w:val="multilevel"/>
    <w:tmpl w:val="405A232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74" w15:restartNumberingAfterBreak="0">
    <w:nsid w:val="3F5C5F22"/>
    <w:multiLevelType w:val="hybridMultilevel"/>
    <w:tmpl w:val="BB44C8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5" w15:restartNumberingAfterBreak="0">
    <w:nsid w:val="3F753F35"/>
    <w:multiLevelType w:val="hybridMultilevel"/>
    <w:tmpl w:val="1FC05E7C"/>
    <w:lvl w:ilvl="0" w:tplc="B68C91C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3F8108D7"/>
    <w:multiLevelType w:val="multilevel"/>
    <w:tmpl w:val="60980B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77" w15:restartNumberingAfterBreak="0">
    <w:nsid w:val="3FE74564"/>
    <w:multiLevelType w:val="hybridMultilevel"/>
    <w:tmpl w:val="3022D8A6"/>
    <w:lvl w:ilvl="0" w:tplc="5D06187A">
      <w:start w:val="1"/>
      <w:numFmt w:val="lowerLetter"/>
      <w:lvlText w:val="%1)"/>
      <w:lvlJc w:val="left"/>
      <w:pPr>
        <w:ind w:left="1494" w:hanging="360"/>
      </w:pPr>
      <w:rPr>
        <w:rFonts w:hint="default"/>
        <w:b/>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8" w15:restartNumberingAfterBreak="0">
    <w:nsid w:val="403037C7"/>
    <w:multiLevelType w:val="multilevel"/>
    <w:tmpl w:val="C40EFC5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79" w15:restartNumberingAfterBreak="0">
    <w:nsid w:val="404A08D0"/>
    <w:multiLevelType w:val="multilevel"/>
    <w:tmpl w:val="C708376C"/>
    <w:lvl w:ilvl="0">
      <w:start w:val="1"/>
      <w:numFmt w:val="decimal"/>
      <w:isLgl/>
      <w:suff w:val="space"/>
      <w:lvlText w:val="%1."/>
      <w:lvlJc w:val="left"/>
      <w:pPr>
        <w:tabs>
          <w:tab w:val="num" w:pos="0"/>
        </w:tabs>
        <w:ind w:left="360" w:hanging="360"/>
      </w:pPr>
      <w:rPr>
        <w:rFonts w:cs="Times New Roman"/>
        <w:b/>
        <w:bCs/>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180" w15:restartNumberingAfterBreak="0">
    <w:nsid w:val="405A76E0"/>
    <w:multiLevelType w:val="multilevel"/>
    <w:tmpl w:val="103C34C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81" w15:restartNumberingAfterBreak="0">
    <w:nsid w:val="40891195"/>
    <w:multiLevelType w:val="multilevel"/>
    <w:tmpl w:val="82FA173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182" w15:restartNumberingAfterBreak="0">
    <w:nsid w:val="40C75692"/>
    <w:multiLevelType w:val="multilevel"/>
    <w:tmpl w:val="8E606D7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3" w15:restartNumberingAfterBreak="0">
    <w:nsid w:val="41EC3BB9"/>
    <w:multiLevelType w:val="hybridMultilevel"/>
    <w:tmpl w:val="F3A8FCE6"/>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4" w15:restartNumberingAfterBreak="0">
    <w:nsid w:val="41F47C28"/>
    <w:multiLevelType w:val="multilevel"/>
    <w:tmpl w:val="9EFCA602"/>
    <w:lvl w:ilvl="0">
      <w:start w:val="1"/>
      <w:numFmt w:val="decimal"/>
      <w:lvlText w:val="%1."/>
      <w:lvlJc w:val="left"/>
      <w:pPr>
        <w:tabs>
          <w:tab w:val="num" w:pos="0"/>
        </w:tabs>
        <w:ind w:left="10"/>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185" w15:restartNumberingAfterBreak="0">
    <w:nsid w:val="41F8767F"/>
    <w:multiLevelType w:val="multilevel"/>
    <w:tmpl w:val="274AAFF8"/>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86" w15:restartNumberingAfterBreak="0">
    <w:nsid w:val="42433F30"/>
    <w:multiLevelType w:val="multilevel"/>
    <w:tmpl w:val="9524EB52"/>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187" w15:restartNumberingAfterBreak="0">
    <w:nsid w:val="42DE78DC"/>
    <w:multiLevelType w:val="hybridMultilevel"/>
    <w:tmpl w:val="E93C2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8" w15:restartNumberingAfterBreak="0">
    <w:nsid w:val="42FA31F2"/>
    <w:multiLevelType w:val="multilevel"/>
    <w:tmpl w:val="4936E97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89" w15:restartNumberingAfterBreak="0">
    <w:nsid w:val="43183B32"/>
    <w:multiLevelType w:val="hybridMultilevel"/>
    <w:tmpl w:val="34B671A4"/>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0" w15:restartNumberingAfterBreak="0">
    <w:nsid w:val="431A0C67"/>
    <w:multiLevelType w:val="multilevel"/>
    <w:tmpl w:val="A462CDF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1" w15:restartNumberingAfterBreak="0">
    <w:nsid w:val="44367F9E"/>
    <w:multiLevelType w:val="multilevel"/>
    <w:tmpl w:val="7608A28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2" w15:restartNumberingAfterBreak="0">
    <w:nsid w:val="45174801"/>
    <w:multiLevelType w:val="multilevel"/>
    <w:tmpl w:val="7608A28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3" w15:restartNumberingAfterBreak="0">
    <w:nsid w:val="452F6BF3"/>
    <w:multiLevelType w:val="multilevel"/>
    <w:tmpl w:val="6564327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4" w15:restartNumberingAfterBreak="0">
    <w:nsid w:val="46F56102"/>
    <w:multiLevelType w:val="multilevel"/>
    <w:tmpl w:val="9232266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5" w15:restartNumberingAfterBreak="0">
    <w:nsid w:val="47751FB2"/>
    <w:multiLevelType w:val="hybridMultilevel"/>
    <w:tmpl w:val="9F5053A6"/>
    <w:lvl w:ilvl="0" w:tplc="6F4651CA">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6" w15:restartNumberingAfterBreak="0">
    <w:nsid w:val="478F09EC"/>
    <w:multiLevelType w:val="multilevel"/>
    <w:tmpl w:val="C708376C"/>
    <w:lvl w:ilvl="0">
      <w:start w:val="1"/>
      <w:numFmt w:val="decimal"/>
      <w:isLgl/>
      <w:suff w:val="space"/>
      <w:lvlText w:val="%1."/>
      <w:lvlJc w:val="left"/>
      <w:pPr>
        <w:tabs>
          <w:tab w:val="num" w:pos="0"/>
        </w:tabs>
        <w:ind w:left="360" w:hanging="360"/>
      </w:pPr>
      <w:rPr>
        <w:rFonts w:cs="Times New Roman"/>
        <w:b/>
        <w:bCs/>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197" w15:restartNumberingAfterBreak="0">
    <w:nsid w:val="48471235"/>
    <w:multiLevelType w:val="multilevel"/>
    <w:tmpl w:val="4AD422D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198" w15:restartNumberingAfterBreak="0">
    <w:nsid w:val="484D7E18"/>
    <w:multiLevelType w:val="multilevel"/>
    <w:tmpl w:val="BD70E42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99" w15:restartNumberingAfterBreak="0">
    <w:nsid w:val="487D2E3A"/>
    <w:multiLevelType w:val="multilevel"/>
    <w:tmpl w:val="9DC6656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00" w15:restartNumberingAfterBreak="0">
    <w:nsid w:val="488B4C33"/>
    <w:multiLevelType w:val="hybridMultilevel"/>
    <w:tmpl w:val="1FC05E7C"/>
    <w:lvl w:ilvl="0" w:tplc="B68C91C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48E3648B"/>
    <w:multiLevelType w:val="multilevel"/>
    <w:tmpl w:val="ED800BC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02" w15:restartNumberingAfterBreak="0">
    <w:nsid w:val="49087912"/>
    <w:multiLevelType w:val="multilevel"/>
    <w:tmpl w:val="F2647C0A"/>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03" w15:restartNumberingAfterBreak="0">
    <w:nsid w:val="49806B7E"/>
    <w:multiLevelType w:val="multilevel"/>
    <w:tmpl w:val="B176AB1E"/>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04" w15:restartNumberingAfterBreak="0">
    <w:nsid w:val="4A0A18A3"/>
    <w:multiLevelType w:val="multilevel"/>
    <w:tmpl w:val="B8344BD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205" w15:restartNumberingAfterBreak="0">
    <w:nsid w:val="4A0E36CC"/>
    <w:multiLevelType w:val="hybridMultilevel"/>
    <w:tmpl w:val="0602CCC8"/>
    <w:lvl w:ilvl="0" w:tplc="04160017">
      <w:start w:val="1"/>
      <w:numFmt w:val="lowerLetter"/>
      <w:lvlText w:val="%1)"/>
      <w:lvlJc w:val="left"/>
      <w:pPr>
        <w:ind w:left="1778" w:hanging="360"/>
      </w:pPr>
      <w:rPr>
        <w:rFonts w:hint="default"/>
        <w:b/>
        <w:strike w:val="0"/>
        <w:color w:val="000000" w:themeColor="text1"/>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6" w15:restartNumberingAfterBreak="0">
    <w:nsid w:val="4A4D4289"/>
    <w:multiLevelType w:val="multilevel"/>
    <w:tmpl w:val="9524EB52"/>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207" w15:restartNumberingAfterBreak="0">
    <w:nsid w:val="4A5B40D0"/>
    <w:multiLevelType w:val="multilevel"/>
    <w:tmpl w:val="261AFA2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08" w15:restartNumberingAfterBreak="0">
    <w:nsid w:val="4A5D1F5A"/>
    <w:multiLevelType w:val="multilevel"/>
    <w:tmpl w:val="8E606D7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9" w15:restartNumberingAfterBreak="0">
    <w:nsid w:val="4A8B0686"/>
    <w:multiLevelType w:val="multilevel"/>
    <w:tmpl w:val="48A20252"/>
    <w:lvl w:ilvl="0">
      <w:start w:val="1"/>
      <w:numFmt w:val="lowerLetter"/>
      <w:lvlText w:val="%1)"/>
      <w:lvlJc w:val="left"/>
      <w:pPr>
        <w:tabs>
          <w:tab w:val="num" w:pos="0"/>
        </w:tabs>
        <w:ind w:left="720" w:hanging="360"/>
      </w:pPr>
      <w:rPr>
        <w:rFonts w:hint="default"/>
        <w:b/>
        <w:spacing w:val="-3"/>
        <w:w w:val="99"/>
        <w:sz w:val="24"/>
        <w:szCs w:val="24"/>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210" w15:restartNumberingAfterBreak="0">
    <w:nsid w:val="4A944531"/>
    <w:multiLevelType w:val="hybridMultilevel"/>
    <w:tmpl w:val="6C10F944"/>
    <w:lvl w:ilvl="0" w:tplc="6F4651CA">
      <w:start w:val="1"/>
      <w:numFmt w:val="lowerLetter"/>
      <w:lvlText w:val="%1)"/>
      <w:lvlJc w:val="left"/>
      <w:pPr>
        <w:ind w:left="1440" w:hanging="360"/>
      </w:pPr>
      <w:rPr>
        <w:rFonts w:hint="default"/>
        <w:b/>
        <w:color w:val="auto"/>
      </w:rPr>
    </w:lvl>
    <w:lvl w:ilvl="1" w:tplc="04160019" w:tentative="1">
      <w:start w:val="1"/>
      <w:numFmt w:val="lowerLetter"/>
      <w:lvlText w:val="%2."/>
      <w:lvlJc w:val="left"/>
      <w:pPr>
        <w:ind w:left="667" w:hanging="360"/>
      </w:pPr>
    </w:lvl>
    <w:lvl w:ilvl="2" w:tplc="0416001B" w:tentative="1">
      <w:start w:val="1"/>
      <w:numFmt w:val="lowerRoman"/>
      <w:lvlText w:val="%3."/>
      <w:lvlJc w:val="right"/>
      <w:pPr>
        <w:ind w:left="1387" w:hanging="180"/>
      </w:pPr>
    </w:lvl>
    <w:lvl w:ilvl="3" w:tplc="0416000F" w:tentative="1">
      <w:start w:val="1"/>
      <w:numFmt w:val="decimal"/>
      <w:lvlText w:val="%4."/>
      <w:lvlJc w:val="left"/>
      <w:pPr>
        <w:ind w:left="2107" w:hanging="360"/>
      </w:pPr>
    </w:lvl>
    <w:lvl w:ilvl="4" w:tplc="04160019" w:tentative="1">
      <w:start w:val="1"/>
      <w:numFmt w:val="lowerLetter"/>
      <w:lvlText w:val="%5."/>
      <w:lvlJc w:val="left"/>
      <w:pPr>
        <w:ind w:left="2827" w:hanging="360"/>
      </w:pPr>
    </w:lvl>
    <w:lvl w:ilvl="5" w:tplc="0416001B" w:tentative="1">
      <w:start w:val="1"/>
      <w:numFmt w:val="lowerRoman"/>
      <w:lvlText w:val="%6."/>
      <w:lvlJc w:val="right"/>
      <w:pPr>
        <w:ind w:left="3547" w:hanging="180"/>
      </w:pPr>
    </w:lvl>
    <w:lvl w:ilvl="6" w:tplc="0416000F" w:tentative="1">
      <w:start w:val="1"/>
      <w:numFmt w:val="decimal"/>
      <w:lvlText w:val="%7."/>
      <w:lvlJc w:val="left"/>
      <w:pPr>
        <w:ind w:left="4267" w:hanging="360"/>
      </w:pPr>
    </w:lvl>
    <w:lvl w:ilvl="7" w:tplc="04160019" w:tentative="1">
      <w:start w:val="1"/>
      <w:numFmt w:val="lowerLetter"/>
      <w:lvlText w:val="%8."/>
      <w:lvlJc w:val="left"/>
      <w:pPr>
        <w:ind w:left="4987" w:hanging="360"/>
      </w:pPr>
    </w:lvl>
    <w:lvl w:ilvl="8" w:tplc="0416001B" w:tentative="1">
      <w:start w:val="1"/>
      <w:numFmt w:val="lowerRoman"/>
      <w:lvlText w:val="%9."/>
      <w:lvlJc w:val="right"/>
      <w:pPr>
        <w:ind w:left="5707" w:hanging="180"/>
      </w:pPr>
    </w:lvl>
  </w:abstractNum>
  <w:abstractNum w:abstractNumId="211" w15:restartNumberingAfterBreak="0">
    <w:nsid w:val="4A957227"/>
    <w:multiLevelType w:val="multilevel"/>
    <w:tmpl w:val="6564327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12" w15:restartNumberingAfterBreak="0">
    <w:nsid w:val="4AF449D5"/>
    <w:multiLevelType w:val="hybridMultilevel"/>
    <w:tmpl w:val="711E2206"/>
    <w:lvl w:ilvl="0" w:tplc="5D06187A">
      <w:start w:val="1"/>
      <w:numFmt w:val="lowerLetter"/>
      <w:lvlText w:val="%1)"/>
      <w:lvlJc w:val="left"/>
      <w:pPr>
        <w:ind w:left="2340" w:hanging="360"/>
      </w:pPr>
      <w:rPr>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3" w15:restartNumberingAfterBreak="0">
    <w:nsid w:val="4B0E185D"/>
    <w:multiLevelType w:val="multilevel"/>
    <w:tmpl w:val="91E6C6FC"/>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4" w15:restartNumberingAfterBreak="0">
    <w:nsid w:val="4B245953"/>
    <w:multiLevelType w:val="multilevel"/>
    <w:tmpl w:val="88E2D0A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5" w15:restartNumberingAfterBreak="0">
    <w:nsid w:val="4B350530"/>
    <w:multiLevelType w:val="multilevel"/>
    <w:tmpl w:val="1850FC38"/>
    <w:lvl w:ilvl="0">
      <w:start w:val="1"/>
      <w:numFmt w:val="lowerLetter"/>
      <w:lvlText w:val="%1)"/>
      <w:lvlJc w:val="left"/>
      <w:pPr>
        <w:tabs>
          <w:tab w:val="num" w:pos="0"/>
        </w:tabs>
        <w:ind w:left="1135" w:firstLine="0"/>
      </w:pPr>
      <w:rPr>
        <w:rFonts w:ascii="Times New Roman" w:eastAsia="Arial" w:hAnsi="Times New Roman" w:cs="Times New Roman" w:hint="default"/>
        <w:b/>
        <w:bCs w:val="0"/>
        <w:i w:val="0"/>
        <w:strike w:val="0"/>
        <w:dstrike w:val="0"/>
        <w:color w:val="000000"/>
        <w:spacing w:val="-3"/>
        <w:w w:val="99"/>
        <w:position w:val="0"/>
        <w:sz w:val="24"/>
        <w:szCs w:val="24"/>
        <w:u w:val="none"/>
        <w:vertAlign w:val="baseline"/>
      </w:rPr>
    </w:lvl>
    <w:lvl w:ilvl="1">
      <w:start w:val="1"/>
      <w:numFmt w:val="lowerLetter"/>
      <w:isLgl/>
      <w:suff w:val="space"/>
      <w:lvlText w:val="%2."/>
      <w:lvlJc w:val="left"/>
      <w:pPr>
        <w:tabs>
          <w:tab w:val="num" w:pos="0"/>
        </w:tabs>
        <w:ind w:left="1440" w:hanging="360"/>
      </w:pPr>
    </w:lvl>
    <w:lvl w:ilvl="2">
      <w:start w:val="1"/>
      <w:numFmt w:val="lowerRoman"/>
      <w:isLgl/>
      <w:suff w:val="space"/>
      <w:lvlText w:val="%3."/>
      <w:lvlJc w:val="right"/>
      <w:pPr>
        <w:tabs>
          <w:tab w:val="num" w:pos="0"/>
        </w:tabs>
        <w:ind w:left="2160" w:hanging="180"/>
      </w:pPr>
    </w:lvl>
    <w:lvl w:ilvl="3">
      <w:start w:val="1"/>
      <w:numFmt w:val="decimal"/>
      <w:isLgl/>
      <w:suff w:val="space"/>
      <w:lvlText w:val="%4."/>
      <w:lvlJc w:val="left"/>
      <w:pPr>
        <w:tabs>
          <w:tab w:val="num" w:pos="0"/>
        </w:tabs>
        <w:ind w:left="2880" w:hanging="360"/>
      </w:pPr>
    </w:lvl>
    <w:lvl w:ilvl="4">
      <w:start w:val="1"/>
      <w:numFmt w:val="lowerLetter"/>
      <w:isLgl/>
      <w:suff w:val="space"/>
      <w:lvlText w:val="%5."/>
      <w:lvlJc w:val="left"/>
      <w:pPr>
        <w:tabs>
          <w:tab w:val="num" w:pos="0"/>
        </w:tabs>
        <w:ind w:left="3600" w:hanging="360"/>
      </w:pPr>
    </w:lvl>
    <w:lvl w:ilvl="5">
      <w:start w:val="1"/>
      <w:numFmt w:val="lowerRoman"/>
      <w:isLgl/>
      <w:suff w:val="space"/>
      <w:lvlText w:val="%6."/>
      <w:lvlJc w:val="right"/>
      <w:pPr>
        <w:tabs>
          <w:tab w:val="num" w:pos="0"/>
        </w:tabs>
        <w:ind w:left="4320" w:hanging="180"/>
      </w:pPr>
    </w:lvl>
    <w:lvl w:ilvl="6">
      <w:start w:val="1"/>
      <w:numFmt w:val="decimal"/>
      <w:isLgl/>
      <w:suff w:val="space"/>
      <w:lvlText w:val="%7."/>
      <w:lvlJc w:val="left"/>
      <w:pPr>
        <w:tabs>
          <w:tab w:val="num" w:pos="0"/>
        </w:tabs>
        <w:ind w:left="5040" w:hanging="360"/>
      </w:pPr>
    </w:lvl>
    <w:lvl w:ilvl="7">
      <w:start w:val="1"/>
      <w:numFmt w:val="lowerLetter"/>
      <w:isLgl/>
      <w:suff w:val="space"/>
      <w:lvlText w:val="%8."/>
      <w:lvlJc w:val="left"/>
      <w:pPr>
        <w:tabs>
          <w:tab w:val="num" w:pos="0"/>
        </w:tabs>
        <w:ind w:left="5760" w:hanging="360"/>
      </w:pPr>
    </w:lvl>
    <w:lvl w:ilvl="8">
      <w:start w:val="1"/>
      <w:numFmt w:val="lowerRoman"/>
      <w:isLgl/>
      <w:suff w:val="space"/>
      <w:lvlText w:val="%9."/>
      <w:lvlJc w:val="right"/>
      <w:pPr>
        <w:tabs>
          <w:tab w:val="num" w:pos="0"/>
        </w:tabs>
        <w:ind w:left="6480" w:hanging="180"/>
      </w:pPr>
    </w:lvl>
  </w:abstractNum>
  <w:abstractNum w:abstractNumId="216" w15:restartNumberingAfterBreak="0">
    <w:nsid w:val="4B3E53B6"/>
    <w:multiLevelType w:val="multilevel"/>
    <w:tmpl w:val="C4C09AF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17" w15:restartNumberingAfterBreak="0">
    <w:nsid w:val="4B8D2FE9"/>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218" w15:restartNumberingAfterBreak="0">
    <w:nsid w:val="4BAB14A2"/>
    <w:multiLevelType w:val="multilevel"/>
    <w:tmpl w:val="7918F010"/>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9" w15:restartNumberingAfterBreak="0">
    <w:nsid w:val="4BC209B8"/>
    <w:multiLevelType w:val="multilevel"/>
    <w:tmpl w:val="EEA616B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20" w15:restartNumberingAfterBreak="0">
    <w:nsid w:val="4BC74DC0"/>
    <w:multiLevelType w:val="hybridMultilevel"/>
    <w:tmpl w:val="0C2E9622"/>
    <w:lvl w:ilvl="0" w:tplc="826A858C">
      <w:start w:val="1"/>
      <w:numFmt w:val="lowerRoman"/>
      <w:lvlText w:val="%1)"/>
      <w:lvlJc w:val="right"/>
      <w:pPr>
        <w:ind w:left="2160"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1" w15:restartNumberingAfterBreak="0">
    <w:nsid w:val="4C370EAB"/>
    <w:multiLevelType w:val="multilevel"/>
    <w:tmpl w:val="6F8CC3B2"/>
    <w:lvl w:ilvl="0">
      <w:start w:val="1"/>
      <w:numFmt w:val="lowerLetter"/>
      <w:lvlText w:val="%1)"/>
      <w:lvlJc w:val="left"/>
      <w:pPr>
        <w:tabs>
          <w:tab w:val="num" w:pos="0"/>
        </w:tabs>
        <w:ind w:left="288" w:firstLine="0"/>
      </w:pPr>
      <w:rPr>
        <w:rFonts w:hint="default"/>
        <w:b/>
        <w:spacing w:val="-3"/>
        <w:w w:val="99"/>
        <w:sz w:val="24"/>
        <w:szCs w:val="24"/>
      </w:rPr>
    </w:lvl>
    <w:lvl w:ilvl="1">
      <w:start w:val="1"/>
      <w:numFmt w:val="decimal"/>
      <w:isLgl/>
      <w:suff w:val="space"/>
      <w:lvlText w:val="%2."/>
      <w:lvlJc w:val="left"/>
      <w:pPr>
        <w:tabs>
          <w:tab w:val="num" w:pos="0"/>
        </w:tabs>
        <w:ind w:left="1080" w:firstLine="0"/>
      </w:pPr>
    </w:lvl>
    <w:lvl w:ilvl="2">
      <w:start w:val="1"/>
      <w:numFmt w:val="decimal"/>
      <w:isLgl/>
      <w:suff w:val="space"/>
      <w:lvlText w:val="%3."/>
      <w:lvlJc w:val="left"/>
      <w:pPr>
        <w:tabs>
          <w:tab w:val="num" w:pos="0"/>
        </w:tabs>
        <w:ind w:left="1800" w:firstLine="0"/>
      </w:pPr>
    </w:lvl>
    <w:lvl w:ilvl="3">
      <w:start w:val="1"/>
      <w:numFmt w:val="decimal"/>
      <w:isLgl/>
      <w:suff w:val="space"/>
      <w:lvlText w:val="%4."/>
      <w:lvlJc w:val="left"/>
      <w:pPr>
        <w:tabs>
          <w:tab w:val="num" w:pos="0"/>
        </w:tabs>
        <w:ind w:left="2520" w:firstLine="0"/>
      </w:pPr>
    </w:lvl>
    <w:lvl w:ilvl="4">
      <w:start w:val="1"/>
      <w:numFmt w:val="decimal"/>
      <w:isLgl/>
      <w:suff w:val="space"/>
      <w:lvlText w:val="%5."/>
      <w:lvlJc w:val="left"/>
      <w:pPr>
        <w:tabs>
          <w:tab w:val="num" w:pos="0"/>
        </w:tabs>
        <w:ind w:left="3240" w:firstLine="0"/>
      </w:pPr>
    </w:lvl>
    <w:lvl w:ilvl="5">
      <w:start w:val="1"/>
      <w:numFmt w:val="decimal"/>
      <w:isLgl/>
      <w:suff w:val="space"/>
      <w:lvlText w:val="%6."/>
      <w:lvlJc w:val="left"/>
      <w:pPr>
        <w:tabs>
          <w:tab w:val="num" w:pos="0"/>
        </w:tabs>
        <w:ind w:left="3960" w:firstLine="0"/>
      </w:pPr>
    </w:lvl>
    <w:lvl w:ilvl="6">
      <w:start w:val="1"/>
      <w:numFmt w:val="decimal"/>
      <w:isLgl/>
      <w:suff w:val="space"/>
      <w:lvlText w:val="%7."/>
      <w:lvlJc w:val="left"/>
      <w:pPr>
        <w:tabs>
          <w:tab w:val="num" w:pos="0"/>
        </w:tabs>
        <w:ind w:left="4680" w:firstLine="0"/>
      </w:pPr>
    </w:lvl>
    <w:lvl w:ilvl="7">
      <w:start w:val="1"/>
      <w:numFmt w:val="decimal"/>
      <w:isLgl/>
      <w:suff w:val="space"/>
      <w:lvlText w:val="%8."/>
      <w:lvlJc w:val="left"/>
      <w:pPr>
        <w:tabs>
          <w:tab w:val="num" w:pos="0"/>
        </w:tabs>
        <w:ind w:left="5400" w:firstLine="0"/>
      </w:pPr>
    </w:lvl>
    <w:lvl w:ilvl="8">
      <w:start w:val="1"/>
      <w:numFmt w:val="decimal"/>
      <w:isLgl/>
      <w:suff w:val="space"/>
      <w:lvlText w:val="%9."/>
      <w:lvlJc w:val="left"/>
      <w:pPr>
        <w:tabs>
          <w:tab w:val="num" w:pos="0"/>
        </w:tabs>
        <w:ind w:left="6120" w:firstLine="0"/>
      </w:pPr>
    </w:lvl>
  </w:abstractNum>
  <w:abstractNum w:abstractNumId="222" w15:restartNumberingAfterBreak="0">
    <w:nsid w:val="4C4A08C6"/>
    <w:multiLevelType w:val="multilevel"/>
    <w:tmpl w:val="264A300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23" w15:restartNumberingAfterBreak="0">
    <w:nsid w:val="4C5F194A"/>
    <w:multiLevelType w:val="multilevel"/>
    <w:tmpl w:val="A462CDF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4" w15:restartNumberingAfterBreak="0">
    <w:nsid w:val="4C8B2E8C"/>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5" w15:restartNumberingAfterBreak="0">
    <w:nsid w:val="4CDA114C"/>
    <w:multiLevelType w:val="hybridMultilevel"/>
    <w:tmpl w:val="A7029F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6" w15:restartNumberingAfterBreak="0">
    <w:nsid w:val="4D2D7EB8"/>
    <w:multiLevelType w:val="multilevel"/>
    <w:tmpl w:val="261AFA2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27" w15:restartNumberingAfterBreak="0">
    <w:nsid w:val="4D44793F"/>
    <w:multiLevelType w:val="multilevel"/>
    <w:tmpl w:val="4AD422D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28" w15:restartNumberingAfterBreak="0">
    <w:nsid w:val="4D643FD9"/>
    <w:multiLevelType w:val="multilevel"/>
    <w:tmpl w:val="86D65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29" w15:restartNumberingAfterBreak="0">
    <w:nsid w:val="4D7C5658"/>
    <w:multiLevelType w:val="multilevel"/>
    <w:tmpl w:val="06D206F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30" w15:restartNumberingAfterBreak="0">
    <w:nsid w:val="4DE755FE"/>
    <w:multiLevelType w:val="multilevel"/>
    <w:tmpl w:val="A3847798"/>
    <w:lvl w:ilvl="0">
      <w:start w:val="1"/>
      <w:numFmt w:val="decimal"/>
      <w:isLgl/>
      <w:suff w:val="space"/>
      <w:lvlText w:val="%1."/>
      <w:lvlJc w:val="left"/>
      <w:pPr>
        <w:tabs>
          <w:tab w:val="num" w:pos="0"/>
        </w:tabs>
        <w:ind w:left="360" w:hanging="360"/>
      </w:pPr>
      <w:rPr>
        <w:rFonts w:cs="Times New Roman"/>
        <w:b/>
        <w:bCs/>
        <w:sz w:val="20"/>
        <w:szCs w:val="20"/>
      </w:rPr>
    </w:lvl>
    <w:lvl w:ilvl="1">
      <w:start w:val="1"/>
      <w:numFmt w:val="decimal"/>
      <w:isLgl/>
      <w:suff w:val="space"/>
      <w:lvlText w:val="%1.%2."/>
      <w:lvlJc w:val="left"/>
      <w:pPr>
        <w:tabs>
          <w:tab w:val="num" w:pos="0"/>
        </w:tabs>
        <w:ind w:left="792" w:hanging="432"/>
      </w:pPr>
      <w:rPr>
        <w:rFonts w:cs="Times New Roman"/>
        <w:b w:val="0"/>
        <w:bCs/>
      </w:rPr>
    </w:lvl>
    <w:lvl w:ilvl="2">
      <w:start w:val="1"/>
      <w:numFmt w:val="decimal"/>
      <w:isLgl/>
      <w:suff w:val="space"/>
      <w:lvlText w:val="%1.%2.%3."/>
      <w:lvlJc w:val="left"/>
      <w:pPr>
        <w:tabs>
          <w:tab w:val="num" w:pos="0"/>
        </w:tabs>
        <w:ind w:left="1224" w:hanging="504"/>
      </w:pPr>
      <w:rPr>
        <w:rFonts w:cs="Times New Roman"/>
        <w:b/>
      </w:rPr>
    </w:lvl>
    <w:lvl w:ilvl="3">
      <w:start w:val="1"/>
      <w:numFmt w:val="decimal"/>
      <w:isLgl/>
      <w:suff w:val="space"/>
      <w:lvlText w:val="%1.%2.%3.%4."/>
      <w:lvlJc w:val="left"/>
      <w:pPr>
        <w:tabs>
          <w:tab w:val="num" w:pos="0"/>
        </w:tabs>
        <w:ind w:left="1728" w:hanging="648"/>
      </w:pPr>
      <w:rPr>
        <w:rFonts w:cs="Times New Roman"/>
        <w:b/>
      </w:rPr>
    </w:lvl>
    <w:lvl w:ilvl="4">
      <w:start w:val="1"/>
      <w:numFmt w:val="decimal"/>
      <w:isLgl/>
      <w:suff w:val="space"/>
      <w:lvlText w:val="%1.%2.%3.%4.%5."/>
      <w:lvlJc w:val="left"/>
      <w:pPr>
        <w:tabs>
          <w:tab w:val="num" w:pos="0"/>
        </w:tabs>
        <w:ind w:left="2232" w:hanging="792"/>
      </w:pPr>
      <w:rPr>
        <w:rFonts w:cs="Times New Roman"/>
        <w:b/>
      </w:rPr>
    </w:lvl>
    <w:lvl w:ilvl="5">
      <w:start w:val="1"/>
      <w:numFmt w:val="decimal"/>
      <w:isLgl/>
      <w:suff w:val="space"/>
      <w:lvlText w:val="%1.%2.%3.%4.%5.%6."/>
      <w:lvlJc w:val="left"/>
      <w:pPr>
        <w:tabs>
          <w:tab w:val="num" w:pos="0"/>
        </w:tabs>
        <w:ind w:left="2736" w:hanging="936"/>
      </w:pPr>
      <w:rPr>
        <w:rFonts w:cs="Times New Roman"/>
        <w:b/>
      </w:rPr>
    </w:lvl>
    <w:lvl w:ilvl="6">
      <w:start w:val="1"/>
      <w:numFmt w:val="decimal"/>
      <w:isLgl/>
      <w:suff w:val="space"/>
      <w:lvlText w:val="%1.%2.%3.%4.%5.%6.%7."/>
      <w:lvlJc w:val="left"/>
      <w:pPr>
        <w:tabs>
          <w:tab w:val="num" w:pos="0"/>
        </w:tabs>
        <w:ind w:left="3240" w:hanging="1080"/>
      </w:pPr>
      <w:rPr>
        <w:rFonts w:cs="Times New Roman"/>
        <w:b/>
      </w:rPr>
    </w:lvl>
    <w:lvl w:ilvl="7">
      <w:start w:val="1"/>
      <w:numFmt w:val="decimal"/>
      <w:isLgl/>
      <w:suff w:val="space"/>
      <w:lvlText w:val="%1.%2.%3.%4.%5.%6.%7.%8."/>
      <w:lvlJc w:val="left"/>
      <w:pPr>
        <w:tabs>
          <w:tab w:val="num" w:pos="0"/>
        </w:tabs>
        <w:ind w:left="3744" w:hanging="1224"/>
      </w:pPr>
      <w:rPr>
        <w:rFonts w:cs="Times New Roman"/>
        <w:b/>
      </w:rPr>
    </w:lvl>
    <w:lvl w:ilvl="8">
      <w:start w:val="1"/>
      <w:numFmt w:val="decimal"/>
      <w:isLgl/>
      <w:suff w:val="space"/>
      <w:lvlText w:val="%1.%2.%3.%4.%5.%6.%7.%8.%9."/>
      <w:lvlJc w:val="left"/>
      <w:pPr>
        <w:tabs>
          <w:tab w:val="num" w:pos="0"/>
        </w:tabs>
        <w:ind w:left="4320" w:hanging="1440"/>
      </w:pPr>
      <w:rPr>
        <w:rFonts w:cs="Times New Roman"/>
        <w:b/>
      </w:rPr>
    </w:lvl>
  </w:abstractNum>
  <w:abstractNum w:abstractNumId="231" w15:restartNumberingAfterBreak="0">
    <w:nsid w:val="4DEB7951"/>
    <w:multiLevelType w:val="multilevel"/>
    <w:tmpl w:val="030068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32" w15:restartNumberingAfterBreak="0">
    <w:nsid w:val="4E5555C9"/>
    <w:multiLevelType w:val="multilevel"/>
    <w:tmpl w:val="875C348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Letter"/>
      <w:lvlText w:val="%3)"/>
      <w:lvlJc w:val="left"/>
      <w:pPr>
        <w:tabs>
          <w:tab w:val="num" w:pos="1440"/>
        </w:tabs>
        <w:ind w:left="1440" w:hanging="360"/>
      </w:pPr>
      <w:rPr>
        <w:rFonts w:cs="Times New Roman"/>
        <w:b/>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33" w15:restartNumberingAfterBreak="0">
    <w:nsid w:val="4F3450C6"/>
    <w:multiLevelType w:val="multilevel"/>
    <w:tmpl w:val="4AD422D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34" w15:restartNumberingAfterBreak="0">
    <w:nsid w:val="4F80245D"/>
    <w:multiLevelType w:val="hybridMultilevel"/>
    <w:tmpl w:val="E1AC4872"/>
    <w:lvl w:ilvl="0" w:tplc="18C46E22">
      <w:start w:val="1"/>
      <w:numFmt w:val="upperRoman"/>
      <w:lvlText w:val="%1 - "/>
      <w:lvlJc w:val="left"/>
      <w:pPr>
        <w:ind w:left="928" w:hanging="360"/>
      </w:pPr>
      <w:rPr>
        <w:rFonts w:hint="default"/>
        <w:b/>
      </w:rPr>
    </w:lvl>
    <w:lvl w:ilvl="1" w:tplc="D49AC16C">
      <w:start w:val="1"/>
      <w:numFmt w:val="lowerLetter"/>
      <w:lvlText w:val="%2)"/>
      <w:lvlJc w:val="left"/>
      <w:pPr>
        <w:ind w:left="786" w:hanging="360"/>
      </w:pPr>
      <w:rPr>
        <w:b/>
        <w:color w:val="auto"/>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5" w15:restartNumberingAfterBreak="0">
    <w:nsid w:val="4FFC3B6D"/>
    <w:multiLevelType w:val="multilevel"/>
    <w:tmpl w:val="E0D852C4"/>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236" w15:restartNumberingAfterBreak="0">
    <w:nsid w:val="502E4320"/>
    <w:multiLevelType w:val="multilevel"/>
    <w:tmpl w:val="1A126DC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37" w15:restartNumberingAfterBreak="0">
    <w:nsid w:val="50470C91"/>
    <w:multiLevelType w:val="multilevel"/>
    <w:tmpl w:val="01A225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38" w15:restartNumberingAfterBreak="0">
    <w:nsid w:val="51C5349B"/>
    <w:multiLevelType w:val="hybridMultilevel"/>
    <w:tmpl w:val="90B26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9" w15:restartNumberingAfterBreak="0">
    <w:nsid w:val="51F03420"/>
    <w:multiLevelType w:val="multilevel"/>
    <w:tmpl w:val="9170E62C"/>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240" w15:restartNumberingAfterBreak="0">
    <w:nsid w:val="52CD4DFF"/>
    <w:multiLevelType w:val="multilevel"/>
    <w:tmpl w:val="A61A9FE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1" w15:restartNumberingAfterBreak="0">
    <w:nsid w:val="534C643E"/>
    <w:multiLevelType w:val="multilevel"/>
    <w:tmpl w:val="26307F5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42" w15:restartNumberingAfterBreak="0">
    <w:nsid w:val="539D07FC"/>
    <w:multiLevelType w:val="hybridMultilevel"/>
    <w:tmpl w:val="7B669F86"/>
    <w:lvl w:ilvl="0" w:tplc="5D06187A">
      <w:start w:val="1"/>
      <w:numFmt w:val="lowerLetter"/>
      <w:lvlText w:val="%1)"/>
      <w:lvlJc w:val="left"/>
      <w:pPr>
        <w:ind w:left="1069" w:hanging="36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3" w15:restartNumberingAfterBreak="0">
    <w:nsid w:val="53AA746B"/>
    <w:multiLevelType w:val="multilevel"/>
    <w:tmpl w:val="3DA8A21A"/>
    <w:lvl w:ilvl="0">
      <w:start w:val="1"/>
      <w:numFmt w:val="decimal"/>
      <w:lvlText w:val="%1."/>
      <w:lvlJc w:val="left"/>
      <w:pPr>
        <w:tabs>
          <w:tab w:val="num" w:pos="0"/>
        </w:tabs>
        <w:ind w:left="288"/>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244" w15:restartNumberingAfterBreak="0">
    <w:nsid w:val="543F38B0"/>
    <w:multiLevelType w:val="multilevel"/>
    <w:tmpl w:val="73C6D92E"/>
    <w:lvl w:ilvl="0">
      <w:start w:val="1"/>
      <w:numFmt w:val="lowerLetter"/>
      <w:isLgl/>
      <w:lvlText w:val="%1."/>
      <w:lvlJc w:val="left"/>
      <w:pPr>
        <w:tabs>
          <w:tab w:val="num" w:pos="0"/>
        </w:tabs>
        <w:ind w:left="720" w:hanging="360"/>
      </w:pPr>
      <w:rPr>
        <w:rFonts w:cs="Times New Roman"/>
        <w:b/>
      </w:rPr>
    </w:lvl>
    <w:lvl w:ilvl="1">
      <w:start w:val="1"/>
      <w:numFmt w:val="lowerLetter"/>
      <w:isLgl/>
      <w:lvlText w:val="%2."/>
      <w:lvlJc w:val="left"/>
      <w:pPr>
        <w:tabs>
          <w:tab w:val="num" w:pos="0"/>
        </w:tabs>
        <w:ind w:left="1440" w:hanging="360"/>
      </w:pPr>
      <w:rPr>
        <w:rFonts w:cs="Times New Roman"/>
      </w:rPr>
    </w:lvl>
    <w:lvl w:ilvl="2">
      <w:start w:val="1"/>
      <w:numFmt w:val="lowerRoman"/>
      <w:isLgl/>
      <w:lvlText w:val="%3."/>
      <w:lvlJc w:val="right"/>
      <w:pPr>
        <w:tabs>
          <w:tab w:val="num" w:pos="0"/>
        </w:tabs>
        <w:ind w:left="2160" w:hanging="180"/>
      </w:pPr>
      <w:rPr>
        <w:rFonts w:cs="Times New Roman"/>
      </w:rPr>
    </w:lvl>
    <w:lvl w:ilvl="3">
      <w:start w:val="1"/>
      <w:numFmt w:val="decimal"/>
      <w:isLgl/>
      <w:lvlText w:val="%4."/>
      <w:lvlJc w:val="left"/>
      <w:pPr>
        <w:tabs>
          <w:tab w:val="num" w:pos="0"/>
        </w:tabs>
        <w:ind w:left="2880" w:hanging="360"/>
      </w:pPr>
      <w:rPr>
        <w:rFonts w:cs="Times New Roman"/>
      </w:rPr>
    </w:lvl>
    <w:lvl w:ilvl="4">
      <w:start w:val="1"/>
      <w:numFmt w:val="lowerLetter"/>
      <w:isLgl/>
      <w:lvlText w:val="%5."/>
      <w:lvlJc w:val="left"/>
      <w:pPr>
        <w:tabs>
          <w:tab w:val="num" w:pos="0"/>
        </w:tabs>
        <w:ind w:left="3600" w:hanging="360"/>
      </w:pPr>
      <w:rPr>
        <w:rFonts w:cs="Times New Roman"/>
      </w:rPr>
    </w:lvl>
    <w:lvl w:ilvl="5">
      <w:start w:val="1"/>
      <w:numFmt w:val="lowerRoman"/>
      <w:isLgl/>
      <w:lvlText w:val="%6."/>
      <w:lvlJc w:val="right"/>
      <w:pPr>
        <w:tabs>
          <w:tab w:val="num" w:pos="0"/>
        </w:tabs>
        <w:ind w:left="4320" w:hanging="180"/>
      </w:pPr>
      <w:rPr>
        <w:rFonts w:cs="Times New Roman"/>
      </w:rPr>
    </w:lvl>
    <w:lvl w:ilvl="6">
      <w:start w:val="1"/>
      <w:numFmt w:val="decimal"/>
      <w:isLgl/>
      <w:lvlText w:val="%7."/>
      <w:lvlJc w:val="left"/>
      <w:pPr>
        <w:tabs>
          <w:tab w:val="num" w:pos="0"/>
        </w:tabs>
        <w:ind w:left="5040" w:hanging="360"/>
      </w:pPr>
      <w:rPr>
        <w:rFonts w:cs="Times New Roman"/>
      </w:rPr>
    </w:lvl>
    <w:lvl w:ilvl="7">
      <w:start w:val="1"/>
      <w:numFmt w:val="lowerLetter"/>
      <w:isLgl/>
      <w:lvlText w:val="%8."/>
      <w:lvlJc w:val="left"/>
      <w:pPr>
        <w:tabs>
          <w:tab w:val="num" w:pos="0"/>
        </w:tabs>
        <w:ind w:left="5760" w:hanging="360"/>
      </w:pPr>
      <w:rPr>
        <w:rFonts w:cs="Times New Roman"/>
      </w:rPr>
    </w:lvl>
    <w:lvl w:ilvl="8">
      <w:start w:val="1"/>
      <w:numFmt w:val="lowerRoman"/>
      <w:isLgl/>
      <w:lvlText w:val="%9."/>
      <w:lvlJc w:val="right"/>
      <w:pPr>
        <w:tabs>
          <w:tab w:val="num" w:pos="0"/>
        </w:tabs>
        <w:ind w:left="6480" w:hanging="180"/>
      </w:pPr>
      <w:rPr>
        <w:rFonts w:cs="Times New Roman"/>
      </w:rPr>
    </w:lvl>
  </w:abstractNum>
  <w:abstractNum w:abstractNumId="245" w15:restartNumberingAfterBreak="0">
    <w:nsid w:val="552828A7"/>
    <w:multiLevelType w:val="multilevel"/>
    <w:tmpl w:val="6E5088A2"/>
    <w:lvl w:ilvl="0">
      <w:start w:val="1"/>
      <w:numFmt w:val="lowerLetter"/>
      <w:pStyle w:val="Marcador"/>
      <w:isLgl/>
      <w:suff w:val="space"/>
      <w:lvlText w:val="%1)"/>
      <w:lvlJc w:val="left"/>
      <w:pPr>
        <w:tabs>
          <w:tab w:val="num" w:pos="0"/>
        </w:tabs>
        <w:ind w:left="2705" w:hanging="360"/>
      </w:pPr>
      <w:rPr>
        <w:rFonts w:ascii="Arial" w:eastAsia="Times New Roman" w:hAnsi="Arial" w:cs="Arial"/>
      </w:rPr>
    </w:lvl>
    <w:lvl w:ilvl="1">
      <w:start w:val="1"/>
      <w:numFmt w:val="bullet"/>
      <w:isLgl/>
      <w:suff w:val="space"/>
      <w:lvlText w:val="o"/>
      <w:lvlJc w:val="left"/>
      <w:pPr>
        <w:tabs>
          <w:tab w:val="num" w:pos="0"/>
        </w:tabs>
        <w:ind w:left="3425" w:hanging="360"/>
      </w:pPr>
      <w:rPr>
        <w:rFonts w:ascii="Courier New" w:hAnsi="Courier New" w:hint="default"/>
      </w:rPr>
    </w:lvl>
    <w:lvl w:ilvl="2">
      <w:start w:val="1"/>
      <w:numFmt w:val="bullet"/>
      <w:isLgl/>
      <w:suff w:val="space"/>
      <w:lvlText w:val=""/>
      <w:lvlJc w:val="left"/>
      <w:pPr>
        <w:tabs>
          <w:tab w:val="num" w:pos="0"/>
        </w:tabs>
        <w:ind w:left="4145" w:hanging="360"/>
      </w:pPr>
      <w:rPr>
        <w:rFonts w:ascii="Wingdings" w:hAnsi="Wingdings" w:hint="default"/>
      </w:rPr>
    </w:lvl>
    <w:lvl w:ilvl="3">
      <w:start w:val="1"/>
      <w:numFmt w:val="bullet"/>
      <w:isLgl/>
      <w:suff w:val="space"/>
      <w:lvlText w:val=""/>
      <w:lvlJc w:val="left"/>
      <w:pPr>
        <w:tabs>
          <w:tab w:val="num" w:pos="0"/>
        </w:tabs>
        <w:ind w:left="4865" w:hanging="360"/>
      </w:pPr>
      <w:rPr>
        <w:rFonts w:ascii="Symbol" w:hAnsi="Symbol" w:hint="default"/>
      </w:rPr>
    </w:lvl>
    <w:lvl w:ilvl="4">
      <w:start w:val="1"/>
      <w:numFmt w:val="bullet"/>
      <w:isLgl/>
      <w:suff w:val="space"/>
      <w:lvlText w:val="o"/>
      <w:lvlJc w:val="left"/>
      <w:pPr>
        <w:tabs>
          <w:tab w:val="num" w:pos="0"/>
        </w:tabs>
        <w:ind w:left="5585" w:hanging="360"/>
      </w:pPr>
      <w:rPr>
        <w:rFonts w:ascii="Courier New" w:hAnsi="Courier New" w:hint="default"/>
      </w:rPr>
    </w:lvl>
    <w:lvl w:ilvl="5">
      <w:start w:val="1"/>
      <w:numFmt w:val="bullet"/>
      <w:isLgl/>
      <w:suff w:val="space"/>
      <w:lvlText w:val=""/>
      <w:lvlJc w:val="left"/>
      <w:pPr>
        <w:tabs>
          <w:tab w:val="num" w:pos="0"/>
        </w:tabs>
        <w:ind w:left="6305" w:hanging="360"/>
      </w:pPr>
      <w:rPr>
        <w:rFonts w:ascii="Wingdings" w:hAnsi="Wingdings" w:hint="default"/>
      </w:rPr>
    </w:lvl>
    <w:lvl w:ilvl="6">
      <w:start w:val="1"/>
      <w:numFmt w:val="bullet"/>
      <w:isLgl/>
      <w:suff w:val="space"/>
      <w:lvlText w:val=""/>
      <w:lvlJc w:val="left"/>
      <w:pPr>
        <w:tabs>
          <w:tab w:val="num" w:pos="0"/>
        </w:tabs>
        <w:ind w:left="7025" w:hanging="360"/>
      </w:pPr>
      <w:rPr>
        <w:rFonts w:ascii="Symbol" w:hAnsi="Symbol" w:hint="default"/>
      </w:rPr>
    </w:lvl>
    <w:lvl w:ilvl="7">
      <w:start w:val="1"/>
      <w:numFmt w:val="bullet"/>
      <w:isLgl/>
      <w:suff w:val="space"/>
      <w:lvlText w:val="o"/>
      <w:lvlJc w:val="left"/>
      <w:pPr>
        <w:tabs>
          <w:tab w:val="num" w:pos="0"/>
        </w:tabs>
        <w:ind w:left="7745" w:hanging="360"/>
      </w:pPr>
      <w:rPr>
        <w:rFonts w:ascii="Courier New" w:hAnsi="Courier New" w:hint="default"/>
      </w:rPr>
    </w:lvl>
    <w:lvl w:ilvl="8">
      <w:start w:val="1"/>
      <w:numFmt w:val="bullet"/>
      <w:isLgl/>
      <w:suff w:val="space"/>
      <w:lvlText w:val=""/>
      <w:lvlJc w:val="left"/>
      <w:pPr>
        <w:tabs>
          <w:tab w:val="num" w:pos="0"/>
        </w:tabs>
        <w:ind w:left="8465" w:hanging="360"/>
      </w:pPr>
      <w:rPr>
        <w:rFonts w:ascii="Wingdings" w:hAnsi="Wingdings" w:hint="default"/>
      </w:rPr>
    </w:lvl>
  </w:abstractNum>
  <w:abstractNum w:abstractNumId="246" w15:restartNumberingAfterBreak="0">
    <w:nsid w:val="5547542B"/>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7" w15:restartNumberingAfterBreak="0">
    <w:nsid w:val="557957DA"/>
    <w:multiLevelType w:val="multilevel"/>
    <w:tmpl w:val="0FB63FA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48" w15:restartNumberingAfterBreak="0">
    <w:nsid w:val="563F7B48"/>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9" w15:restartNumberingAfterBreak="0">
    <w:nsid w:val="566361FF"/>
    <w:multiLevelType w:val="hybridMultilevel"/>
    <w:tmpl w:val="F3A8FCE6"/>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0" w15:restartNumberingAfterBreak="0">
    <w:nsid w:val="574E10E1"/>
    <w:multiLevelType w:val="multilevel"/>
    <w:tmpl w:val="7B38B528"/>
    <w:lvl w:ilvl="0">
      <w:start w:val="1"/>
      <w:numFmt w:val="bullet"/>
      <w:isLgl/>
      <w:lvlText w:val=""/>
      <w:lvlJc w:val="left"/>
      <w:pPr>
        <w:tabs>
          <w:tab w:val="num" w:pos="0"/>
        </w:tabs>
        <w:ind w:left="1440" w:hanging="360"/>
      </w:pPr>
      <w:rPr>
        <w:rFonts w:ascii="Symbol" w:hAnsi="Symbol" w:hint="default"/>
      </w:rPr>
    </w:lvl>
    <w:lvl w:ilvl="1">
      <w:start w:val="1"/>
      <w:numFmt w:val="bullet"/>
      <w:isLgl/>
      <w:lvlText w:val="o"/>
      <w:lvlJc w:val="left"/>
      <w:pPr>
        <w:tabs>
          <w:tab w:val="num" w:pos="0"/>
        </w:tabs>
        <w:ind w:left="2160" w:hanging="360"/>
      </w:pPr>
      <w:rPr>
        <w:rFonts w:ascii="Courier New" w:hAnsi="Courier New" w:hint="default"/>
      </w:rPr>
    </w:lvl>
    <w:lvl w:ilvl="2">
      <w:start w:val="1"/>
      <w:numFmt w:val="bullet"/>
      <w:isLgl/>
      <w:lvlText w:val=""/>
      <w:lvlJc w:val="left"/>
      <w:pPr>
        <w:tabs>
          <w:tab w:val="num" w:pos="0"/>
        </w:tabs>
        <w:ind w:left="2880" w:hanging="360"/>
      </w:pPr>
      <w:rPr>
        <w:rFonts w:ascii="Wingdings" w:hAnsi="Wingdings" w:hint="default"/>
      </w:rPr>
    </w:lvl>
    <w:lvl w:ilvl="3">
      <w:start w:val="1"/>
      <w:numFmt w:val="bullet"/>
      <w:isLgl/>
      <w:lvlText w:val=""/>
      <w:lvlJc w:val="left"/>
      <w:pPr>
        <w:tabs>
          <w:tab w:val="num" w:pos="0"/>
        </w:tabs>
        <w:ind w:left="3600" w:hanging="360"/>
      </w:pPr>
      <w:rPr>
        <w:rFonts w:ascii="Symbol" w:hAnsi="Symbol" w:hint="default"/>
      </w:rPr>
    </w:lvl>
    <w:lvl w:ilvl="4">
      <w:start w:val="1"/>
      <w:numFmt w:val="bullet"/>
      <w:isLgl/>
      <w:lvlText w:val="o"/>
      <w:lvlJc w:val="left"/>
      <w:pPr>
        <w:tabs>
          <w:tab w:val="num" w:pos="0"/>
        </w:tabs>
        <w:ind w:left="4320" w:hanging="360"/>
      </w:pPr>
      <w:rPr>
        <w:rFonts w:ascii="Courier New" w:hAnsi="Courier New" w:hint="default"/>
      </w:rPr>
    </w:lvl>
    <w:lvl w:ilvl="5">
      <w:start w:val="1"/>
      <w:numFmt w:val="bullet"/>
      <w:isLgl/>
      <w:lvlText w:val=""/>
      <w:lvlJc w:val="left"/>
      <w:pPr>
        <w:tabs>
          <w:tab w:val="num" w:pos="0"/>
        </w:tabs>
        <w:ind w:left="5040" w:hanging="360"/>
      </w:pPr>
      <w:rPr>
        <w:rFonts w:ascii="Wingdings" w:hAnsi="Wingdings" w:hint="default"/>
      </w:rPr>
    </w:lvl>
    <w:lvl w:ilvl="6">
      <w:start w:val="1"/>
      <w:numFmt w:val="bullet"/>
      <w:isLgl/>
      <w:lvlText w:val=""/>
      <w:lvlJc w:val="left"/>
      <w:pPr>
        <w:tabs>
          <w:tab w:val="num" w:pos="0"/>
        </w:tabs>
        <w:ind w:left="5760" w:hanging="360"/>
      </w:pPr>
      <w:rPr>
        <w:rFonts w:ascii="Symbol" w:hAnsi="Symbol" w:hint="default"/>
      </w:rPr>
    </w:lvl>
    <w:lvl w:ilvl="7">
      <w:start w:val="1"/>
      <w:numFmt w:val="bullet"/>
      <w:isLgl/>
      <w:lvlText w:val="o"/>
      <w:lvlJc w:val="left"/>
      <w:pPr>
        <w:tabs>
          <w:tab w:val="num" w:pos="0"/>
        </w:tabs>
        <w:ind w:left="6480" w:hanging="360"/>
      </w:pPr>
      <w:rPr>
        <w:rFonts w:ascii="Courier New" w:hAnsi="Courier New" w:hint="default"/>
      </w:rPr>
    </w:lvl>
    <w:lvl w:ilvl="8">
      <w:start w:val="1"/>
      <w:numFmt w:val="bullet"/>
      <w:isLgl/>
      <w:lvlText w:val=""/>
      <w:lvlJc w:val="left"/>
      <w:pPr>
        <w:tabs>
          <w:tab w:val="num" w:pos="0"/>
        </w:tabs>
        <w:ind w:left="7200" w:hanging="360"/>
      </w:pPr>
      <w:rPr>
        <w:rFonts w:ascii="Wingdings" w:hAnsi="Wingdings" w:hint="default"/>
      </w:rPr>
    </w:lvl>
  </w:abstractNum>
  <w:abstractNum w:abstractNumId="251" w15:restartNumberingAfterBreak="0">
    <w:nsid w:val="57547C28"/>
    <w:multiLevelType w:val="multilevel"/>
    <w:tmpl w:val="1C5C73F6"/>
    <w:lvl w:ilvl="0">
      <w:start w:val="11"/>
      <w:numFmt w:val="decimal"/>
      <w:lvlText w:val="%1"/>
      <w:lvlJc w:val="left"/>
      <w:pPr>
        <w:ind w:left="552" w:hanging="552"/>
      </w:pPr>
      <w:rPr>
        <w:rFonts w:hint="default"/>
      </w:rPr>
    </w:lvl>
    <w:lvl w:ilvl="1">
      <w:start w:val="3"/>
      <w:numFmt w:val="decimal"/>
      <w:lvlText w:val="%1.%2"/>
      <w:lvlJc w:val="left"/>
      <w:pPr>
        <w:ind w:left="912" w:hanging="552"/>
      </w:pPr>
      <w:rPr>
        <w:rFonts w:hint="default"/>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2" w15:restartNumberingAfterBreak="0">
    <w:nsid w:val="57790307"/>
    <w:multiLevelType w:val="multilevel"/>
    <w:tmpl w:val="60980BF6"/>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253" w15:restartNumberingAfterBreak="0">
    <w:nsid w:val="585A4B25"/>
    <w:multiLevelType w:val="multilevel"/>
    <w:tmpl w:val="464082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54" w15:restartNumberingAfterBreak="0">
    <w:nsid w:val="58BD18F1"/>
    <w:multiLevelType w:val="hybridMultilevel"/>
    <w:tmpl w:val="7E8683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5" w15:restartNumberingAfterBreak="0">
    <w:nsid w:val="58C94FD3"/>
    <w:multiLevelType w:val="multilevel"/>
    <w:tmpl w:val="86D652A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56" w15:restartNumberingAfterBreak="0">
    <w:nsid w:val="58DA7284"/>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257" w15:restartNumberingAfterBreak="0">
    <w:nsid w:val="594E3D88"/>
    <w:multiLevelType w:val="multilevel"/>
    <w:tmpl w:val="CA187B58"/>
    <w:lvl w:ilvl="0">
      <w:start w:val="22"/>
      <w:numFmt w:val="decimal"/>
      <w:lvlText w:val="%1"/>
      <w:lvlJc w:val="left"/>
      <w:pPr>
        <w:ind w:left="384" w:hanging="384"/>
      </w:pPr>
      <w:rPr>
        <w:rFonts w:hint="default"/>
      </w:rPr>
    </w:lvl>
    <w:lvl w:ilvl="1">
      <w:start w:val="4"/>
      <w:numFmt w:val="decimal"/>
      <w:lvlText w:val="%1.%2"/>
      <w:lvlJc w:val="left"/>
      <w:pPr>
        <w:ind w:left="668"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8" w15:restartNumberingAfterBreak="0">
    <w:nsid w:val="5B3A1C37"/>
    <w:multiLevelType w:val="multilevel"/>
    <w:tmpl w:val="ED800BC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59" w15:restartNumberingAfterBreak="0">
    <w:nsid w:val="5B883D47"/>
    <w:multiLevelType w:val="multilevel"/>
    <w:tmpl w:val="4F6C6F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60" w15:restartNumberingAfterBreak="0">
    <w:nsid w:val="5BAE59A4"/>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261" w15:restartNumberingAfterBreak="0">
    <w:nsid w:val="5CEF17EF"/>
    <w:multiLevelType w:val="hybridMultilevel"/>
    <w:tmpl w:val="A7029F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2" w15:restartNumberingAfterBreak="0">
    <w:nsid w:val="5DB11FAA"/>
    <w:multiLevelType w:val="multilevel"/>
    <w:tmpl w:val="01E61C4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63" w15:restartNumberingAfterBreak="0">
    <w:nsid w:val="5DD74ABE"/>
    <w:multiLevelType w:val="multilevel"/>
    <w:tmpl w:val="4C98D0CA"/>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4" w15:restartNumberingAfterBreak="0">
    <w:nsid w:val="5E3B3725"/>
    <w:multiLevelType w:val="multilevel"/>
    <w:tmpl w:val="9EFCA602"/>
    <w:lvl w:ilvl="0">
      <w:start w:val="1"/>
      <w:numFmt w:val="decimal"/>
      <w:lvlText w:val="%1."/>
      <w:lvlJc w:val="left"/>
      <w:pPr>
        <w:tabs>
          <w:tab w:val="num" w:pos="0"/>
        </w:tabs>
        <w:ind w:left="10"/>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265" w15:restartNumberingAfterBreak="0">
    <w:nsid w:val="5E96615D"/>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6" w15:restartNumberingAfterBreak="0">
    <w:nsid w:val="5EF413F0"/>
    <w:multiLevelType w:val="multilevel"/>
    <w:tmpl w:val="A998BA48"/>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67" w15:restartNumberingAfterBreak="0">
    <w:nsid w:val="5FE77B6E"/>
    <w:multiLevelType w:val="multilevel"/>
    <w:tmpl w:val="6564327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68" w15:restartNumberingAfterBreak="0">
    <w:nsid w:val="601145FF"/>
    <w:multiLevelType w:val="multilevel"/>
    <w:tmpl w:val="C16288F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69" w15:restartNumberingAfterBreak="0">
    <w:nsid w:val="60905078"/>
    <w:multiLevelType w:val="multilevel"/>
    <w:tmpl w:val="F8D494D0"/>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0" w15:restartNumberingAfterBreak="0">
    <w:nsid w:val="60A73139"/>
    <w:multiLevelType w:val="multilevel"/>
    <w:tmpl w:val="C40EFC5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71" w15:restartNumberingAfterBreak="0">
    <w:nsid w:val="60DC2EEC"/>
    <w:multiLevelType w:val="multilevel"/>
    <w:tmpl w:val="164CE64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2" w15:restartNumberingAfterBreak="0">
    <w:nsid w:val="60DF0958"/>
    <w:multiLevelType w:val="hybridMultilevel"/>
    <w:tmpl w:val="CD667408"/>
    <w:lvl w:ilvl="0" w:tplc="85DE34B8">
      <w:start w:val="1"/>
      <w:numFmt w:val="upperRoman"/>
      <w:lvlText w:val="%1 - "/>
      <w:lvlJc w:val="left"/>
      <w:pPr>
        <w:ind w:left="1440" w:hanging="360"/>
      </w:pPr>
      <w:rPr>
        <w:rFonts w:hint="default"/>
        <w:b/>
      </w:rPr>
    </w:lvl>
    <w:lvl w:ilvl="1" w:tplc="6F28CDFE">
      <w:start w:val="1"/>
      <w:numFmt w:val="upperLetter"/>
      <w:lvlText w:val="%2)"/>
      <w:lvlJc w:val="left"/>
      <w:pPr>
        <w:ind w:left="2160" w:hanging="360"/>
      </w:pPr>
      <w:rPr>
        <w:rFonts w:hint="default"/>
      </w:rPr>
    </w:lvl>
    <w:lvl w:ilvl="2" w:tplc="1668DBCC">
      <w:start w:val="1"/>
      <w:numFmt w:val="decimal"/>
      <w:lvlText w:val="%3)"/>
      <w:lvlJc w:val="left"/>
      <w:pPr>
        <w:ind w:left="3060" w:hanging="36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3" w15:restartNumberingAfterBreak="0">
    <w:nsid w:val="616E7BB2"/>
    <w:multiLevelType w:val="multilevel"/>
    <w:tmpl w:val="3DA8A21A"/>
    <w:lvl w:ilvl="0">
      <w:start w:val="1"/>
      <w:numFmt w:val="decimal"/>
      <w:lvlText w:val="%1."/>
      <w:lvlJc w:val="left"/>
      <w:pPr>
        <w:tabs>
          <w:tab w:val="num" w:pos="0"/>
        </w:tabs>
        <w:ind w:left="288"/>
      </w:pPr>
      <w:rPr>
        <w:rFonts w:hint="default"/>
        <w:b/>
        <w:bCs/>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bCs/>
        <w:i w:val="0"/>
        <w:strike w:val="0"/>
        <w:dstrike w:val="0"/>
        <w:color w:val="000000"/>
        <w:position w:val="0"/>
        <w:sz w:val="18"/>
        <w:szCs w:val="18"/>
        <w:u w:val="none"/>
        <w:vertAlign w:val="baseline"/>
      </w:rPr>
    </w:lvl>
  </w:abstractNum>
  <w:abstractNum w:abstractNumId="274" w15:restartNumberingAfterBreak="0">
    <w:nsid w:val="61D858D8"/>
    <w:multiLevelType w:val="multilevel"/>
    <w:tmpl w:val="B34272F0"/>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75" w15:restartNumberingAfterBreak="0">
    <w:nsid w:val="61E37F1E"/>
    <w:multiLevelType w:val="multilevel"/>
    <w:tmpl w:val="F41C976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76" w15:restartNumberingAfterBreak="0">
    <w:nsid w:val="6220224D"/>
    <w:multiLevelType w:val="hybridMultilevel"/>
    <w:tmpl w:val="6C10F944"/>
    <w:lvl w:ilvl="0" w:tplc="6F4651CA">
      <w:start w:val="1"/>
      <w:numFmt w:val="lowerLetter"/>
      <w:lvlText w:val="%1)"/>
      <w:lvlJc w:val="left"/>
      <w:pPr>
        <w:ind w:left="1440" w:hanging="360"/>
      </w:pPr>
      <w:rPr>
        <w:rFonts w:hint="default"/>
        <w:b/>
        <w:color w:val="auto"/>
      </w:rPr>
    </w:lvl>
    <w:lvl w:ilvl="1" w:tplc="04160019" w:tentative="1">
      <w:start w:val="1"/>
      <w:numFmt w:val="lowerLetter"/>
      <w:lvlText w:val="%2."/>
      <w:lvlJc w:val="left"/>
      <w:pPr>
        <w:ind w:left="667" w:hanging="360"/>
      </w:pPr>
    </w:lvl>
    <w:lvl w:ilvl="2" w:tplc="0416001B" w:tentative="1">
      <w:start w:val="1"/>
      <w:numFmt w:val="lowerRoman"/>
      <w:lvlText w:val="%3."/>
      <w:lvlJc w:val="right"/>
      <w:pPr>
        <w:ind w:left="1387" w:hanging="180"/>
      </w:pPr>
    </w:lvl>
    <w:lvl w:ilvl="3" w:tplc="0416000F" w:tentative="1">
      <w:start w:val="1"/>
      <w:numFmt w:val="decimal"/>
      <w:lvlText w:val="%4."/>
      <w:lvlJc w:val="left"/>
      <w:pPr>
        <w:ind w:left="2107" w:hanging="360"/>
      </w:pPr>
    </w:lvl>
    <w:lvl w:ilvl="4" w:tplc="04160019" w:tentative="1">
      <w:start w:val="1"/>
      <w:numFmt w:val="lowerLetter"/>
      <w:lvlText w:val="%5."/>
      <w:lvlJc w:val="left"/>
      <w:pPr>
        <w:ind w:left="2827" w:hanging="360"/>
      </w:pPr>
    </w:lvl>
    <w:lvl w:ilvl="5" w:tplc="0416001B" w:tentative="1">
      <w:start w:val="1"/>
      <w:numFmt w:val="lowerRoman"/>
      <w:lvlText w:val="%6."/>
      <w:lvlJc w:val="right"/>
      <w:pPr>
        <w:ind w:left="3547" w:hanging="180"/>
      </w:pPr>
    </w:lvl>
    <w:lvl w:ilvl="6" w:tplc="0416000F" w:tentative="1">
      <w:start w:val="1"/>
      <w:numFmt w:val="decimal"/>
      <w:lvlText w:val="%7."/>
      <w:lvlJc w:val="left"/>
      <w:pPr>
        <w:ind w:left="4267" w:hanging="360"/>
      </w:pPr>
    </w:lvl>
    <w:lvl w:ilvl="7" w:tplc="04160019" w:tentative="1">
      <w:start w:val="1"/>
      <w:numFmt w:val="lowerLetter"/>
      <w:lvlText w:val="%8."/>
      <w:lvlJc w:val="left"/>
      <w:pPr>
        <w:ind w:left="4987" w:hanging="360"/>
      </w:pPr>
    </w:lvl>
    <w:lvl w:ilvl="8" w:tplc="0416001B" w:tentative="1">
      <w:start w:val="1"/>
      <w:numFmt w:val="lowerRoman"/>
      <w:lvlText w:val="%9."/>
      <w:lvlJc w:val="right"/>
      <w:pPr>
        <w:ind w:left="5707" w:hanging="180"/>
      </w:pPr>
    </w:lvl>
  </w:abstractNum>
  <w:abstractNum w:abstractNumId="277" w15:restartNumberingAfterBreak="0">
    <w:nsid w:val="6270309A"/>
    <w:multiLevelType w:val="multilevel"/>
    <w:tmpl w:val="F41C976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78" w15:restartNumberingAfterBreak="0">
    <w:nsid w:val="62C327D8"/>
    <w:multiLevelType w:val="multilevel"/>
    <w:tmpl w:val="01A225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79" w15:restartNumberingAfterBreak="0">
    <w:nsid w:val="63087A41"/>
    <w:multiLevelType w:val="hybridMultilevel"/>
    <w:tmpl w:val="A7029F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0" w15:restartNumberingAfterBreak="0">
    <w:nsid w:val="631911D4"/>
    <w:multiLevelType w:val="multilevel"/>
    <w:tmpl w:val="73B0C37C"/>
    <w:lvl w:ilvl="0">
      <w:start w:val="1"/>
      <w:numFmt w:val="decimal"/>
      <w:lvlText w:val="%1."/>
      <w:lvlJc w:val="left"/>
      <w:pPr>
        <w:tabs>
          <w:tab w:val="num" w:pos="0"/>
        </w:tabs>
        <w:ind w:left="260"/>
      </w:pPr>
      <w:rPr>
        <w:b/>
        <w:i w:val="0"/>
        <w:strike w:val="0"/>
        <w:dstrike w:val="0"/>
        <w:color w:val="000000"/>
        <w:position w:val="0"/>
        <w:sz w:val="22"/>
        <w:szCs w:val="22"/>
        <w:u w:val="none"/>
        <w:vertAlign w:val="baseline"/>
      </w:rPr>
    </w:lvl>
    <w:lvl w:ilvl="1">
      <w:start w:val="1"/>
      <w:numFmt w:val="lowerLetter"/>
      <w:isLgl/>
      <w:suff w:val="space"/>
      <w:lvlText w:val="%2"/>
      <w:lvlJc w:val="left"/>
      <w:pPr>
        <w:tabs>
          <w:tab w:val="num" w:pos="0"/>
        </w:tabs>
        <w:ind w:left="1080"/>
      </w:pPr>
      <w:rPr>
        <w:rFonts w:ascii="Verdana" w:eastAsia="Times New Roman" w:hAnsi="Verdana" w:cs="Verdana"/>
        <w:b w:val="0"/>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800"/>
      </w:pPr>
      <w:rPr>
        <w:rFonts w:ascii="Verdana" w:eastAsia="Times New Roman" w:hAnsi="Verdana" w:cs="Verdana"/>
        <w:b w:val="0"/>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2520"/>
      </w:pPr>
      <w:rPr>
        <w:rFonts w:ascii="Verdana" w:eastAsia="Times New Roman" w:hAnsi="Verdana" w:cs="Verdana"/>
        <w:b w:val="0"/>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3240"/>
      </w:pPr>
      <w:rPr>
        <w:rFonts w:ascii="Verdana" w:eastAsia="Times New Roman" w:hAnsi="Verdana" w:cs="Verdana"/>
        <w:b w:val="0"/>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960"/>
      </w:pPr>
      <w:rPr>
        <w:rFonts w:ascii="Verdana" w:eastAsia="Times New Roman" w:hAnsi="Verdana" w:cs="Verdana"/>
        <w:b w:val="0"/>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4680"/>
      </w:pPr>
      <w:rPr>
        <w:rFonts w:ascii="Verdana" w:eastAsia="Times New Roman" w:hAnsi="Verdana" w:cs="Verdana"/>
        <w:b w:val="0"/>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5400"/>
      </w:pPr>
      <w:rPr>
        <w:rFonts w:ascii="Verdana" w:eastAsia="Times New Roman" w:hAnsi="Verdana" w:cs="Verdana"/>
        <w:b w:val="0"/>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6120"/>
      </w:pPr>
      <w:rPr>
        <w:rFonts w:ascii="Verdana" w:eastAsia="Times New Roman" w:hAnsi="Verdana" w:cs="Verdana"/>
        <w:b w:val="0"/>
        <w:i w:val="0"/>
        <w:strike w:val="0"/>
        <w:dstrike w:val="0"/>
        <w:color w:val="000000"/>
        <w:position w:val="0"/>
        <w:sz w:val="18"/>
        <w:szCs w:val="18"/>
        <w:u w:val="none"/>
        <w:vertAlign w:val="baseline"/>
      </w:rPr>
    </w:lvl>
  </w:abstractNum>
  <w:abstractNum w:abstractNumId="281" w15:restartNumberingAfterBreak="0">
    <w:nsid w:val="637C600E"/>
    <w:multiLevelType w:val="multilevel"/>
    <w:tmpl w:val="4D4CE3E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2" w15:restartNumberingAfterBreak="0">
    <w:nsid w:val="64416393"/>
    <w:multiLevelType w:val="hybridMultilevel"/>
    <w:tmpl w:val="34B671A4"/>
    <w:lvl w:ilvl="0" w:tplc="5D061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3" w15:restartNumberingAfterBreak="0">
    <w:nsid w:val="651B7F3A"/>
    <w:multiLevelType w:val="multilevel"/>
    <w:tmpl w:val="9DC66562"/>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84" w15:restartNumberingAfterBreak="0">
    <w:nsid w:val="654D005B"/>
    <w:multiLevelType w:val="multilevel"/>
    <w:tmpl w:val="CDA6164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85" w15:restartNumberingAfterBreak="0">
    <w:nsid w:val="65A81931"/>
    <w:multiLevelType w:val="hybridMultilevel"/>
    <w:tmpl w:val="ACCEE766"/>
    <w:lvl w:ilvl="0" w:tplc="04160011">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86" w15:restartNumberingAfterBreak="0">
    <w:nsid w:val="65B2235F"/>
    <w:multiLevelType w:val="multilevel"/>
    <w:tmpl w:val="F41C976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87" w15:restartNumberingAfterBreak="0">
    <w:nsid w:val="65E54A75"/>
    <w:multiLevelType w:val="multilevel"/>
    <w:tmpl w:val="1368CBF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88" w15:restartNumberingAfterBreak="0">
    <w:nsid w:val="66BA3AF5"/>
    <w:multiLevelType w:val="multilevel"/>
    <w:tmpl w:val="02BC257C"/>
    <w:lvl w:ilvl="0">
      <w:start w:val="2"/>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9" w15:restartNumberingAfterBreak="0">
    <w:nsid w:val="673F3140"/>
    <w:multiLevelType w:val="multilevel"/>
    <w:tmpl w:val="E0D852C4"/>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290" w15:restartNumberingAfterBreak="0">
    <w:nsid w:val="67DE7491"/>
    <w:multiLevelType w:val="multilevel"/>
    <w:tmpl w:val="C7A6E756"/>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91" w15:restartNumberingAfterBreak="0">
    <w:nsid w:val="67E62584"/>
    <w:multiLevelType w:val="hybridMultilevel"/>
    <w:tmpl w:val="7E868346"/>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2" w15:restartNumberingAfterBreak="0">
    <w:nsid w:val="680E3B2F"/>
    <w:multiLevelType w:val="multilevel"/>
    <w:tmpl w:val="264A300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93" w15:restartNumberingAfterBreak="0">
    <w:nsid w:val="68775BD9"/>
    <w:multiLevelType w:val="multilevel"/>
    <w:tmpl w:val="E0B65754"/>
    <w:lvl w:ilvl="0">
      <w:start w:val="22"/>
      <w:numFmt w:val="decimal"/>
      <w:lvlText w:val="%1"/>
      <w:lvlJc w:val="left"/>
      <w:pPr>
        <w:ind w:left="384" w:hanging="384"/>
      </w:pPr>
      <w:rPr>
        <w:rFonts w:hint="default"/>
        <w:b/>
      </w:rPr>
    </w:lvl>
    <w:lvl w:ilvl="1">
      <w:start w:val="4"/>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4" w15:restartNumberingAfterBreak="0">
    <w:nsid w:val="68AC5043"/>
    <w:multiLevelType w:val="multilevel"/>
    <w:tmpl w:val="9192196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95" w15:restartNumberingAfterBreak="0">
    <w:nsid w:val="68B5483F"/>
    <w:multiLevelType w:val="multilevel"/>
    <w:tmpl w:val="58DC87B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6" w15:restartNumberingAfterBreak="0">
    <w:nsid w:val="692751A1"/>
    <w:multiLevelType w:val="multilevel"/>
    <w:tmpl w:val="4D4CE3E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7" w15:restartNumberingAfterBreak="0">
    <w:nsid w:val="69581F3E"/>
    <w:multiLevelType w:val="multilevel"/>
    <w:tmpl w:val="9524EB52"/>
    <w:lvl w:ilvl="0">
      <w:start w:val="5"/>
      <w:numFmt w:val="decimal"/>
      <w:isLgl/>
      <w:suff w:val="space"/>
      <w:lvlText w:val="%1"/>
      <w:lvlJc w:val="left"/>
      <w:pPr>
        <w:tabs>
          <w:tab w:val="num" w:pos="0"/>
        </w:tabs>
        <w:ind w:left="375" w:hanging="375"/>
      </w:pPr>
      <w:rPr>
        <w:rFonts w:cs="Times New Roman"/>
      </w:rPr>
    </w:lvl>
    <w:lvl w:ilvl="1">
      <w:start w:val="17"/>
      <w:numFmt w:val="decimal"/>
      <w:isLgl/>
      <w:suff w:val="space"/>
      <w:lvlText w:val="%1.%2"/>
      <w:lvlJc w:val="left"/>
      <w:pPr>
        <w:tabs>
          <w:tab w:val="num" w:pos="0"/>
        </w:tabs>
        <w:ind w:left="411" w:hanging="375"/>
      </w:pPr>
      <w:rPr>
        <w:rFonts w:cs="Times New Roman"/>
      </w:rPr>
    </w:lvl>
    <w:lvl w:ilvl="2">
      <w:start w:val="1"/>
      <w:numFmt w:val="decimal"/>
      <w:isLgl/>
      <w:suff w:val="space"/>
      <w:lvlText w:val="%1.%2.%3"/>
      <w:lvlJc w:val="left"/>
      <w:pPr>
        <w:tabs>
          <w:tab w:val="num" w:pos="0"/>
        </w:tabs>
        <w:ind w:left="792" w:hanging="720"/>
      </w:pPr>
      <w:rPr>
        <w:rFonts w:cs="Times New Roman"/>
      </w:rPr>
    </w:lvl>
    <w:lvl w:ilvl="3">
      <w:start w:val="1"/>
      <w:numFmt w:val="decimal"/>
      <w:isLgl/>
      <w:suff w:val="space"/>
      <w:lvlText w:val="%4."/>
      <w:lvlJc w:val="left"/>
      <w:pPr>
        <w:tabs>
          <w:tab w:val="num" w:pos="0"/>
        </w:tabs>
        <w:ind w:left="828" w:hanging="720"/>
      </w:pPr>
      <w:rPr>
        <w:rFonts w:ascii="Times New Roman" w:eastAsia="Times New Roman" w:hAnsi="Times New Roman" w:cs="Times New Roman" w:hint="default"/>
        <w:b/>
      </w:rPr>
    </w:lvl>
    <w:lvl w:ilvl="4">
      <w:start w:val="1"/>
      <w:numFmt w:val="decimal"/>
      <w:isLgl/>
      <w:suff w:val="space"/>
      <w:lvlText w:val="%1.%2.%3.%4.%5"/>
      <w:lvlJc w:val="left"/>
      <w:pPr>
        <w:tabs>
          <w:tab w:val="num" w:pos="0"/>
        </w:tabs>
        <w:ind w:left="864" w:hanging="720"/>
      </w:pPr>
      <w:rPr>
        <w:rFonts w:cs="Times New Roman"/>
      </w:rPr>
    </w:lvl>
    <w:lvl w:ilvl="5">
      <w:start w:val="1"/>
      <w:numFmt w:val="decimal"/>
      <w:isLgl/>
      <w:suff w:val="space"/>
      <w:lvlText w:val="%1.%2.%3.%4.%5.%6"/>
      <w:lvlJc w:val="left"/>
      <w:pPr>
        <w:tabs>
          <w:tab w:val="num" w:pos="0"/>
        </w:tabs>
        <w:ind w:left="1260" w:hanging="1080"/>
      </w:pPr>
      <w:rPr>
        <w:rFonts w:cs="Times New Roman"/>
      </w:rPr>
    </w:lvl>
    <w:lvl w:ilvl="6">
      <w:start w:val="1"/>
      <w:numFmt w:val="decimal"/>
      <w:isLgl/>
      <w:suff w:val="space"/>
      <w:lvlText w:val="%1.%2.%3.%4.%5.%6.%7"/>
      <w:lvlJc w:val="left"/>
      <w:pPr>
        <w:tabs>
          <w:tab w:val="num" w:pos="0"/>
        </w:tabs>
        <w:ind w:left="1296" w:hanging="1080"/>
      </w:pPr>
      <w:rPr>
        <w:rFonts w:cs="Times New Roman"/>
      </w:rPr>
    </w:lvl>
    <w:lvl w:ilvl="7">
      <w:start w:val="1"/>
      <w:numFmt w:val="decimal"/>
      <w:isLgl/>
      <w:suff w:val="space"/>
      <w:lvlText w:val="%1.%2.%3.%4.%5.%6.%7.%8"/>
      <w:lvlJc w:val="left"/>
      <w:pPr>
        <w:tabs>
          <w:tab w:val="num" w:pos="0"/>
        </w:tabs>
        <w:ind w:left="1692" w:hanging="1440"/>
      </w:pPr>
      <w:rPr>
        <w:rFonts w:cs="Times New Roman"/>
      </w:rPr>
    </w:lvl>
    <w:lvl w:ilvl="8">
      <w:start w:val="1"/>
      <w:numFmt w:val="decimal"/>
      <w:isLgl/>
      <w:suff w:val="space"/>
      <w:lvlText w:val="%1.%2.%3.%4.%5.%6.%7.%8.%9"/>
      <w:lvlJc w:val="left"/>
      <w:pPr>
        <w:tabs>
          <w:tab w:val="num" w:pos="0"/>
        </w:tabs>
        <w:ind w:left="1728" w:hanging="1440"/>
      </w:pPr>
      <w:rPr>
        <w:rFonts w:cs="Times New Roman"/>
      </w:rPr>
    </w:lvl>
  </w:abstractNum>
  <w:abstractNum w:abstractNumId="298" w15:restartNumberingAfterBreak="0">
    <w:nsid w:val="6B5C06DF"/>
    <w:multiLevelType w:val="multilevel"/>
    <w:tmpl w:val="103C34C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299" w15:restartNumberingAfterBreak="0">
    <w:nsid w:val="6B6540E3"/>
    <w:multiLevelType w:val="multilevel"/>
    <w:tmpl w:val="274AAFF8"/>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300" w15:restartNumberingAfterBreak="0">
    <w:nsid w:val="6B7371CF"/>
    <w:multiLevelType w:val="multilevel"/>
    <w:tmpl w:val="0338EE82"/>
    <w:lvl w:ilvl="0">
      <w:start w:val="1"/>
      <w:numFmt w:val="decimal"/>
      <w:isLgl/>
      <w:lvlText w:val="%1."/>
      <w:lvlJc w:val="left"/>
      <w:pPr>
        <w:tabs>
          <w:tab w:val="num" w:pos="0"/>
        </w:tabs>
        <w:ind w:left="720" w:hanging="360"/>
      </w:pPr>
      <w:rPr>
        <w:rFonts w:cs="Times New Roman"/>
        <w:b/>
      </w:rPr>
    </w:lvl>
    <w:lvl w:ilvl="1">
      <w:start w:val="1"/>
      <w:numFmt w:val="lowerLetter"/>
      <w:isLgl/>
      <w:lvlText w:val="%2."/>
      <w:lvlJc w:val="left"/>
      <w:pPr>
        <w:tabs>
          <w:tab w:val="num" w:pos="0"/>
        </w:tabs>
        <w:ind w:left="1440" w:hanging="360"/>
      </w:pPr>
      <w:rPr>
        <w:rFonts w:cs="Times New Roman"/>
      </w:rPr>
    </w:lvl>
    <w:lvl w:ilvl="2">
      <w:start w:val="1"/>
      <w:numFmt w:val="lowerRoman"/>
      <w:isLgl/>
      <w:lvlText w:val="%3."/>
      <w:lvlJc w:val="right"/>
      <w:pPr>
        <w:tabs>
          <w:tab w:val="num" w:pos="0"/>
        </w:tabs>
        <w:ind w:left="2160" w:hanging="180"/>
      </w:pPr>
      <w:rPr>
        <w:rFonts w:cs="Times New Roman"/>
      </w:rPr>
    </w:lvl>
    <w:lvl w:ilvl="3">
      <w:start w:val="1"/>
      <w:numFmt w:val="decimal"/>
      <w:isLgl/>
      <w:lvlText w:val="%4."/>
      <w:lvlJc w:val="left"/>
      <w:pPr>
        <w:tabs>
          <w:tab w:val="num" w:pos="0"/>
        </w:tabs>
        <w:ind w:left="2880" w:hanging="360"/>
      </w:pPr>
      <w:rPr>
        <w:rFonts w:cs="Times New Roman"/>
      </w:rPr>
    </w:lvl>
    <w:lvl w:ilvl="4">
      <w:start w:val="1"/>
      <w:numFmt w:val="lowerLetter"/>
      <w:isLgl/>
      <w:lvlText w:val="%5."/>
      <w:lvlJc w:val="left"/>
      <w:pPr>
        <w:tabs>
          <w:tab w:val="num" w:pos="0"/>
        </w:tabs>
        <w:ind w:left="3600" w:hanging="360"/>
      </w:pPr>
      <w:rPr>
        <w:rFonts w:cs="Times New Roman"/>
      </w:rPr>
    </w:lvl>
    <w:lvl w:ilvl="5">
      <w:start w:val="1"/>
      <w:numFmt w:val="lowerRoman"/>
      <w:isLgl/>
      <w:lvlText w:val="%6."/>
      <w:lvlJc w:val="right"/>
      <w:pPr>
        <w:tabs>
          <w:tab w:val="num" w:pos="0"/>
        </w:tabs>
        <w:ind w:left="4320" w:hanging="180"/>
      </w:pPr>
      <w:rPr>
        <w:rFonts w:cs="Times New Roman"/>
      </w:rPr>
    </w:lvl>
    <w:lvl w:ilvl="6">
      <w:start w:val="1"/>
      <w:numFmt w:val="decimal"/>
      <w:isLgl/>
      <w:lvlText w:val="%7."/>
      <w:lvlJc w:val="left"/>
      <w:pPr>
        <w:tabs>
          <w:tab w:val="num" w:pos="0"/>
        </w:tabs>
        <w:ind w:left="5040" w:hanging="360"/>
      </w:pPr>
      <w:rPr>
        <w:rFonts w:cs="Times New Roman"/>
      </w:rPr>
    </w:lvl>
    <w:lvl w:ilvl="7">
      <w:start w:val="1"/>
      <w:numFmt w:val="lowerLetter"/>
      <w:isLgl/>
      <w:lvlText w:val="%8."/>
      <w:lvlJc w:val="left"/>
      <w:pPr>
        <w:tabs>
          <w:tab w:val="num" w:pos="0"/>
        </w:tabs>
        <w:ind w:left="5760" w:hanging="360"/>
      </w:pPr>
      <w:rPr>
        <w:rFonts w:cs="Times New Roman"/>
      </w:rPr>
    </w:lvl>
    <w:lvl w:ilvl="8">
      <w:start w:val="1"/>
      <w:numFmt w:val="lowerRoman"/>
      <w:isLgl/>
      <w:lvlText w:val="%9."/>
      <w:lvlJc w:val="right"/>
      <w:pPr>
        <w:tabs>
          <w:tab w:val="num" w:pos="0"/>
        </w:tabs>
        <w:ind w:left="6480" w:hanging="180"/>
      </w:pPr>
      <w:rPr>
        <w:rFonts w:cs="Times New Roman"/>
      </w:rPr>
    </w:lvl>
  </w:abstractNum>
  <w:abstractNum w:abstractNumId="301" w15:restartNumberingAfterBreak="0">
    <w:nsid w:val="6BBA0F52"/>
    <w:multiLevelType w:val="multilevel"/>
    <w:tmpl w:val="261AFA2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02" w15:restartNumberingAfterBreak="0">
    <w:nsid w:val="6BD35DD6"/>
    <w:multiLevelType w:val="multilevel"/>
    <w:tmpl w:val="1C6006A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03" w15:restartNumberingAfterBreak="0">
    <w:nsid w:val="6C606CA6"/>
    <w:multiLevelType w:val="multilevel"/>
    <w:tmpl w:val="BDECA988"/>
    <w:lvl w:ilvl="0">
      <w:start w:val="1"/>
      <w:numFmt w:val="decimal"/>
      <w:lvlText w:val="%1."/>
      <w:lvlJc w:val="left"/>
      <w:pPr>
        <w:tabs>
          <w:tab w:val="num" w:pos="0"/>
        </w:tabs>
        <w:ind w:left="383"/>
      </w:pPr>
      <w:rPr>
        <w:b/>
        <w:bCs/>
        <w:i w:val="0"/>
        <w:strike w:val="0"/>
        <w:dstrike w:val="0"/>
        <w:color w:val="000000"/>
        <w:position w:val="0"/>
        <w:sz w:val="22"/>
        <w:szCs w:val="22"/>
        <w:u w:val="none"/>
        <w:vertAlign w:val="baseline"/>
      </w:rPr>
    </w:lvl>
    <w:lvl w:ilvl="1">
      <w:start w:val="1"/>
      <w:numFmt w:val="decimal"/>
      <w:isLgl/>
      <w:suff w:val="space"/>
      <w:lvlText w:val="%1.%2."/>
      <w:lvlJc w:val="left"/>
      <w:pPr>
        <w:tabs>
          <w:tab w:val="num" w:pos="0"/>
        </w:tabs>
        <w:ind w:left="1295"/>
      </w:pPr>
      <w:rPr>
        <w:rFonts w:ascii="Verdana" w:eastAsia="Times New Roman" w:hAnsi="Verdana" w:cs="Verdana"/>
        <w:b/>
        <w:bCs/>
        <w:i w:val="0"/>
        <w:strike w:val="0"/>
        <w:dstrike w:val="0"/>
        <w:color w:val="000000"/>
        <w:position w:val="0"/>
        <w:sz w:val="18"/>
        <w:szCs w:val="18"/>
        <w:u w:val="none"/>
        <w:vertAlign w:val="baseline"/>
      </w:rPr>
    </w:lvl>
    <w:lvl w:ilvl="2">
      <w:start w:val="1"/>
      <w:numFmt w:val="lowerRoman"/>
      <w:isLgl/>
      <w:suff w:val="space"/>
      <w:lvlText w:val="%3"/>
      <w:lvlJc w:val="left"/>
      <w:pPr>
        <w:tabs>
          <w:tab w:val="num" w:pos="0"/>
        </w:tabs>
        <w:ind w:left="1080"/>
      </w:pPr>
      <w:rPr>
        <w:rFonts w:ascii="Verdana" w:eastAsia="Times New Roman" w:hAnsi="Verdana" w:cs="Verdana"/>
        <w:b/>
        <w:bCs/>
        <w:i w:val="0"/>
        <w:strike w:val="0"/>
        <w:dstrike w:val="0"/>
        <w:color w:val="000000"/>
        <w:position w:val="0"/>
        <w:sz w:val="18"/>
        <w:szCs w:val="18"/>
        <w:u w:val="none"/>
        <w:vertAlign w:val="baseline"/>
      </w:rPr>
    </w:lvl>
    <w:lvl w:ilvl="3">
      <w:start w:val="1"/>
      <w:numFmt w:val="decimal"/>
      <w:isLgl/>
      <w:suff w:val="space"/>
      <w:lvlText w:val="%4"/>
      <w:lvlJc w:val="left"/>
      <w:pPr>
        <w:tabs>
          <w:tab w:val="num" w:pos="0"/>
        </w:tabs>
        <w:ind w:left="1800"/>
      </w:pPr>
      <w:rPr>
        <w:rFonts w:ascii="Verdana" w:eastAsia="Times New Roman" w:hAnsi="Verdana" w:cs="Verdana"/>
        <w:b/>
        <w:bCs/>
        <w:i w:val="0"/>
        <w:strike w:val="0"/>
        <w:dstrike w:val="0"/>
        <w:color w:val="000000"/>
        <w:position w:val="0"/>
        <w:sz w:val="18"/>
        <w:szCs w:val="18"/>
        <w:u w:val="none"/>
        <w:vertAlign w:val="baseline"/>
      </w:rPr>
    </w:lvl>
    <w:lvl w:ilvl="4">
      <w:start w:val="1"/>
      <w:numFmt w:val="lowerLetter"/>
      <w:isLgl/>
      <w:suff w:val="space"/>
      <w:lvlText w:val="%5"/>
      <w:lvlJc w:val="left"/>
      <w:pPr>
        <w:tabs>
          <w:tab w:val="num" w:pos="0"/>
        </w:tabs>
        <w:ind w:left="2520"/>
      </w:pPr>
      <w:rPr>
        <w:rFonts w:ascii="Verdana" w:eastAsia="Times New Roman" w:hAnsi="Verdana" w:cs="Verdana"/>
        <w:b/>
        <w:bCs/>
        <w:i w:val="0"/>
        <w:strike w:val="0"/>
        <w:dstrike w:val="0"/>
        <w:color w:val="000000"/>
        <w:position w:val="0"/>
        <w:sz w:val="18"/>
        <w:szCs w:val="18"/>
        <w:u w:val="none"/>
        <w:vertAlign w:val="baseline"/>
      </w:rPr>
    </w:lvl>
    <w:lvl w:ilvl="5">
      <w:start w:val="1"/>
      <w:numFmt w:val="lowerRoman"/>
      <w:isLgl/>
      <w:suff w:val="space"/>
      <w:lvlText w:val="%6"/>
      <w:lvlJc w:val="left"/>
      <w:pPr>
        <w:tabs>
          <w:tab w:val="num" w:pos="0"/>
        </w:tabs>
        <w:ind w:left="3240"/>
      </w:pPr>
      <w:rPr>
        <w:rFonts w:ascii="Verdana" w:eastAsia="Times New Roman" w:hAnsi="Verdana" w:cs="Verdana"/>
        <w:b/>
        <w:bCs/>
        <w:i w:val="0"/>
        <w:strike w:val="0"/>
        <w:dstrike w:val="0"/>
        <w:color w:val="000000"/>
        <w:position w:val="0"/>
        <w:sz w:val="18"/>
        <w:szCs w:val="18"/>
        <w:u w:val="none"/>
        <w:vertAlign w:val="baseline"/>
      </w:rPr>
    </w:lvl>
    <w:lvl w:ilvl="6">
      <w:start w:val="1"/>
      <w:numFmt w:val="decimal"/>
      <w:isLgl/>
      <w:suff w:val="space"/>
      <w:lvlText w:val="%7"/>
      <w:lvlJc w:val="left"/>
      <w:pPr>
        <w:tabs>
          <w:tab w:val="num" w:pos="0"/>
        </w:tabs>
        <w:ind w:left="3960"/>
      </w:pPr>
      <w:rPr>
        <w:rFonts w:ascii="Verdana" w:eastAsia="Times New Roman" w:hAnsi="Verdana" w:cs="Verdana"/>
        <w:b/>
        <w:bCs/>
        <w:i w:val="0"/>
        <w:strike w:val="0"/>
        <w:dstrike w:val="0"/>
        <w:color w:val="000000"/>
        <w:position w:val="0"/>
        <w:sz w:val="18"/>
        <w:szCs w:val="18"/>
        <w:u w:val="none"/>
        <w:vertAlign w:val="baseline"/>
      </w:rPr>
    </w:lvl>
    <w:lvl w:ilvl="7">
      <w:start w:val="1"/>
      <w:numFmt w:val="lowerLetter"/>
      <w:isLgl/>
      <w:suff w:val="space"/>
      <w:lvlText w:val="%8"/>
      <w:lvlJc w:val="left"/>
      <w:pPr>
        <w:tabs>
          <w:tab w:val="num" w:pos="0"/>
        </w:tabs>
        <w:ind w:left="4680"/>
      </w:pPr>
      <w:rPr>
        <w:rFonts w:ascii="Verdana" w:eastAsia="Times New Roman" w:hAnsi="Verdana" w:cs="Verdana"/>
        <w:b/>
        <w:bCs/>
        <w:i w:val="0"/>
        <w:strike w:val="0"/>
        <w:dstrike w:val="0"/>
        <w:color w:val="000000"/>
        <w:position w:val="0"/>
        <w:sz w:val="18"/>
        <w:szCs w:val="18"/>
        <w:u w:val="none"/>
        <w:vertAlign w:val="baseline"/>
      </w:rPr>
    </w:lvl>
    <w:lvl w:ilvl="8">
      <w:start w:val="1"/>
      <w:numFmt w:val="lowerRoman"/>
      <w:isLgl/>
      <w:suff w:val="space"/>
      <w:lvlText w:val="%9"/>
      <w:lvlJc w:val="left"/>
      <w:pPr>
        <w:tabs>
          <w:tab w:val="num" w:pos="0"/>
        </w:tabs>
        <w:ind w:left="5400"/>
      </w:pPr>
      <w:rPr>
        <w:rFonts w:ascii="Verdana" w:eastAsia="Times New Roman" w:hAnsi="Verdana" w:cs="Verdana"/>
        <w:b/>
        <w:bCs/>
        <w:i w:val="0"/>
        <w:strike w:val="0"/>
        <w:dstrike w:val="0"/>
        <w:color w:val="000000"/>
        <w:position w:val="0"/>
        <w:sz w:val="18"/>
        <w:szCs w:val="18"/>
        <w:u w:val="none"/>
        <w:vertAlign w:val="baseline"/>
      </w:rPr>
    </w:lvl>
  </w:abstractNum>
  <w:abstractNum w:abstractNumId="304" w15:restartNumberingAfterBreak="0">
    <w:nsid w:val="6D441CCF"/>
    <w:multiLevelType w:val="multilevel"/>
    <w:tmpl w:val="DFE6FB62"/>
    <w:lvl w:ilvl="0">
      <w:start w:val="21"/>
      <w:numFmt w:val="decimal"/>
      <w:lvlText w:val="%1"/>
      <w:lvlJc w:val="left"/>
      <w:pPr>
        <w:ind w:left="384" w:hanging="384"/>
      </w:pPr>
      <w:rPr>
        <w:rFonts w:hint="default"/>
        <w:b/>
      </w:rPr>
    </w:lvl>
    <w:lvl w:ilvl="1">
      <w:start w:val="4"/>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5" w15:restartNumberingAfterBreak="0">
    <w:nsid w:val="6E2D169A"/>
    <w:multiLevelType w:val="multilevel"/>
    <w:tmpl w:val="F2647C0A"/>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06" w15:restartNumberingAfterBreak="0">
    <w:nsid w:val="6E5A33A3"/>
    <w:multiLevelType w:val="multilevel"/>
    <w:tmpl w:val="264A300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07" w15:restartNumberingAfterBreak="0">
    <w:nsid w:val="6E810F75"/>
    <w:multiLevelType w:val="multilevel"/>
    <w:tmpl w:val="88E2D0A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8" w15:restartNumberingAfterBreak="0">
    <w:nsid w:val="6FB701AA"/>
    <w:multiLevelType w:val="multilevel"/>
    <w:tmpl w:val="F1920730"/>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9" w15:restartNumberingAfterBreak="0">
    <w:nsid w:val="70D7314F"/>
    <w:multiLevelType w:val="multilevel"/>
    <w:tmpl w:val="A61A9FE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0" w15:restartNumberingAfterBreak="0">
    <w:nsid w:val="70EC5764"/>
    <w:multiLevelType w:val="multilevel"/>
    <w:tmpl w:val="A462CDF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1" w15:restartNumberingAfterBreak="0">
    <w:nsid w:val="71603FE6"/>
    <w:multiLevelType w:val="hybridMultilevel"/>
    <w:tmpl w:val="15466CD2"/>
    <w:lvl w:ilvl="0" w:tplc="5D06187A">
      <w:start w:val="1"/>
      <w:numFmt w:val="lowerLetter"/>
      <w:lvlText w:val="%1)"/>
      <w:lvlJc w:val="left"/>
      <w:pPr>
        <w:ind w:left="2340" w:hanging="360"/>
      </w:pPr>
      <w:rPr>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2" w15:restartNumberingAfterBreak="0">
    <w:nsid w:val="71B752F5"/>
    <w:multiLevelType w:val="multilevel"/>
    <w:tmpl w:val="829C328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313" w15:restartNumberingAfterBreak="0">
    <w:nsid w:val="71EC405A"/>
    <w:multiLevelType w:val="multilevel"/>
    <w:tmpl w:val="9864A2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4" w15:restartNumberingAfterBreak="0">
    <w:nsid w:val="725B565A"/>
    <w:multiLevelType w:val="multilevel"/>
    <w:tmpl w:val="875C348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b/>
      </w:rPr>
    </w:lvl>
    <w:lvl w:ilvl="2">
      <w:start w:val="1"/>
      <w:numFmt w:val="lowerLetter"/>
      <w:lvlText w:val="%3)"/>
      <w:lvlJc w:val="left"/>
      <w:pPr>
        <w:tabs>
          <w:tab w:val="num" w:pos="1440"/>
        </w:tabs>
        <w:ind w:left="1440" w:hanging="360"/>
      </w:pPr>
      <w:rPr>
        <w:rFonts w:cs="Times New Roman"/>
        <w:b/>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15" w15:restartNumberingAfterBreak="0">
    <w:nsid w:val="728E7A0E"/>
    <w:multiLevelType w:val="hybridMultilevel"/>
    <w:tmpl w:val="9F5053A6"/>
    <w:lvl w:ilvl="0" w:tplc="6F4651CA">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6" w15:restartNumberingAfterBreak="0">
    <w:nsid w:val="72CA72AB"/>
    <w:multiLevelType w:val="multilevel"/>
    <w:tmpl w:val="A466464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317" w15:restartNumberingAfterBreak="0">
    <w:nsid w:val="737E07B8"/>
    <w:multiLevelType w:val="hybridMultilevel"/>
    <w:tmpl w:val="9F5053A6"/>
    <w:lvl w:ilvl="0" w:tplc="6F4651CA">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8" w15:restartNumberingAfterBreak="0">
    <w:nsid w:val="743F67D3"/>
    <w:multiLevelType w:val="hybridMultilevel"/>
    <w:tmpl w:val="92D21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9" w15:restartNumberingAfterBreak="0">
    <w:nsid w:val="74467334"/>
    <w:multiLevelType w:val="multilevel"/>
    <w:tmpl w:val="F29AA58E"/>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0" w15:restartNumberingAfterBreak="0">
    <w:nsid w:val="74594566"/>
    <w:multiLevelType w:val="multilevel"/>
    <w:tmpl w:val="BD70E42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21" w15:restartNumberingAfterBreak="0">
    <w:nsid w:val="746D4BF7"/>
    <w:multiLevelType w:val="multilevel"/>
    <w:tmpl w:val="C1AC9BB0"/>
    <w:lvl w:ilvl="0">
      <w:start w:val="1"/>
      <w:numFmt w:val="lowerLetter"/>
      <w:lvlText w:val="%1)"/>
      <w:lvlJc w:val="left"/>
      <w:pPr>
        <w:tabs>
          <w:tab w:val="num" w:pos="928"/>
        </w:tabs>
        <w:ind w:left="928"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22" w15:restartNumberingAfterBreak="0">
    <w:nsid w:val="759C35A0"/>
    <w:multiLevelType w:val="multilevel"/>
    <w:tmpl w:val="88E2D0A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3" w15:restartNumberingAfterBreak="0">
    <w:nsid w:val="75E2347C"/>
    <w:multiLevelType w:val="multilevel"/>
    <w:tmpl w:val="8E606D7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4" w15:restartNumberingAfterBreak="0">
    <w:nsid w:val="761D1B2C"/>
    <w:multiLevelType w:val="multilevel"/>
    <w:tmpl w:val="CDA6164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25" w15:restartNumberingAfterBreak="0">
    <w:nsid w:val="76846D9F"/>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326" w15:restartNumberingAfterBreak="0">
    <w:nsid w:val="76EE69C4"/>
    <w:multiLevelType w:val="multilevel"/>
    <w:tmpl w:val="1A126DC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27" w15:restartNumberingAfterBreak="0">
    <w:nsid w:val="779557B3"/>
    <w:multiLevelType w:val="multilevel"/>
    <w:tmpl w:val="0B4E1E1C"/>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8" w15:restartNumberingAfterBreak="0">
    <w:nsid w:val="779E3BD9"/>
    <w:multiLevelType w:val="multilevel"/>
    <w:tmpl w:val="1A126DC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29" w15:restartNumberingAfterBreak="0">
    <w:nsid w:val="77F540D4"/>
    <w:multiLevelType w:val="multilevel"/>
    <w:tmpl w:val="01E61C44"/>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30" w15:restartNumberingAfterBreak="0">
    <w:nsid w:val="790054E4"/>
    <w:multiLevelType w:val="hybridMultilevel"/>
    <w:tmpl w:val="CD667408"/>
    <w:lvl w:ilvl="0" w:tplc="85DE34B8">
      <w:start w:val="1"/>
      <w:numFmt w:val="upperRoman"/>
      <w:lvlText w:val="%1 - "/>
      <w:lvlJc w:val="left"/>
      <w:pPr>
        <w:ind w:left="1440" w:hanging="360"/>
      </w:pPr>
      <w:rPr>
        <w:rFonts w:hint="default"/>
        <w:b/>
      </w:rPr>
    </w:lvl>
    <w:lvl w:ilvl="1" w:tplc="6F28CDFE">
      <w:start w:val="1"/>
      <w:numFmt w:val="upperLetter"/>
      <w:lvlText w:val="%2)"/>
      <w:lvlJc w:val="left"/>
      <w:pPr>
        <w:ind w:left="2160" w:hanging="360"/>
      </w:pPr>
      <w:rPr>
        <w:rFonts w:hint="default"/>
      </w:rPr>
    </w:lvl>
    <w:lvl w:ilvl="2" w:tplc="1668DBCC">
      <w:start w:val="1"/>
      <w:numFmt w:val="decimal"/>
      <w:lvlText w:val="%3)"/>
      <w:lvlJc w:val="left"/>
      <w:pPr>
        <w:ind w:left="3060" w:hanging="360"/>
      </w:pPr>
      <w:rPr>
        <w:rFonts w:hint="default"/>
      </w:r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1" w15:restartNumberingAfterBreak="0">
    <w:nsid w:val="795C2416"/>
    <w:multiLevelType w:val="multilevel"/>
    <w:tmpl w:val="0338EE82"/>
    <w:lvl w:ilvl="0">
      <w:start w:val="1"/>
      <w:numFmt w:val="decimal"/>
      <w:isLgl/>
      <w:lvlText w:val="%1."/>
      <w:lvlJc w:val="left"/>
      <w:pPr>
        <w:tabs>
          <w:tab w:val="num" w:pos="0"/>
        </w:tabs>
        <w:ind w:left="720" w:hanging="360"/>
      </w:pPr>
      <w:rPr>
        <w:rFonts w:cs="Times New Roman"/>
        <w:b/>
      </w:rPr>
    </w:lvl>
    <w:lvl w:ilvl="1">
      <w:start w:val="1"/>
      <w:numFmt w:val="lowerLetter"/>
      <w:isLgl/>
      <w:lvlText w:val="%2."/>
      <w:lvlJc w:val="left"/>
      <w:pPr>
        <w:tabs>
          <w:tab w:val="num" w:pos="0"/>
        </w:tabs>
        <w:ind w:left="1440" w:hanging="360"/>
      </w:pPr>
      <w:rPr>
        <w:rFonts w:cs="Times New Roman"/>
      </w:rPr>
    </w:lvl>
    <w:lvl w:ilvl="2">
      <w:start w:val="1"/>
      <w:numFmt w:val="lowerRoman"/>
      <w:isLgl/>
      <w:lvlText w:val="%3."/>
      <w:lvlJc w:val="right"/>
      <w:pPr>
        <w:tabs>
          <w:tab w:val="num" w:pos="0"/>
        </w:tabs>
        <w:ind w:left="2160" w:hanging="180"/>
      </w:pPr>
      <w:rPr>
        <w:rFonts w:cs="Times New Roman"/>
      </w:rPr>
    </w:lvl>
    <w:lvl w:ilvl="3">
      <w:start w:val="1"/>
      <w:numFmt w:val="decimal"/>
      <w:isLgl/>
      <w:lvlText w:val="%4."/>
      <w:lvlJc w:val="left"/>
      <w:pPr>
        <w:tabs>
          <w:tab w:val="num" w:pos="0"/>
        </w:tabs>
        <w:ind w:left="2880" w:hanging="360"/>
      </w:pPr>
      <w:rPr>
        <w:rFonts w:cs="Times New Roman"/>
      </w:rPr>
    </w:lvl>
    <w:lvl w:ilvl="4">
      <w:start w:val="1"/>
      <w:numFmt w:val="lowerLetter"/>
      <w:isLgl/>
      <w:lvlText w:val="%5."/>
      <w:lvlJc w:val="left"/>
      <w:pPr>
        <w:tabs>
          <w:tab w:val="num" w:pos="0"/>
        </w:tabs>
        <w:ind w:left="3600" w:hanging="360"/>
      </w:pPr>
      <w:rPr>
        <w:rFonts w:cs="Times New Roman"/>
      </w:rPr>
    </w:lvl>
    <w:lvl w:ilvl="5">
      <w:start w:val="1"/>
      <w:numFmt w:val="lowerRoman"/>
      <w:isLgl/>
      <w:lvlText w:val="%6."/>
      <w:lvlJc w:val="right"/>
      <w:pPr>
        <w:tabs>
          <w:tab w:val="num" w:pos="0"/>
        </w:tabs>
        <w:ind w:left="4320" w:hanging="180"/>
      </w:pPr>
      <w:rPr>
        <w:rFonts w:cs="Times New Roman"/>
      </w:rPr>
    </w:lvl>
    <w:lvl w:ilvl="6">
      <w:start w:val="1"/>
      <w:numFmt w:val="decimal"/>
      <w:isLgl/>
      <w:lvlText w:val="%7."/>
      <w:lvlJc w:val="left"/>
      <w:pPr>
        <w:tabs>
          <w:tab w:val="num" w:pos="0"/>
        </w:tabs>
        <w:ind w:left="5040" w:hanging="360"/>
      </w:pPr>
      <w:rPr>
        <w:rFonts w:cs="Times New Roman"/>
      </w:rPr>
    </w:lvl>
    <w:lvl w:ilvl="7">
      <w:start w:val="1"/>
      <w:numFmt w:val="lowerLetter"/>
      <w:isLgl/>
      <w:lvlText w:val="%8."/>
      <w:lvlJc w:val="left"/>
      <w:pPr>
        <w:tabs>
          <w:tab w:val="num" w:pos="0"/>
        </w:tabs>
        <w:ind w:left="5760" w:hanging="360"/>
      </w:pPr>
      <w:rPr>
        <w:rFonts w:cs="Times New Roman"/>
      </w:rPr>
    </w:lvl>
    <w:lvl w:ilvl="8">
      <w:start w:val="1"/>
      <w:numFmt w:val="lowerRoman"/>
      <w:isLgl/>
      <w:lvlText w:val="%9."/>
      <w:lvlJc w:val="right"/>
      <w:pPr>
        <w:tabs>
          <w:tab w:val="num" w:pos="0"/>
        </w:tabs>
        <w:ind w:left="6480" w:hanging="180"/>
      </w:pPr>
      <w:rPr>
        <w:rFonts w:cs="Times New Roman"/>
      </w:rPr>
    </w:lvl>
  </w:abstractNum>
  <w:abstractNum w:abstractNumId="332" w15:restartNumberingAfterBreak="0">
    <w:nsid w:val="7A084A78"/>
    <w:multiLevelType w:val="hybridMultilevel"/>
    <w:tmpl w:val="DA72E680"/>
    <w:lvl w:ilvl="0" w:tplc="04160017">
      <w:start w:val="1"/>
      <w:numFmt w:val="lowerLetter"/>
      <w:lvlText w:val="%1)"/>
      <w:lvlJc w:val="left"/>
      <w:pPr>
        <w:ind w:left="1211" w:hanging="360"/>
      </w:pPr>
      <w:rPr>
        <w:b/>
      </w:rPr>
    </w:lvl>
    <w:lvl w:ilvl="1" w:tplc="D6B20B2C">
      <w:start w:val="1"/>
      <w:numFmt w:val="lowerRoman"/>
      <w:lvlText w:val="%2)"/>
      <w:lvlJc w:val="right"/>
      <w:pPr>
        <w:ind w:left="1931" w:hanging="360"/>
      </w:pPr>
      <w:rPr>
        <w:rFonts w:hint="default"/>
        <w:b/>
      </w:r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3" w15:restartNumberingAfterBreak="0">
    <w:nsid w:val="7B0C4D5F"/>
    <w:multiLevelType w:val="multilevel"/>
    <w:tmpl w:val="C40EFC52"/>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34" w15:restartNumberingAfterBreak="0">
    <w:nsid w:val="7B1239EC"/>
    <w:multiLevelType w:val="multilevel"/>
    <w:tmpl w:val="58DC87B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5" w15:restartNumberingAfterBreak="0">
    <w:nsid w:val="7B937E76"/>
    <w:multiLevelType w:val="multilevel"/>
    <w:tmpl w:val="464082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36" w15:restartNumberingAfterBreak="0">
    <w:nsid w:val="7C465D84"/>
    <w:multiLevelType w:val="multilevel"/>
    <w:tmpl w:val="01A22560"/>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37" w15:restartNumberingAfterBreak="0">
    <w:nsid w:val="7C6050EA"/>
    <w:multiLevelType w:val="hybridMultilevel"/>
    <w:tmpl w:val="BCA82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8" w15:restartNumberingAfterBreak="0">
    <w:nsid w:val="7C86621D"/>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9" w15:restartNumberingAfterBreak="0">
    <w:nsid w:val="7CAD4365"/>
    <w:multiLevelType w:val="multilevel"/>
    <w:tmpl w:val="C16288FC"/>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40" w15:restartNumberingAfterBreak="0">
    <w:nsid w:val="7D517166"/>
    <w:multiLevelType w:val="multilevel"/>
    <w:tmpl w:val="A61A9FE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1" w15:restartNumberingAfterBreak="0">
    <w:nsid w:val="7D741703"/>
    <w:multiLevelType w:val="hybridMultilevel"/>
    <w:tmpl w:val="CDF4932A"/>
    <w:lvl w:ilvl="0" w:tplc="FB069EA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2" w15:restartNumberingAfterBreak="0">
    <w:nsid w:val="7E351BED"/>
    <w:multiLevelType w:val="multilevel"/>
    <w:tmpl w:val="1368CBFE"/>
    <w:lvl w:ilvl="0">
      <w:start w:val="1"/>
      <w:numFmt w:val="lowerLetter"/>
      <w:lvlText w:val="%1)"/>
      <w:lvlJc w:val="left"/>
      <w:pPr>
        <w:tabs>
          <w:tab w:val="num" w:pos="720"/>
        </w:tabs>
        <w:ind w:left="72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343" w15:restartNumberingAfterBreak="0">
    <w:nsid w:val="7E3F02AB"/>
    <w:multiLevelType w:val="multilevel"/>
    <w:tmpl w:val="73424266"/>
    <w:lvl w:ilvl="0">
      <w:start w:val="1"/>
      <w:numFmt w:val="decimal"/>
      <w:lvlText w:val="%1."/>
      <w:lvlJc w:val="left"/>
      <w:pPr>
        <w:tabs>
          <w:tab w:val="num" w:pos="0"/>
        </w:tabs>
        <w:ind w:left="288"/>
      </w:pPr>
      <w:rPr>
        <w:b/>
      </w:rPr>
    </w:lvl>
    <w:lvl w:ilvl="1">
      <w:start w:val="1"/>
      <w:numFmt w:val="decimal"/>
      <w:isLgl/>
      <w:suff w:val="space"/>
      <w:lvlText w:val="%2."/>
      <w:lvlJc w:val="left"/>
      <w:pPr>
        <w:tabs>
          <w:tab w:val="num" w:pos="0"/>
        </w:tabs>
        <w:ind w:left="1080"/>
      </w:pPr>
      <w:rPr>
        <w:rFonts w:cs="Times New Roman"/>
      </w:rPr>
    </w:lvl>
    <w:lvl w:ilvl="2">
      <w:start w:val="1"/>
      <w:numFmt w:val="decimal"/>
      <w:isLgl/>
      <w:suff w:val="space"/>
      <w:lvlText w:val="%3."/>
      <w:lvlJc w:val="left"/>
      <w:pPr>
        <w:tabs>
          <w:tab w:val="num" w:pos="0"/>
        </w:tabs>
        <w:ind w:left="1800"/>
      </w:pPr>
      <w:rPr>
        <w:rFonts w:cs="Times New Roman"/>
      </w:rPr>
    </w:lvl>
    <w:lvl w:ilvl="3">
      <w:start w:val="1"/>
      <w:numFmt w:val="decimal"/>
      <w:isLgl/>
      <w:suff w:val="space"/>
      <w:lvlText w:val="%4."/>
      <w:lvlJc w:val="left"/>
      <w:pPr>
        <w:tabs>
          <w:tab w:val="num" w:pos="0"/>
        </w:tabs>
        <w:ind w:left="2520"/>
      </w:pPr>
      <w:rPr>
        <w:rFonts w:cs="Times New Roman"/>
      </w:rPr>
    </w:lvl>
    <w:lvl w:ilvl="4">
      <w:start w:val="1"/>
      <w:numFmt w:val="decimal"/>
      <w:isLgl/>
      <w:suff w:val="space"/>
      <w:lvlText w:val="%5."/>
      <w:lvlJc w:val="left"/>
      <w:pPr>
        <w:tabs>
          <w:tab w:val="num" w:pos="0"/>
        </w:tabs>
        <w:ind w:left="3240"/>
      </w:pPr>
      <w:rPr>
        <w:rFonts w:cs="Times New Roman"/>
      </w:rPr>
    </w:lvl>
    <w:lvl w:ilvl="5">
      <w:start w:val="1"/>
      <w:numFmt w:val="decimal"/>
      <w:isLgl/>
      <w:suff w:val="space"/>
      <w:lvlText w:val="%6."/>
      <w:lvlJc w:val="left"/>
      <w:pPr>
        <w:tabs>
          <w:tab w:val="num" w:pos="0"/>
        </w:tabs>
        <w:ind w:left="3960"/>
      </w:pPr>
      <w:rPr>
        <w:rFonts w:cs="Times New Roman"/>
      </w:rPr>
    </w:lvl>
    <w:lvl w:ilvl="6">
      <w:start w:val="1"/>
      <w:numFmt w:val="decimal"/>
      <w:isLgl/>
      <w:suff w:val="space"/>
      <w:lvlText w:val="%7."/>
      <w:lvlJc w:val="left"/>
      <w:pPr>
        <w:tabs>
          <w:tab w:val="num" w:pos="0"/>
        </w:tabs>
        <w:ind w:left="4680"/>
      </w:pPr>
      <w:rPr>
        <w:rFonts w:cs="Times New Roman"/>
      </w:rPr>
    </w:lvl>
    <w:lvl w:ilvl="7">
      <w:start w:val="1"/>
      <w:numFmt w:val="decimal"/>
      <w:isLgl/>
      <w:suff w:val="space"/>
      <w:lvlText w:val="%8."/>
      <w:lvlJc w:val="left"/>
      <w:pPr>
        <w:tabs>
          <w:tab w:val="num" w:pos="0"/>
        </w:tabs>
        <w:ind w:left="5400"/>
      </w:pPr>
      <w:rPr>
        <w:rFonts w:cs="Times New Roman"/>
      </w:rPr>
    </w:lvl>
    <w:lvl w:ilvl="8">
      <w:start w:val="1"/>
      <w:numFmt w:val="decimal"/>
      <w:isLgl/>
      <w:suff w:val="space"/>
      <w:lvlText w:val="%9."/>
      <w:lvlJc w:val="left"/>
      <w:pPr>
        <w:tabs>
          <w:tab w:val="num" w:pos="0"/>
        </w:tabs>
        <w:ind w:left="6120"/>
      </w:pPr>
      <w:rPr>
        <w:rFonts w:cs="Times New Roman"/>
      </w:rPr>
    </w:lvl>
  </w:abstractNum>
  <w:abstractNum w:abstractNumId="344" w15:restartNumberingAfterBreak="0">
    <w:nsid w:val="7E9B5538"/>
    <w:multiLevelType w:val="hybridMultilevel"/>
    <w:tmpl w:val="ACCEE766"/>
    <w:lvl w:ilvl="0" w:tplc="04160011">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45" w15:restartNumberingAfterBreak="0">
    <w:nsid w:val="7F621555"/>
    <w:multiLevelType w:val="multilevel"/>
    <w:tmpl w:val="82FA173A"/>
    <w:lvl w:ilvl="0">
      <w:start w:val="1"/>
      <w:numFmt w:val="decimal"/>
      <w:isLgl/>
      <w:suff w:val="space"/>
      <w:lvlText w:val="%1."/>
      <w:lvlJc w:val="left"/>
      <w:pPr>
        <w:tabs>
          <w:tab w:val="num" w:pos="0"/>
        </w:tabs>
        <w:ind w:left="720" w:hanging="360"/>
      </w:pPr>
      <w:rPr>
        <w:rFonts w:cs="Times New Roman"/>
        <w:b/>
      </w:rPr>
    </w:lvl>
    <w:lvl w:ilvl="1">
      <w:start w:val="1"/>
      <w:numFmt w:val="lowerLetter"/>
      <w:isLgl/>
      <w:suff w:val="space"/>
      <w:lvlText w:val="%2."/>
      <w:lvlJc w:val="left"/>
      <w:pPr>
        <w:tabs>
          <w:tab w:val="num" w:pos="0"/>
        </w:tabs>
        <w:ind w:left="1440" w:hanging="360"/>
      </w:pPr>
      <w:rPr>
        <w:rFonts w:cs="Times New Roman"/>
      </w:rPr>
    </w:lvl>
    <w:lvl w:ilvl="2">
      <w:start w:val="1"/>
      <w:numFmt w:val="lowerRoman"/>
      <w:isLgl/>
      <w:suff w:val="space"/>
      <w:lvlText w:val="%3."/>
      <w:lvlJc w:val="right"/>
      <w:pPr>
        <w:tabs>
          <w:tab w:val="num" w:pos="0"/>
        </w:tabs>
        <w:ind w:left="2160" w:hanging="180"/>
      </w:pPr>
      <w:rPr>
        <w:rFonts w:cs="Times New Roman"/>
      </w:rPr>
    </w:lvl>
    <w:lvl w:ilvl="3">
      <w:start w:val="1"/>
      <w:numFmt w:val="decimal"/>
      <w:isLgl/>
      <w:suff w:val="space"/>
      <w:lvlText w:val="%4."/>
      <w:lvlJc w:val="left"/>
      <w:pPr>
        <w:tabs>
          <w:tab w:val="num" w:pos="0"/>
        </w:tabs>
        <w:ind w:left="2880" w:hanging="360"/>
      </w:pPr>
      <w:rPr>
        <w:rFonts w:cs="Times New Roman"/>
      </w:rPr>
    </w:lvl>
    <w:lvl w:ilvl="4">
      <w:start w:val="1"/>
      <w:numFmt w:val="lowerLetter"/>
      <w:isLgl/>
      <w:suff w:val="space"/>
      <w:lvlText w:val="%5."/>
      <w:lvlJc w:val="left"/>
      <w:pPr>
        <w:tabs>
          <w:tab w:val="num" w:pos="0"/>
        </w:tabs>
        <w:ind w:left="3600" w:hanging="360"/>
      </w:pPr>
      <w:rPr>
        <w:rFonts w:cs="Times New Roman"/>
      </w:rPr>
    </w:lvl>
    <w:lvl w:ilvl="5">
      <w:start w:val="1"/>
      <w:numFmt w:val="lowerRoman"/>
      <w:isLgl/>
      <w:suff w:val="space"/>
      <w:lvlText w:val="%6."/>
      <w:lvlJc w:val="right"/>
      <w:pPr>
        <w:tabs>
          <w:tab w:val="num" w:pos="0"/>
        </w:tabs>
        <w:ind w:left="4320" w:hanging="180"/>
      </w:pPr>
      <w:rPr>
        <w:rFonts w:cs="Times New Roman"/>
      </w:rPr>
    </w:lvl>
    <w:lvl w:ilvl="6">
      <w:start w:val="1"/>
      <w:numFmt w:val="decimal"/>
      <w:isLgl/>
      <w:suff w:val="space"/>
      <w:lvlText w:val="%7."/>
      <w:lvlJc w:val="left"/>
      <w:pPr>
        <w:tabs>
          <w:tab w:val="num" w:pos="0"/>
        </w:tabs>
        <w:ind w:left="5040" w:hanging="360"/>
      </w:pPr>
      <w:rPr>
        <w:rFonts w:cs="Times New Roman"/>
      </w:rPr>
    </w:lvl>
    <w:lvl w:ilvl="7">
      <w:start w:val="1"/>
      <w:numFmt w:val="lowerLetter"/>
      <w:isLgl/>
      <w:suff w:val="space"/>
      <w:lvlText w:val="%8."/>
      <w:lvlJc w:val="left"/>
      <w:pPr>
        <w:tabs>
          <w:tab w:val="num" w:pos="0"/>
        </w:tabs>
        <w:ind w:left="5760" w:hanging="360"/>
      </w:pPr>
      <w:rPr>
        <w:rFonts w:cs="Times New Roman"/>
      </w:rPr>
    </w:lvl>
    <w:lvl w:ilvl="8">
      <w:start w:val="1"/>
      <w:numFmt w:val="lowerRoman"/>
      <w:isLgl/>
      <w:suff w:val="space"/>
      <w:lvlText w:val="%9."/>
      <w:lvlJc w:val="right"/>
      <w:pPr>
        <w:tabs>
          <w:tab w:val="num" w:pos="0"/>
        </w:tabs>
        <w:ind w:left="6480" w:hanging="180"/>
      </w:pPr>
      <w:rPr>
        <w:rFonts w:cs="Times New Roman"/>
      </w:rPr>
    </w:lvl>
  </w:abstractNum>
  <w:abstractNum w:abstractNumId="346" w15:restartNumberingAfterBreak="0">
    <w:nsid w:val="7FB50DBA"/>
    <w:multiLevelType w:val="multilevel"/>
    <w:tmpl w:val="829C328A"/>
    <w:lvl w:ilvl="0">
      <w:start w:val="1"/>
      <w:numFmt w:val="decimal"/>
      <w:isLgl/>
      <w:suff w:val="space"/>
      <w:lvlText w:val="%1."/>
      <w:lvlJc w:val="left"/>
      <w:pPr>
        <w:tabs>
          <w:tab w:val="num" w:pos="0"/>
        </w:tabs>
        <w:ind w:left="360" w:hanging="360"/>
      </w:pPr>
      <w:rPr>
        <w:rFonts w:cs="Times New Roman"/>
        <w:b/>
      </w:rPr>
    </w:lvl>
    <w:lvl w:ilvl="1">
      <w:start w:val="1"/>
      <w:numFmt w:val="decimal"/>
      <w:isLgl/>
      <w:suff w:val="space"/>
      <w:lvlText w:val="%1.%2."/>
      <w:lvlJc w:val="left"/>
      <w:pPr>
        <w:tabs>
          <w:tab w:val="num" w:pos="0"/>
        </w:tabs>
        <w:ind w:left="792" w:hanging="432"/>
      </w:pPr>
      <w:rPr>
        <w:rFonts w:cs="Times New Roman"/>
        <w:b/>
        <w:bCs w:val="0"/>
      </w:rPr>
    </w:lvl>
    <w:lvl w:ilvl="2">
      <w:start w:val="1"/>
      <w:numFmt w:val="decimal"/>
      <w:isLgl/>
      <w:suff w:val="space"/>
      <w:lvlText w:val="%1.%2.%3."/>
      <w:lvlJc w:val="left"/>
      <w:pPr>
        <w:tabs>
          <w:tab w:val="num" w:pos="0"/>
        </w:tabs>
        <w:ind w:left="1224" w:hanging="504"/>
      </w:pPr>
      <w:rPr>
        <w:rFonts w:cs="Times New Roman"/>
      </w:rPr>
    </w:lvl>
    <w:lvl w:ilvl="3">
      <w:start w:val="1"/>
      <w:numFmt w:val="decimal"/>
      <w:isLgl/>
      <w:suff w:val="space"/>
      <w:lvlText w:val="%1.%2.%3.%4."/>
      <w:lvlJc w:val="left"/>
      <w:pPr>
        <w:tabs>
          <w:tab w:val="num" w:pos="0"/>
        </w:tabs>
        <w:ind w:left="1728" w:hanging="648"/>
      </w:pPr>
      <w:rPr>
        <w:rFonts w:cs="Times New Roman"/>
      </w:rPr>
    </w:lvl>
    <w:lvl w:ilvl="4">
      <w:start w:val="1"/>
      <w:numFmt w:val="decimal"/>
      <w:isLgl/>
      <w:suff w:val="space"/>
      <w:lvlText w:val="%1.%2.%3.%4.%5."/>
      <w:lvlJc w:val="left"/>
      <w:pPr>
        <w:tabs>
          <w:tab w:val="num" w:pos="0"/>
        </w:tabs>
        <w:ind w:left="2232" w:hanging="792"/>
      </w:pPr>
      <w:rPr>
        <w:rFonts w:cs="Times New Roman"/>
      </w:rPr>
    </w:lvl>
    <w:lvl w:ilvl="5">
      <w:start w:val="1"/>
      <w:numFmt w:val="decimal"/>
      <w:isLgl/>
      <w:suff w:val="space"/>
      <w:lvlText w:val="%1.%2.%3.%4.%5.%6."/>
      <w:lvlJc w:val="left"/>
      <w:pPr>
        <w:tabs>
          <w:tab w:val="num" w:pos="0"/>
        </w:tabs>
        <w:ind w:left="2736" w:hanging="936"/>
      </w:pPr>
      <w:rPr>
        <w:rFonts w:cs="Times New Roman"/>
      </w:rPr>
    </w:lvl>
    <w:lvl w:ilvl="6">
      <w:start w:val="1"/>
      <w:numFmt w:val="decimal"/>
      <w:isLgl/>
      <w:suff w:val="space"/>
      <w:lvlText w:val="%1.%2.%3.%4.%5.%6.%7."/>
      <w:lvlJc w:val="left"/>
      <w:pPr>
        <w:tabs>
          <w:tab w:val="num" w:pos="0"/>
        </w:tabs>
        <w:ind w:left="3240" w:hanging="1080"/>
      </w:pPr>
      <w:rPr>
        <w:rFonts w:cs="Times New Roman"/>
      </w:rPr>
    </w:lvl>
    <w:lvl w:ilvl="7">
      <w:start w:val="1"/>
      <w:numFmt w:val="decimal"/>
      <w:isLgl/>
      <w:suff w:val="space"/>
      <w:lvlText w:val="%1.%2.%3.%4.%5.%6.%7.%8."/>
      <w:lvlJc w:val="left"/>
      <w:pPr>
        <w:tabs>
          <w:tab w:val="num" w:pos="0"/>
        </w:tabs>
        <w:ind w:left="3744" w:hanging="1224"/>
      </w:pPr>
      <w:rPr>
        <w:rFonts w:cs="Times New Roman"/>
      </w:rPr>
    </w:lvl>
    <w:lvl w:ilvl="8">
      <w:start w:val="1"/>
      <w:numFmt w:val="decimal"/>
      <w:isLgl/>
      <w:suff w:val="space"/>
      <w:lvlText w:val="%1.%2.%3.%4.%5.%6.%7.%8.%9."/>
      <w:lvlJc w:val="left"/>
      <w:pPr>
        <w:tabs>
          <w:tab w:val="num" w:pos="0"/>
        </w:tabs>
        <w:ind w:left="4320" w:hanging="1440"/>
      </w:pPr>
      <w:rPr>
        <w:rFonts w:cs="Times New Roman"/>
      </w:rPr>
    </w:lvl>
  </w:abstractNum>
  <w:abstractNum w:abstractNumId="347" w15:restartNumberingAfterBreak="0">
    <w:nsid w:val="7FD15096"/>
    <w:multiLevelType w:val="hybridMultilevel"/>
    <w:tmpl w:val="ECE0D884"/>
    <w:lvl w:ilvl="0" w:tplc="5D06187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06"/>
  </w:num>
  <w:num w:numId="2">
    <w:abstractNumId w:val="234"/>
  </w:num>
  <w:num w:numId="3">
    <w:abstractNumId w:val="0"/>
  </w:num>
  <w:num w:numId="4">
    <w:abstractNumId w:val="311"/>
  </w:num>
  <w:num w:numId="5">
    <w:abstractNumId w:val="332"/>
  </w:num>
  <w:num w:numId="6">
    <w:abstractNumId w:val="137"/>
  </w:num>
  <w:num w:numId="7">
    <w:abstractNumId w:val="177"/>
  </w:num>
  <w:num w:numId="8">
    <w:abstractNumId w:val="68"/>
  </w:num>
  <w:num w:numId="9">
    <w:abstractNumId w:val="1"/>
  </w:num>
  <w:num w:numId="10">
    <w:abstractNumId w:val="69"/>
  </w:num>
  <w:num w:numId="11">
    <w:abstractNumId w:val="30"/>
  </w:num>
  <w:num w:numId="12">
    <w:abstractNumId w:val="171"/>
  </w:num>
  <w:num w:numId="13">
    <w:abstractNumId w:val="189"/>
  </w:num>
  <w:num w:numId="14">
    <w:abstractNumId w:val="17"/>
  </w:num>
  <w:num w:numId="15">
    <w:abstractNumId w:val="257"/>
  </w:num>
  <w:num w:numId="16">
    <w:abstractNumId w:val="251"/>
  </w:num>
  <w:num w:numId="17">
    <w:abstractNumId w:val="98"/>
  </w:num>
  <w:num w:numId="18">
    <w:abstractNumId w:val="128"/>
  </w:num>
  <w:num w:numId="19">
    <w:abstractNumId w:val="48"/>
  </w:num>
  <w:num w:numId="20">
    <w:abstractNumId w:val="109"/>
  </w:num>
  <w:num w:numId="21">
    <w:abstractNumId w:val="156"/>
  </w:num>
  <w:num w:numId="22">
    <w:abstractNumId w:val="256"/>
  </w:num>
  <w:num w:numId="23">
    <w:abstractNumId w:val="243"/>
  </w:num>
  <w:num w:numId="24">
    <w:abstractNumId w:val="71"/>
  </w:num>
  <w:num w:numId="25">
    <w:abstractNumId w:val="103"/>
  </w:num>
  <w:num w:numId="26">
    <w:abstractNumId w:val="62"/>
  </w:num>
  <w:num w:numId="27">
    <w:abstractNumId w:val="184"/>
  </w:num>
  <w:num w:numId="28">
    <w:abstractNumId w:val="143"/>
  </w:num>
  <w:num w:numId="29">
    <w:abstractNumId w:val="170"/>
  </w:num>
  <w:num w:numId="30">
    <w:abstractNumId w:val="245"/>
  </w:num>
  <w:num w:numId="31">
    <w:abstractNumId w:val="51"/>
  </w:num>
  <w:num w:numId="32">
    <w:abstractNumId w:val="132"/>
  </w:num>
  <w:num w:numId="33">
    <w:abstractNumId w:val="176"/>
  </w:num>
  <w:num w:numId="34">
    <w:abstractNumId w:val="3"/>
  </w:num>
  <w:num w:numId="35">
    <w:abstractNumId w:val="114"/>
  </w:num>
  <w:num w:numId="36">
    <w:abstractNumId w:val="151"/>
  </w:num>
  <w:num w:numId="37">
    <w:abstractNumId w:val="83"/>
  </w:num>
  <w:num w:numId="38">
    <w:abstractNumId w:val="86"/>
  </w:num>
  <w:num w:numId="39">
    <w:abstractNumId w:val="33"/>
  </w:num>
  <w:num w:numId="40">
    <w:abstractNumId w:val="76"/>
  </w:num>
  <w:num w:numId="41">
    <w:abstractNumId w:val="203"/>
  </w:num>
  <w:num w:numId="42">
    <w:abstractNumId w:val="299"/>
  </w:num>
  <w:num w:numId="43">
    <w:abstractNumId w:val="197"/>
  </w:num>
  <w:num w:numId="44">
    <w:abstractNumId w:val="312"/>
  </w:num>
  <w:num w:numId="45">
    <w:abstractNumId w:val="173"/>
  </w:num>
  <w:num w:numId="46">
    <w:abstractNumId w:val="180"/>
  </w:num>
  <w:num w:numId="47">
    <w:abstractNumId w:val="179"/>
  </w:num>
  <w:num w:numId="48">
    <w:abstractNumId w:val="283"/>
  </w:num>
  <w:num w:numId="49">
    <w:abstractNumId w:val="230"/>
  </w:num>
  <w:num w:numId="50">
    <w:abstractNumId w:val="97"/>
  </w:num>
  <w:num w:numId="51">
    <w:abstractNumId w:val="145"/>
  </w:num>
  <w:num w:numId="52">
    <w:abstractNumId w:val="297"/>
  </w:num>
  <w:num w:numId="53">
    <w:abstractNumId w:val="239"/>
  </w:num>
  <w:num w:numId="54">
    <w:abstractNumId w:val="345"/>
  </w:num>
  <w:num w:numId="55">
    <w:abstractNumId w:val="244"/>
  </w:num>
  <w:num w:numId="56">
    <w:abstractNumId w:val="300"/>
  </w:num>
  <w:num w:numId="57">
    <w:abstractNumId w:val="44"/>
  </w:num>
  <w:num w:numId="58">
    <w:abstractNumId w:val="281"/>
  </w:num>
  <w:num w:numId="59">
    <w:abstractNumId w:val="152"/>
  </w:num>
  <w:num w:numId="60">
    <w:abstractNumId w:val="115"/>
  </w:num>
  <w:num w:numId="61">
    <w:abstractNumId w:val="266"/>
  </w:num>
  <w:num w:numId="62">
    <w:abstractNumId w:val="302"/>
  </w:num>
  <w:num w:numId="63">
    <w:abstractNumId w:val="107"/>
  </w:num>
  <w:num w:numId="64">
    <w:abstractNumId w:val="178"/>
  </w:num>
  <w:num w:numId="65">
    <w:abstractNumId w:val="125"/>
  </w:num>
  <w:num w:numId="66">
    <w:abstractNumId w:val="275"/>
  </w:num>
  <w:num w:numId="67">
    <w:abstractNumId w:val="305"/>
  </w:num>
  <w:num w:numId="68">
    <w:abstractNumId w:val="211"/>
  </w:num>
  <w:num w:numId="69">
    <w:abstractNumId w:val="236"/>
  </w:num>
  <w:num w:numId="70">
    <w:abstractNumId w:val="37"/>
  </w:num>
  <w:num w:numId="71">
    <w:abstractNumId w:val="301"/>
  </w:num>
  <w:num w:numId="72">
    <w:abstractNumId w:val="92"/>
  </w:num>
  <w:num w:numId="73">
    <w:abstractNumId w:val="38"/>
  </w:num>
  <w:num w:numId="74">
    <w:abstractNumId w:val="129"/>
  </w:num>
  <w:num w:numId="75">
    <w:abstractNumId w:val="56"/>
  </w:num>
  <w:num w:numId="76">
    <w:abstractNumId w:val="247"/>
  </w:num>
  <w:num w:numId="77">
    <w:abstractNumId w:val="258"/>
  </w:num>
  <w:num w:numId="78">
    <w:abstractNumId w:val="191"/>
  </w:num>
  <w:num w:numId="79">
    <w:abstractNumId w:val="134"/>
  </w:num>
  <w:num w:numId="80">
    <w:abstractNumId w:val="160"/>
  </w:num>
  <w:num w:numId="81">
    <w:abstractNumId w:val="284"/>
  </w:num>
  <w:num w:numId="82">
    <w:abstractNumId w:val="339"/>
  </w:num>
  <w:num w:numId="83">
    <w:abstractNumId w:val="58"/>
  </w:num>
  <w:num w:numId="84">
    <w:abstractNumId w:val="113"/>
  </w:num>
  <w:num w:numId="85">
    <w:abstractNumId w:val="336"/>
  </w:num>
  <w:num w:numId="86">
    <w:abstractNumId w:val="222"/>
  </w:num>
  <w:num w:numId="87">
    <w:abstractNumId w:val="329"/>
  </w:num>
  <w:num w:numId="88">
    <w:abstractNumId w:val="127"/>
  </w:num>
  <w:num w:numId="89">
    <w:abstractNumId w:val="320"/>
  </w:num>
  <w:num w:numId="90">
    <w:abstractNumId w:val="290"/>
  </w:num>
  <w:num w:numId="91">
    <w:abstractNumId w:val="334"/>
  </w:num>
  <w:num w:numId="92">
    <w:abstractNumId w:val="190"/>
  </w:num>
  <w:num w:numId="93">
    <w:abstractNumId w:val="138"/>
  </w:num>
  <w:num w:numId="94">
    <w:abstractNumId w:val="82"/>
  </w:num>
  <w:num w:numId="95">
    <w:abstractNumId w:val="308"/>
  </w:num>
  <w:num w:numId="96">
    <w:abstractNumId w:val="240"/>
  </w:num>
  <w:num w:numId="97">
    <w:abstractNumId w:val="208"/>
  </w:num>
  <w:num w:numId="98">
    <w:abstractNumId w:val="14"/>
  </w:num>
  <w:num w:numId="99">
    <w:abstractNumId w:val="142"/>
  </w:num>
  <w:num w:numId="100">
    <w:abstractNumId w:val="307"/>
  </w:num>
  <w:num w:numId="101">
    <w:abstractNumId w:val="149"/>
  </w:num>
  <w:num w:numId="102">
    <w:abstractNumId w:val="23"/>
  </w:num>
  <w:num w:numId="103">
    <w:abstractNumId w:val="90"/>
  </w:num>
  <w:num w:numId="104">
    <w:abstractNumId w:val="256"/>
    <w:lvlOverride w:ilvl="0">
      <w:lvl w:ilvl="0">
        <w:start w:val="1"/>
        <w:numFmt w:val="decimal"/>
        <w:lvlText w:val="%1."/>
        <w:lvlJc w:val="left"/>
        <w:pPr>
          <w:ind w:left="618" w:hanging="360"/>
        </w:pPr>
        <w:rPr>
          <w:b/>
        </w:rPr>
      </w:lvl>
    </w:lvlOverride>
    <w:lvlOverride w:ilvl="1">
      <w:lvl w:ilvl="1" w:tentative="1">
        <w:start w:val="1"/>
        <w:numFmt w:val="lowerLetter"/>
        <w:lvlText w:val="%2."/>
        <w:lvlJc w:val="left"/>
        <w:pPr>
          <w:ind w:left="1338" w:hanging="360"/>
        </w:pPr>
      </w:lvl>
    </w:lvlOverride>
    <w:lvlOverride w:ilvl="2">
      <w:lvl w:ilvl="2" w:tentative="1">
        <w:start w:val="1"/>
        <w:numFmt w:val="lowerRoman"/>
        <w:lvlText w:val="%3."/>
        <w:lvlJc w:val="right"/>
        <w:pPr>
          <w:ind w:left="2058" w:hanging="180"/>
        </w:pPr>
      </w:lvl>
    </w:lvlOverride>
    <w:lvlOverride w:ilvl="3">
      <w:lvl w:ilvl="3" w:tentative="1">
        <w:start w:val="1"/>
        <w:numFmt w:val="decimal"/>
        <w:lvlText w:val="%4."/>
        <w:lvlJc w:val="left"/>
        <w:pPr>
          <w:ind w:left="2778" w:hanging="360"/>
        </w:pPr>
      </w:lvl>
    </w:lvlOverride>
    <w:lvlOverride w:ilvl="4">
      <w:lvl w:ilvl="4" w:tentative="1">
        <w:start w:val="1"/>
        <w:numFmt w:val="lowerLetter"/>
        <w:lvlText w:val="%5."/>
        <w:lvlJc w:val="left"/>
        <w:pPr>
          <w:ind w:left="3498" w:hanging="360"/>
        </w:pPr>
      </w:lvl>
    </w:lvlOverride>
    <w:lvlOverride w:ilvl="5">
      <w:lvl w:ilvl="5" w:tentative="1">
        <w:start w:val="1"/>
        <w:numFmt w:val="lowerRoman"/>
        <w:lvlText w:val="%6."/>
        <w:lvlJc w:val="right"/>
        <w:pPr>
          <w:ind w:left="4218" w:hanging="180"/>
        </w:pPr>
      </w:lvl>
    </w:lvlOverride>
    <w:lvlOverride w:ilvl="6">
      <w:lvl w:ilvl="6" w:tentative="1">
        <w:start w:val="1"/>
        <w:numFmt w:val="decimal"/>
        <w:lvlText w:val="%7."/>
        <w:lvlJc w:val="left"/>
        <w:pPr>
          <w:ind w:left="4938" w:hanging="360"/>
        </w:pPr>
      </w:lvl>
    </w:lvlOverride>
    <w:lvlOverride w:ilvl="7">
      <w:lvl w:ilvl="7" w:tentative="1">
        <w:start w:val="1"/>
        <w:numFmt w:val="lowerLetter"/>
        <w:lvlText w:val="%8."/>
        <w:lvlJc w:val="left"/>
        <w:pPr>
          <w:ind w:left="5658" w:hanging="360"/>
        </w:pPr>
      </w:lvl>
    </w:lvlOverride>
    <w:lvlOverride w:ilvl="8">
      <w:lvl w:ilvl="8" w:tentative="1">
        <w:start w:val="1"/>
        <w:numFmt w:val="lowerRoman"/>
        <w:lvlText w:val="%9."/>
        <w:lvlJc w:val="right"/>
        <w:pPr>
          <w:ind w:left="6378" w:hanging="180"/>
        </w:pPr>
      </w:lvl>
    </w:lvlOverride>
  </w:num>
  <w:num w:numId="105">
    <w:abstractNumId w:val="140"/>
  </w:num>
  <w:num w:numId="106">
    <w:abstractNumId w:val="52"/>
  </w:num>
  <w:num w:numId="107">
    <w:abstractNumId w:val="260"/>
  </w:num>
  <w:num w:numId="108">
    <w:abstractNumId w:val="238"/>
  </w:num>
  <w:num w:numId="109">
    <w:abstractNumId w:val="136"/>
  </w:num>
  <w:num w:numId="110">
    <w:abstractNumId w:val="2"/>
  </w:num>
  <w:num w:numId="111">
    <w:abstractNumId w:val="250"/>
  </w:num>
  <w:num w:numId="112">
    <w:abstractNumId w:val="318"/>
  </w:num>
  <w:num w:numId="113">
    <w:abstractNumId w:val="187"/>
  </w:num>
  <w:num w:numId="114">
    <w:abstractNumId w:val="242"/>
  </w:num>
  <w:num w:numId="115">
    <w:abstractNumId w:val="337"/>
  </w:num>
  <w:num w:numId="116">
    <w:abstractNumId w:val="36"/>
  </w:num>
  <w:num w:numId="117">
    <w:abstractNumId w:val="63"/>
  </w:num>
  <w:num w:numId="118">
    <w:abstractNumId w:val="22"/>
  </w:num>
  <w:num w:numId="119">
    <w:abstractNumId w:val="174"/>
  </w:num>
  <w:num w:numId="120">
    <w:abstractNumId w:val="59"/>
  </w:num>
  <w:num w:numId="121">
    <w:abstractNumId w:val="225"/>
  </w:num>
  <w:num w:numId="122">
    <w:abstractNumId w:val="291"/>
  </w:num>
  <w:num w:numId="123">
    <w:abstractNumId w:val="100"/>
  </w:num>
  <w:num w:numId="124">
    <w:abstractNumId w:val="8"/>
  </w:num>
  <w:num w:numId="125">
    <w:abstractNumId w:val="47"/>
  </w:num>
  <w:num w:numId="126">
    <w:abstractNumId w:val="344"/>
  </w:num>
  <w:num w:numId="127">
    <w:abstractNumId w:val="195"/>
  </w:num>
  <w:num w:numId="128">
    <w:abstractNumId w:val="330"/>
  </w:num>
  <w:num w:numId="129">
    <w:abstractNumId w:val="221"/>
  </w:num>
  <w:num w:numId="130">
    <w:abstractNumId w:val="209"/>
  </w:num>
  <w:num w:numId="131">
    <w:abstractNumId w:val="96"/>
  </w:num>
  <w:num w:numId="132">
    <w:abstractNumId w:val="112"/>
  </w:num>
  <w:num w:numId="133">
    <w:abstractNumId w:val="13"/>
  </w:num>
  <w:num w:numId="134">
    <w:abstractNumId w:val="215"/>
  </w:num>
  <w:num w:numId="135">
    <w:abstractNumId w:val="15"/>
  </w:num>
  <w:num w:numId="136">
    <w:abstractNumId w:val="229"/>
  </w:num>
  <w:num w:numId="137">
    <w:abstractNumId w:val="168"/>
  </w:num>
  <w:num w:numId="138">
    <w:abstractNumId w:val="169"/>
  </w:num>
  <w:num w:numId="139">
    <w:abstractNumId w:val="118"/>
  </w:num>
  <w:num w:numId="140">
    <w:abstractNumId w:val="61"/>
  </w:num>
  <w:num w:numId="141">
    <w:abstractNumId w:val="165"/>
  </w:num>
  <w:num w:numId="142">
    <w:abstractNumId w:val="205"/>
  </w:num>
  <w:num w:numId="143">
    <w:abstractNumId w:val="64"/>
  </w:num>
  <w:num w:numId="144">
    <w:abstractNumId w:val="212"/>
  </w:num>
  <w:num w:numId="145">
    <w:abstractNumId w:val="249"/>
  </w:num>
  <w:num w:numId="146">
    <w:abstractNumId w:val="72"/>
  </w:num>
  <w:num w:numId="147">
    <w:abstractNumId w:val="218"/>
  </w:num>
  <w:num w:numId="148">
    <w:abstractNumId w:val="157"/>
  </w:num>
  <w:num w:numId="149">
    <w:abstractNumId w:val="304"/>
  </w:num>
  <w:num w:numId="150">
    <w:abstractNumId w:val="293"/>
  </w:num>
  <w:num w:numId="151">
    <w:abstractNumId w:val="175"/>
  </w:num>
  <w:num w:numId="152">
    <w:abstractNumId w:val="28"/>
  </w:num>
  <w:num w:numId="153">
    <w:abstractNumId w:val="261"/>
  </w:num>
  <w:num w:numId="154">
    <w:abstractNumId w:val="254"/>
  </w:num>
  <w:num w:numId="155">
    <w:abstractNumId w:val="347"/>
  </w:num>
  <w:num w:numId="156">
    <w:abstractNumId w:val="285"/>
  </w:num>
  <w:num w:numId="157">
    <w:abstractNumId w:val="313"/>
  </w:num>
  <w:num w:numId="158">
    <w:abstractNumId w:val="263"/>
  </w:num>
  <w:num w:numId="159">
    <w:abstractNumId w:val="24"/>
  </w:num>
  <w:num w:numId="160">
    <w:abstractNumId w:val="66"/>
  </w:num>
  <w:num w:numId="161">
    <w:abstractNumId w:val="10"/>
  </w:num>
  <w:num w:numId="162">
    <w:abstractNumId w:val="315"/>
  </w:num>
  <w:num w:numId="163">
    <w:abstractNumId w:val="272"/>
  </w:num>
  <w:num w:numId="164">
    <w:abstractNumId w:val="265"/>
  </w:num>
  <w:num w:numId="165">
    <w:abstractNumId w:val="338"/>
  </w:num>
  <w:num w:numId="166">
    <w:abstractNumId w:val="131"/>
  </w:num>
  <w:num w:numId="167">
    <w:abstractNumId w:val="198"/>
  </w:num>
  <w:num w:numId="168">
    <w:abstractNumId w:val="216"/>
  </w:num>
  <w:num w:numId="169">
    <w:abstractNumId w:val="262"/>
  </w:num>
  <w:num w:numId="170">
    <w:abstractNumId w:val="306"/>
  </w:num>
  <w:num w:numId="171">
    <w:abstractNumId w:val="95"/>
  </w:num>
  <w:num w:numId="172">
    <w:abstractNumId w:val="237"/>
  </w:num>
  <w:num w:numId="173">
    <w:abstractNumId w:val="241"/>
  </w:num>
  <w:num w:numId="174">
    <w:abstractNumId w:val="27"/>
  </w:num>
  <w:num w:numId="175">
    <w:abstractNumId w:val="268"/>
  </w:num>
  <w:num w:numId="176">
    <w:abstractNumId w:val="324"/>
  </w:num>
  <w:num w:numId="177">
    <w:abstractNumId w:val="55"/>
  </w:num>
  <w:num w:numId="178">
    <w:abstractNumId w:val="7"/>
  </w:num>
  <w:num w:numId="179">
    <w:abstractNumId w:val="201"/>
  </w:num>
  <w:num w:numId="180">
    <w:abstractNumId w:val="164"/>
  </w:num>
  <w:num w:numId="181">
    <w:abstractNumId w:val="259"/>
  </w:num>
  <w:num w:numId="182">
    <w:abstractNumId w:val="119"/>
  </w:num>
  <w:num w:numId="183">
    <w:abstractNumId w:val="4"/>
  </w:num>
  <w:num w:numId="184">
    <w:abstractNumId w:val="287"/>
  </w:num>
  <w:num w:numId="185">
    <w:abstractNumId w:val="194"/>
  </w:num>
  <w:num w:numId="186">
    <w:abstractNumId w:val="148"/>
  </w:num>
  <w:num w:numId="187">
    <w:abstractNumId w:val="226"/>
  </w:num>
  <w:num w:numId="188">
    <w:abstractNumId w:val="172"/>
  </w:num>
  <w:num w:numId="189">
    <w:abstractNumId w:val="253"/>
  </w:num>
  <w:num w:numId="190">
    <w:abstractNumId w:val="288"/>
  </w:num>
  <w:num w:numId="191">
    <w:abstractNumId w:val="252"/>
  </w:num>
  <w:num w:numId="192">
    <w:abstractNumId w:val="328"/>
  </w:num>
  <w:num w:numId="193">
    <w:abstractNumId w:val="159"/>
  </w:num>
  <w:num w:numId="194">
    <w:abstractNumId w:val="267"/>
  </w:num>
  <w:num w:numId="195">
    <w:abstractNumId w:val="202"/>
  </w:num>
  <w:num w:numId="196">
    <w:abstractNumId w:val="32"/>
  </w:num>
  <w:num w:numId="197">
    <w:abstractNumId w:val="286"/>
  </w:num>
  <w:num w:numId="198">
    <w:abstractNumId w:val="135"/>
  </w:num>
  <w:num w:numId="199">
    <w:abstractNumId w:val="270"/>
  </w:num>
  <w:num w:numId="200">
    <w:abstractNumId w:val="294"/>
  </w:num>
  <w:num w:numId="201">
    <w:abstractNumId w:val="110"/>
  </w:num>
  <w:num w:numId="202">
    <w:abstractNumId w:val="133"/>
  </w:num>
  <w:num w:numId="203">
    <w:abstractNumId w:val="331"/>
  </w:num>
  <w:num w:numId="204">
    <w:abstractNumId w:val="255"/>
  </w:num>
  <w:num w:numId="205">
    <w:abstractNumId w:val="31"/>
  </w:num>
  <w:num w:numId="206">
    <w:abstractNumId w:val="74"/>
  </w:num>
  <w:num w:numId="207">
    <w:abstractNumId w:val="43"/>
  </w:num>
  <w:num w:numId="208">
    <w:abstractNumId w:val="105"/>
  </w:num>
  <w:num w:numId="209">
    <w:abstractNumId w:val="167"/>
  </w:num>
  <w:num w:numId="210">
    <w:abstractNumId w:val="235"/>
  </w:num>
  <w:num w:numId="211">
    <w:abstractNumId w:val="186"/>
  </w:num>
  <w:num w:numId="212">
    <w:abstractNumId w:val="78"/>
  </w:num>
  <w:num w:numId="213">
    <w:abstractNumId w:val="84"/>
  </w:num>
  <w:num w:numId="214">
    <w:abstractNumId w:val="57"/>
  </w:num>
  <w:num w:numId="215">
    <w:abstractNumId w:val="227"/>
  </w:num>
  <w:num w:numId="216">
    <w:abstractNumId w:val="65"/>
  </w:num>
  <w:num w:numId="217">
    <w:abstractNumId w:val="11"/>
  </w:num>
  <w:num w:numId="218">
    <w:abstractNumId w:val="298"/>
  </w:num>
  <w:num w:numId="219">
    <w:abstractNumId w:val="35"/>
  </w:num>
  <w:num w:numId="220">
    <w:abstractNumId w:val="101"/>
  </w:num>
  <w:num w:numId="221">
    <w:abstractNumId w:val="196"/>
  </w:num>
  <w:num w:numId="222">
    <w:abstractNumId w:val="46"/>
  </w:num>
  <w:num w:numId="223">
    <w:abstractNumId w:val="310"/>
  </w:num>
  <w:num w:numId="224">
    <w:abstractNumId w:val="45"/>
  </w:num>
  <w:num w:numId="225">
    <w:abstractNumId w:val="314"/>
  </w:num>
  <w:num w:numId="226">
    <w:abstractNumId w:val="120"/>
  </w:num>
  <w:num w:numId="227">
    <w:abstractNumId w:val="39"/>
  </w:num>
  <w:num w:numId="228">
    <w:abstractNumId w:val="217"/>
  </w:num>
  <w:num w:numId="229">
    <w:abstractNumId w:val="19"/>
  </w:num>
  <w:num w:numId="230">
    <w:abstractNumId w:val="117"/>
  </w:num>
  <w:num w:numId="231">
    <w:abstractNumId w:val="70"/>
  </w:num>
  <w:num w:numId="232">
    <w:abstractNumId w:val="309"/>
  </w:num>
  <w:num w:numId="233">
    <w:abstractNumId w:val="182"/>
  </w:num>
  <w:num w:numId="234">
    <w:abstractNumId w:val="116"/>
  </w:num>
  <w:num w:numId="235">
    <w:abstractNumId w:val="26"/>
  </w:num>
  <w:num w:numId="236">
    <w:abstractNumId w:val="214"/>
  </w:num>
  <w:num w:numId="237">
    <w:abstractNumId w:val="327"/>
  </w:num>
  <w:num w:numId="238">
    <w:abstractNumId w:val="153"/>
  </w:num>
  <w:num w:numId="239">
    <w:abstractNumId w:val="210"/>
  </w:num>
  <w:num w:numId="240">
    <w:abstractNumId w:val="280"/>
  </w:num>
  <w:num w:numId="241">
    <w:abstractNumId w:val="269"/>
  </w:num>
  <w:num w:numId="242">
    <w:abstractNumId w:val="91"/>
  </w:num>
  <w:num w:numId="243">
    <w:abstractNumId w:val="60"/>
  </w:num>
  <w:num w:numId="244">
    <w:abstractNumId w:val="303"/>
  </w:num>
  <w:num w:numId="245">
    <w:abstractNumId w:val="273"/>
  </w:num>
  <w:num w:numId="246">
    <w:abstractNumId w:val="319"/>
  </w:num>
  <w:num w:numId="247">
    <w:abstractNumId w:val="54"/>
  </w:num>
  <w:num w:numId="248">
    <w:abstractNumId w:val="42"/>
  </w:num>
  <w:num w:numId="249">
    <w:abstractNumId w:val="79"/>
  </w:num>
  <w:num w:numId="250">
    <w:abstractNumId w:val="50"/>
  </w:num>
  <w:num w:numId="251">
    <w:abstractNumId w:val="139"/>
  </w:num>
  <w:num w:numId="252">
    <w:abstractNumId w:val="161"/>
  </w:num>
  <w:num w:numId="253">
    <w:abstractNumId w:val="122"/>
  </w:num>
  <w:num w:numId="254">
    <w:abstractNumId w:val="88"/>
  </w:num>
  <w:num w:numId="255">
    <w:abstractNumId w:val="220"/>
  </w:num>
  <w:num w:numId="256">
    <w:abstractNumId w:val="183"/>
  </w:num>
  <w:num w:numId="257">
    <w:abstractNumId w:val="282"/>
  </w:num>
  <w:num w:numId="258">
    <w:abstractNumId w:val="5"/>
  </w:num>
  <w:num w:numId="259">
    <w:abstractNumId w:val="12"/>
  </w:num>
  <w:num w:numId="260">
    <w:abstractNumId w:val="200"/>
  </w:num>
  <w:num w:numId="261">
    <w:abstractNumId w:val="41"/>
  </w:num>
  <w:num w:numId="262">
    <w:abstractNumId w:val="21"/>
  </w:num>
  <w:num w:numId="263">
    <w:abstractNumId w:val="279"/>
  </w:num>
  <w:num w:numId="264">
    <w:abstractNumId w:val="166"/>
  </w:num>
  <w:num w:numId="265">
    <w:abstractNumId w:val="130"/>
  </w:num>
  <w:num w:numId="266">
    <w:abstractNumId w:val="75"/>
  </w:num>
  <w:num w:numId="267">
    <w:abstractNumId w:val="317"/>
  </w:num>
  <w:num w:numId="268">
    <w:abstractNumId w:val="40"/>
  </w:num>
  <w:num w:numId="269">
    <w:abstractNumId w:val="246"/>
  </w:num>
  <w:num w:numId="270">
    <w:abstractNumId w:val="341"/>
  </w:num>
  <w:num w:numId="271">
    <w:abstractNumId w:val="20"/>
  </w:num>
  <w:num w:numId="272">
    <w:abstractNumId w:val="34"/>
  </w:num>
  <w:num w:numId="273">
    <w:abstractNumId w:val="144"/>
  </w:num>
  <w:num w:numId="274">
    <w:abstractNumId w:val="147"/>
  </w:num>
  <w:num w:numId="275">
    <w:abstractNumId w:val="292"/>
  </w:num>
  <w:num w:numId="276">
    <w:abstractNumId w:val="154"/>
  </w:num>
  <w:num w:numId="277">
    <w:abstractNumId w:val="278"/>
  </w:num>
  <w:num w:numId="278">
    <w:abstractNumId w:val="6"/>
  </w:num>
  <w:num w:numId="279">
    <w:abstractNumId w:val="231"/>
  </w:num>
  <w:num w:numId="280">
    <w:abstractNumId w:val="49"/>
  </w:num>
  <w:num w:numId="281">
    <w:abstractNumId w:val="16"/>
  </w:num>
  <w:num w:numId="282">
    <w:abstractNumId w:val="321"/>
  </w:num>
  <w:num w:numId="283">
    <w:abstractNumId w:val="192"/>
  </w:num>
  <w:num w:numId="284">
    <w:abstractNumId w:val="81"/>
  </w:num>
  <w:num w:numId="285">
    <w:abstractNumId w:val="104"/>
  </w:num>
  <w:num w:numId="286">
    <w:abstractNumId w:val="158"/>
  </w:num>
  <w:num w:numId="287">
    <w:abstractNumId w:val="162"/>
  </w:num>
  <w:num w:numId="288">
    <w:abstractNumId w:val="188"/>
  </w:num>
  <w:num w:numId="289">
    <w:abstractNumId w:val="342"/>
  </w:num>
  <w:num w:numId="290">
    <w:abstractNumId w:val="9"/>
  </w:num>
  <w:num w:numId="291">
    <w:abstractNumId w:val="207"/>
  </w:num>
  <w:num w:numId="292">
    <w:abstractNumId w:val="204"/>
  </w:num>
  <w:num w:numId="293">
    <w:abstractNumId w:val="335"/>
  </w:num>
  <w:num w:numId="294">
    <w:abstractNumId w:val="141"/>
  </w:num>
  <w:num w:numId="295">
    <w:abstractNumId w:val="326"/>
  </w:num>
  <w:num w:numId="296">
    <w:abstractNumId w:val="219"/>
  </w:num>
  <w:num w:numId="297">
    <w:abstractNumId w:val="193"/>
  </w:num>
  <w:num w:numId="298">
    <w:abstractNumId w:val="111"/>
  </w:num>
  <w:num w:numId="299">
    <w:abstractNumId w:val="316"/>
  </w:num>
  <w:num w:numId="300">
    <w:abstractNumId w:val="277"/>
  </w:num>
  <w:num w:numId="301">
    <w:abstractNumId w:val="274"/>
  </w:num>
  <w:num w:numId="302">
    <w:abstractNumId w:val="123"/>
  </w:num>
  <w:num w:numId="303">
    <w:abstractNumId w:val="333"/>
  </w:num>
  <w:num w:numId="304">
    <w:abstractNumId w:val="150"/>
  </w:num>
  <w:num w:numId="305">
    <w:abstractNumId w:val="126"/>
  </w:num>
  <w:num w:numId="306">
    <w:abstractNumId w:val="85"/>
  </w:num>
  <w:num w:numId="307">
    <w:abstractNumId w:val="108"/>
  </w:num>
  <w:num w:numId="308">
    <w:abstractNumId w:val="228"/>
  </w:num>
  <w:num w:numId="309">
    <w:abstractNumId w:val="155"/>
  </w:num>
  <w:num w:numId="310">
    <w:abstractNumId w:val="80"/>
  </w:num>
  <w:num w:numId="311">
    <w:abstractNumId w:val="93"/>
  </w:num>
  <w:num w:numId="312">
    <w:abstractNumId w:val="181"/>
  </w:num>
  <w:num w:numId="313">
    <w:abstractNumId w:val="295"/>
  </w:num>
  <w:num w:numId="314">
    <w:abstractNumId w:val="289"/>
  </w:num>
  <w:num w:numId="315">
    <w:abstractNumId w:val="206"/>
  </w:num>
  <w:num w:numId="316">
    <w:abstractNumId w:val="94"/>
  </w:num>
  <w:num w:numId="317">
    <w:abstractNumId w:val="185"/>
  </w:num>
  <w:num w:numId="318">
    <w:abstractNumId w:val="233"/>
  </w:num>
  <w:num w:numId="319">
    <w:abstractNumId w:val="346"/>
  </w:num>
  <w:num w:numId="320">
    <w:abstractNumId w:val="124"/>
  </w:num>
  <w:num w:numId="321">
    <w:abstractNumId w:val="18"/>
  </w:num>
  <w:num w:numId="322">
    <w:abstractNumId w:val="296"/>
  </w:num>
  <w:num w:numId="323">
    <w:abstractNumId w:val="199"/>
  </w:num>
  <w:num w:numId="324">
    <w:abstractNumId w:val="53"/>
  </w:num>
  <w:num w:numId="325">
    <w:abstractNumId w:val="146"/>
  </w:num>
  <w:num w:numId="326">
    <w:abstractNumId w:val="223"/>
  </w:num>
  <w:num w:numId="327">
    <w:abstractNumId w:val="89"/>
  </w:num>
  <w:num w:numId="328">
    <w:abstractNumId w:val="232"/>
  </w:num>
  <w:num w:numId="329">
    <w:abstractNumId w:val="25"/>
  </w:num>
  <w:num w:numId="330">
    <w:abstractNumId w:val="121"/>
  </w:num>
  <w:num w:numId="331">
    <w:abstractNumId w:val="343"/>
  </w:num>
  <w:num w:numId="332">
    <w:abstractNumId w:val="73"/>
  </w:num>
  <w:num w:numId="333">
    <w:abstractNumId w:val="67"/>
  </w:num>
  <w:num w:numId="334">
    <w:abstractNumId w:val="29"/>
  </w:num>
  <w:num w:numId="335">
    <w:abstractNumId w:val="340"/>
  </w:num>
  <w:num w:numId="336">
    <w:abstractNumId w:val="323"/>
  </w:num>
  <w:num w:numId="337">
    <w:abstractNumId w:val="248"/>
  </w:num>
  <w:num w:numId="338">
    <w:abstractNumId w:val="213"/>
  </w:num>
  <w:num w:numId="339">
    <w:abstractNumId w:val="322"/>
  </w:num>
  <w:num w:numId="340">
    <w:abstractNumId w:val="224"/>
  </w:num>
  <w:num w:numId="341">
    <w:abstractNumId w:val="271"/>
  </w:num>
  <w:num w:numId="342">
    <w:abstractNumId w:val="276"/>
  </w:num>
  <w:num w:numId="343">
    <w:abstractNumId w:val="102"/>
  </w:num>
  <w:num w:numId="344">
    <w:abstractNumId w:val="87"/>
  </w:num>
  <w:num w:numId="345">
    <w:abstractNumId w:val="325"/>
  </w:num>
  <w:num w:numId="346">
    <w:abstractNumId w:val="264"/>
  </w:num>
  <w:num w:numId="347">
    <w:abstractNumId w:val="163"/>
  </w:num>
  <w:num w:numId="348">
    <w:abstractNumId w:val="77"/>
  </w:num>
  <w:num w:numId="349">
    <w:abstractNumId w:val="99"/>
  </w:num>
  <w:numIdMacAtCleanup w:val="3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5F8"/>
    <w:rsid w:val="000014C6"/>
    <w:rsid w:val="00002AE9"/>
    <w:rsid w:val="00002B71"/>
    <w:rsid w:val="000053AD"/>
    <w:rsid w:val="00005FB7"/>
    <w:rsid w:val="00010F6D"/>
    <w:rsid w:val="00011DC8"/>
    <w:rsid w:val="00012875"/>
    <w:rsid w:val="00014B24"/>
    <w:rsid w:val="00016017"/>
    <w:rsid w:val="0002297F"/>
    <w:rsid w:val="000238E3"/>
    <w:rsid w:val="00026A3A"/>
    <w:rsid w:val="00027CDC"/>
    <w:rsid w:val="00030FA7"/>
    <w:rsid w:val="000320E1"/>
    <w:rsid w:val="00036B10"/>
    <w:rsid w:val="00040622"/>
    <w:rsid w:val="00042D30"/>
    <w:rsid w:val="00044731"/>
    <w:rsid w:val="00051A26"/>
    <w:rsid w:val="00051DE4"/>
    <w:rsid w:val="000529D4"/>
    <w:rsid w:val="00052EBD"/>
    <w:rsid w:val="0005379B"/>
    <w:rsid w:val="00054E43"/>
    <w:rsid w:val="000561CA"/>
    <w:rsid w:val="00060397"/>
    <w:rsid w:val="000635FD"/>
    <w:rsid w:val="00063B16"/>
    <w:rsid w:val="0006451F"/>
    <w:rsid w:val="000651EE"/>
    <w:rsid w:val="00067FE2"/>
    <w:rsid w:val="00071C1D"/>
    <w:rsid w:val="000738C5"/>
    <w:rsid w:val="000743CA"/>
    <w:rsid w:val="00080C74"/>
    <w:rsid w:val="000824D8"/>
    <w:rsid w:val="0008428C"/>
    <w:rsid w:val="0008467B"/>
    <w:rsid w:val="000863E6"/>
    <w:rsid w:val="000920C1"/>
    <w:rsid w:val="00093465"/>
    <w:rsid w:val="00095FD2"/>
    <w:rsid w:val="000A01D7"/>
    <w:rsid w:val="000A3731"/>
    <w:rsid w:val="000A57B5"/>
    <w:rsid w:val="000B01FA"/>
    <w:rsid w:val="000B02AA"/>
    <w:rsid w:val="000B02F4"/>
    <w:rsid w:val="000B0C4A"/>
    <w:rsid w:val="000B2B0B"/>
    <w:rsid w:val="000B546F"/>
    <w:rsid w:val="000C1025"/>
    <w:rsid w:val="000C13DF"/>
    <w:rsid w:val="000C1A25"/>
    <w:rsid w:val="000C1CF7"/>
    <w:rsid w:val="000C5FD2"/>
    <w:rsid w:val="000C64C2"/>
    <w:rsid w:val="000E079D"/>
    <w:rsid w:val="000E31B1"/>
    <w:rsid w:val="000E353A"/>
    <w:rsid w:val="000E3E58"/>
    <w:rsid w:val="000E439A"/>
    <w:rsid w:val="000F161C"/>
    <w:rsid w:val="000F1CE6"/>
    <w:rsid w:val="000F5E0A"/>
    <w:rsid w:val="000F78CC"/>
    <w:rsid w:val="000F7DA3"/>
    <w:rsid w:val="00100B7A"/>
    <w:rsid w:val="00100BF3"/>
    <w:rsid w:val="00101BEB"/>
    <w:rsid w:val="00103020"/>
    <w:rsid w:val="00103CEC"/>
    <w:rsid w:val="00105120"/>
    <w:rsid w:val="0010520C"/>
    <w:rsid w:val="0010670B"/>
    <w:rsid w:val="001103AC"/>
    <w:rsid w:val="001129FB"/>
    <w:rsid w:val="001137BE"/>
    <w:rsid w:val="00114098"/>
    <w:rsid w:val="00115EA3"/>
    <w:rsid w:val="00121B10"/>
    <w:rsid w:val="00123220"/>
    <w:rsid w:val="00127159"/>
    <w:rsid w:val="00132011"/>
    <w:rsid w:val="00135A7B"/>
    <w:rsid w:val="0013657D"/>
    <w:rsid w:val="001372E1"/>
    <w:rsid w:val="00137FDD"/>
    <w:rsid w:val="00141091"/>
    <w:rsid w:val="001440AB"/>
    <w:rsid w:val="00144FEB"/>
    <w:rsid w:val="00147305"/>
    <w:rsid w:val="00151037"/>
    <w:rsid w:val="001514ED"/>
    <w:rsid w:val="00155016"/>
    <w:rsid w:val="001558BD"/>
    <w:rsid w:val="001564EE"/>
    <w:rsid w:val="0016289F"/>
    <w:rsid w:val="00163748"/>
    <w:rsid w:val="00163885"/>
    <w:rsid w:val="00164978"/>
    <w:rsid w:val="00166DB1"/>
    <w:rsid w:val="00166E7F"/>
    <w:rsid w:val="00167607"/>
    <w:rsid w:val="00170145"/>
    <w:rsid w:val="00170D06"/>
    <w:rsid w:val="001768BA"/>
    <w:rsid w:val="0018368B"/>
    <w:rsid w:val="00184600"/>
    <w:rsid w:val="00192B1E"/>
    <w:rsid w:val="00196EEF"/>
    <w:rsid w:val="001A22CC"/>
    <w:rsid w:val="001A28B2"/>
    <w:rsid w:val="001A3A5A"/>
    <w:rsid w:val="001A7D7F"/>
    <w:rsid w:val="001B02DC"/>
    <w:rsid w:val="001B15E4"/>
    <w:rsid w:val="001B2035"/>
    <w:rsid w:val="001B21AC"/>
    <w:rsid w:val="001C02A0"/>
    <w:rsid w:val="001C23C3"/>
    <w:rsid w:val="001C2F68"/>
    <w:rsid w:val="001C3E3E"/>
    <w:rsid w:val="001C4F1C"/>
    <w:rsid w:val="001C670F"/>
    <w:rsid w:val="001D2339"/>
    <w:rsid w:val="001D255A"/>
    <w:rsid w:val="001D2606"/>
    <w:rsid w:val="001D2D1E"/>
    <w:rsid w:val="001D37CF"/>
    <w:rsid w:val="001D4305"/>
    <w:rsid w:val="001D44A0"/>
    <w:rsid w:val="001E0868"/>
    <w:rsid w:val="001E46CC"/>
    <w:rsid w:val="001E4A74"/>
    <w:rsid w:val="001E6715"/>
    <w:rsid w:val="001E7A56"/>
    <w:rsid w:val="001E7B44"/>
    <w:rsid w:val="001F0A42"/>
    <w:rsid w:val="001F0EDE"/>
    <w:rsid w:val="001F15EC"/>
    <w:rsid w:val="001F1B11"/>
    <w:rsid w:val="001F2036"/>
    <w:rsid w:val="001F434D"/>
    <w:rsid w:val="001F5F7D"/>
    <w:rsid w:val="0020168A"/>
    <w:rsid w:val="00202AF0"/>
    <w:rsid w:val="00203833"/>
    <w:rsid w:val="00204FF8"/>
    <w:rsid w:val="00205E04"/>
    <w:rsid w:val="00206341"/>
    <w:rsid w:val="0020679B"/>
    <w:rsid w:val="00206C0B"/>
    <w:rsid w:val="00206F18"/>
    <w:rsid w:val="0021079D"/>
    <w:rsid w:val="002174DD"/>
    <w:rsid w:val="00220AAB"/>
    <w:rsid w:val="00223976"/>
    <w:rsid w:val="00224095"/>
    <w:rsid w:val="00224B87"/>
    <w:rsid w:val="00226803"/>
    <w:rsid w:val="00227188"/>
    <w:rsid w:val="00227A05"/>
    <w:rsid w:val="00232574"/>
    <w:rsid w:val="00232833"/>
    <w:rsid w:val="00234633"/>
    <w:rsid w:val="00235818"/>
    <w:rsid w:val="00236DB0"/>
    <w:rsid w:val="00241D96"/>
    <w:rsid w:val="00245688"/>
    <w:rsid w:val="002536BD"/>
    <w:rsid w:val="00253F01"/>
    <w:rsid w:val="002565F4"/>
    <w:rsid w:val="002568FC"/>
    <w:rsid w:val="0025791B"/>
    <w:rsid w:val="002616CD"/>
    <w:rsid w:val="00261789"/>
    <w:rsid w:val="00261B60"/>
    <w:rsid w:val="00263B5E"/>
    <w:rsid w:val="00265B84"/>
    <w:rsid w:val="00266E8E"/>
    <w:rsid w:val="002721EF"/>
    <w:rsid w:val="00273659"/>
    <w:rsid w:val="00273A75"/>
    <w:rsid w:val="00273EC0"/>
    <w:rsid w:val="0027563E"/>
    <w:rsid w:val="00281765"/>
    <w:rsid w:val="00282286"/>
    <w:rsid w:val="002829A0"/>
    <w:rsid w:val="002834A8"/>
    <w:rsid w:val="0028424B"/>
    <w:rsid w:val="00287406"/>
    <w:rsid w:val="00293ED1"/>
    <w:rsid w:val="00295159"/>
    <w:rsid w:val="0029673E"/>
    <w:rsid w:val="00296B48"/>
    <w:rsid w:val="00297CF6"/>
    <w:rsid w:val="002A23B2"/>
    <w:rsid w:val="002A5238"/>
    <w:rsid w:val="002A5A1C"/>
    <w:rsid w:val="002B1ABE"/>
    <w:rsid w:val="002B525B"/>
    <w:rsid w:val="002B6437"/>
    <w:rsid w:val="002B6E09"/>
    <w:rsid w:val="002B7A3B"/>
    <w:rsid w:val="002C030B"/>
    <w:rsid w:val="002C12A3"/>
    <w:rsid w:val="002C3BC3"/>
    <w:rsid w:val="002C4C07"/>
    <w:rsid w:val="002C746C"/>
    <w:rsid w:val="002C7FF1"/>
    <w:rsid w:val="002D3983"/>
    <w:rsid w:val="002D6871"/>
    <w:rsid w:val="002E1F07"/>
    <w:rsid w:val="002E523A"/>
    <w:rsid w:val="002E67B4"/>
    <w:rsid w:val="002E717E"/>
    <w:rsid w:val="002F00DD"/>
    <w:rsid w:val="002F19A4"/>
    <w:rsid w:val="002F1FAF"/>
    <w:rsid w:val="002F28F5"/>
    <w:rsid w:val="002F5F9A"/>
    <w:rsid w:val="002F774F"/>
    <w:rsid w:val="00300415"/>
    <w:rsid w:val="00302FFE"/>
    <w:rsid w:val="00307EEB"/>
    <w:rsid w:val="0031182F"/>
    <w:rsid w:val="00312826"/>
    <w:rsid w:val="0031364C"/>
    <w:rsid w:val="00314434"/>
    <w:rsid w:val="0031593C"/>
    <w:rsid w:val="00316F7B"/>
    <w:rsid w:val="0032274B"/>
    <w:rsid w:val="0033032B"/>
    <w:rsid w:val="00330388"/>
    <w:rsid w:val="003319D8"/>
    <w:rsid w:val="0033265E"/>
    <w:rsid w:val="00341214"/>
    <w:rsid w:val="00342B4A"/>
    <w:rsid w:val="00343DE6"/>
    <w:rsid w:val="00351F98"/>
    <w:rsid w:val="00353E87"/>
    <w:rsid w:val="003548CB"/>
    <w:rsid w:val="00363A75"/>
    <w:rsid w:val="00364CBD"/>
    <w:rsid w:val="00372C7B"/>
    <w:rsid w:val="00373566"/>
    <w:rsid w:val="003765C7"/>
    <w:rsid w:val="0037795B"/>
    <w:rsid w:val="00382E08"/>
    <w:rsid w:val="00383906"/>
    <w:rsid w:val="003855E3"/>
    <w:rsid w:val="00387137"/>
    <w:rsid w:val="00391EF8"/>
    <w:rsid w:val="003923BF"/>
    <w:rsid w:val="00393381"/>
    <w:rsid w:val="003935A0"/>
    <w:rsid w:val="00397584"/>
    <w:rsid w:val="003A2E0B"/>
    <w:rsid w:val="003A3507"/>
    <w:rsid w:val="003B0609"/>
    <w:rsid w:val="003B2A6C"/>
    <w:rsid w:val="003B480E"/>
    <w:rsid w:val="003B5146"/>
    <w:rsid w:val="003B55D3"/>
    <w:rsid w:val="003B5FD5"/>
    <w:rsid w:val="003B6910"/>
    <w:rsid w:val="003C1F38"/>
    <w:rsid w:val="003C4768"/>
    <w:rsid w:val="003C47CC"/>
    <w:rsid w:val="003C72C4"/>
    <w:rsid w:val="003D057C"/>
    <w:rsid w:val="003D4D8F"/>
    <w:rsid w:val="003D5090"/>
    <w:rsid w:val="003D53B8"/>
    <w:rsid w:val="003D5E53"/>
    <w:rsid w:val="003E183E"/>
    <w:rsid w:val="003E29BF"/>
    <w:rsid w:val="003E361F"/>
    <w:rsid w:val="003E5154"/>
    <w:rsid w:val="003E650E"/>
    <w:rsid w:val="003F1D6A"/>
    <w:rsid w:val="003F35EE"/>
    <w:rsid w:val="003F4A32"/>
    <w:rsid w:val="003F5D33"/>
    <w:rsid w:val="004004CF"/>
    <w:rsid w:val="00404E89"/>
    <w:rsid w:val="00406A8F"/>
    <w:rsid w:val="00406D59"/>
    <w:rsid w:val="00411F2A"/>
    <w:rsid w:val="0041242A"/>
    <w:rsid w:val="00413161"/>
    <w:rsid w:val="004138BC"/>
    <w:rsid w:val="00413C08"/>
    <w:rsid w:val="00414D75"/>
    <w:rsid w:val="00414EB7"/>
    <w:rsid w:val="00415003"/>
    <w:rsid w:val="00415FE2"/>
    <w:rsid w:val="004253CA"/>
    <w:rsid w:val="00425D40"/>
    <w:rsid w:val="00425DFB"/>
    <w:rsid w:val="00426DEA"/>
    <w:rsid w:val="004277B1"/>
    <w:rsid w:val="00434F73"/>
    <w:rsid w:val="0043760D"/>
    <w:rsid w:val="0044057C"/>
    <w:rsid w:val="00441500"/>
    <w:rsid w:val="00442693"/>
    <w:rsid w:val="00442E27"/>
    <w:rsid w:val="0044475D"/>
    <w:rsid w:val="00456294"/>
    <w:rsid w:val="00456595"/>
    <w:rsid w:val="00456982"/>
    <w:rsid w:val="0045732C"/>
    <w:rsid w:val="004578B9"/>
    <w:rsid w:val="00457E57"/>
    <w:rsid w:val="00460BB7"/>
    <w:rsid w:val="004657D3"/>
    <w:rsid w:val="00472153"/>
    <w:rsid w:val="00473072"/>
    <w:rsid w:val="00477150"/>
    <w:rsid w:val="00477BB0"/>
    <w:rsid w:val="00483A25"/>
    <w:rsid w:val="004844C3"/>
    <w:rsid w:val="00486941"/>
    <w:rsid w:val="00496765"/>
    <w:rsid w:val="00497D7C"/>
    <w:rsid w:val="004A24FF"/>
    <w:rsid w:val="004A5AAF"/>
    <w:rsid w:val="004B0037"/>
    <w:rsid w:val="004B6716"/>
    <w:rsid w:val="004B6C1B"/>
    <w:rsid w:val="004B6E81"/>
    <w:rsid w:val="004C0197"/>
    <w:rsid w:val="004C0713"/>
    <w:rsid w:val="004C1BCA"/>
    <w:rsid w:val="004C4A1D"/>
    <w:rsid w:val="004C4EC9"/>
    <w:rsid w:val="004C52BC"/>
    <w:rsid w:val="004C5D1E"/>
    <w:rsid w:val="004C7E91"/>
    <w:rsid w:val="004D2798"/>
    <w:rsid w:val="004D65C9"/>
    <w:rsid w:val="004E1EBE"/>
    <w:rsid w:val="004E357C"/>
    <w:rsid w:val="004E56E3"/>
    <w:rsid w:val="004E5EBB"/>
    <w:rsid w:val="004E6BBE"/>
    <w:rsid w:val="004E7EB9"/>
    <w:rsid w:val="004F046D"/>
    <w:rsid w:val="004F2231"/>
    <w:rsid w:val="004F2BCF"/>
    <w:rsid w:val="004F689F"/>
    <w:rsid w:val="004F738C"/>
    <w:rsid w:val="00503FA3"/>
    <w:rsid w:val="00506DC7"/>
    <w:rsid w:val="005121A1"/>
    <w:rsid w:val="005121BB"/>
    <w:rsid w:val="0052240A"/>
    <w:rsid w:val="00523CF0"/>
    <w:rsid w:val="00523F41"/>
    <w:rsid w:val="00532569"/>
    <w:rsid w:val="0053509D"/>
    <w:rsid w:val="00536273"/>
    <w:rsid w:val="0053645B"/>
    <w:rsid w:val="0054366E"/>
    <w:rsid w:val="00550069"/>
    <w:rsid w:val="00555365"/>
    <w:rsid w:val="00555C15"/>
    <w:rsid w:val="00556043"/>
    <w:rsid w:val="005626A9"/>
    <w:rsid w:val="00562FE9"/>
    <w:rsid w:val="00566C5C"/>
    <w:rsid w:val="005825F5"/>
    <w:rsid w:val="00582952"/>
    <w:rsid w:val="00586D11"/>
    <w:rsid w:val="0059149A"/>
    <w:rsid w:val="00593E2B"/>
    <w:rsid w:val="00595BB8"/>
    <w:rsid w:val="005960BD"/>
    <w:rsid w:val="00597AAA"/>
    <w:rsid w:val="005A0087"/>
    <w:rsid w:val="005A0D2B"/>
    <w:rsid w:val="005A1084"/>
    <w:rsid w:val="005A1625"/>
    <w:rsid w:val="005A2973"/>
    <w:rsid w:val="005A48ED"/>
    <w:rsid w:val="005A5613"/>
    <w:rsid w:val="005A6A8A"/>
    <w:rsid w:val="005A6CA6"/>
    <w:rsid w:val="005B05D3"/>
    <w:rsid w:val="005B0B8E"/>
    <w:rsid w:val="005B11B9"/>
    <w:rsid w:val="005B1766"/>
    <w:rsid w:val="005B1FDF"/>
    <w:rsid w:val="005B2A13"/>
    <w:rsid w:val="005B577B"/>
    <w:rsid w:val="005C016A"/>
    <w:rsid w:val="005C15C3"/>
    <w:rsid w:val="005C2B70"/>
    <w:rsid w:val="005C4766"/>
    <w:rsid w:val="005C4C62"/>
    <w:rsid w:val="005C59BA"/>
    <w:rsid w:val="005C63EB"/>
    <w:rsid w:val="005D1251"/>
    <w:rsid w:val="005D62BA"/>
    <w:rsid w:val="005D64CC"/>
    <w:rsid w:val="005D77E9"/>
    <w:rsid w:val="005E04F6"/>
    <w:rsid w:val="005E3D9E"/>
    <w:rsid w:val="005E3EC8"/>
    <w:rsid w:val="005E7212"/>
    <w:rsid w:val="005F71B0"/>
    <w:rsid w:val="005F7F84"/>
    <w:rsid w:val="00601031"/>
    <w:rsid w:val="006041FA"/>
    <w:rsid w:val="00606690"/>
    <w:rsid w:val="006132E3"/>
    <w:rsid w:val="00613934"/>
    <w:rsid w:val="00614816"/>
    <w:rsid w:val="00615479"/>
    <w:rsid w:val="00616398"/>
    <w:rsid w:val="00620CE4"/>
    <w:rsid w:val="006241E6"/>
    <w:rsid w:val="006247BF"/>
    <w:rsid w:val="0062736F"/>
    <w:rsid w:val="0063175C"/>
    <w:rsid w:val="00631C98"/>
    <w:rsid w:val="00634C5E"/>
    <w:rsid w:val="00635C62"/>
    <w:rsid w:val="00636C34"/>
    <w:rsid w:val="00636F63"/>
    <w:rsid w:val="00640C96"/>
    <w:rsid w:val="00640ECD"/>
    <w:rsid w:val="0064225A"/>
    <w:rsid w:val="0064436F"/>
    <w:rsid w:val="00647D20"/>
    <w:rsid w:val="006507A3"/>
    <w:rsid w:val="00651D7B"/>
    <w:rsid w:val="00654F26"/>
    <w:rsid w:val="0065531D"/>
    <w:rsid w:val="006555D5"/>
    <w:rsid w:val="00660356"/>
    <w:rsid w:val="00660C62"/>
    <w:rsid w:val="00663754"/>
    <w:rsid w:val="00664AFF"/>
    <w:rsid w:val="0066554E"/>
    <w:rsid w:val="00665721"/>
    <w:rsid w:val="00666D77"/>
    <w:rsid w:val="00667566"/>
    <w:rsid w:val="006735E7"/>
    <w:rsid w:val="00673FD6"/>
    <w:rsid w:val="00675079"/>
    <w:rsid w:val="00675937"/>
    <w:rsid w:val="00676757"/>
    <w:rsid w:val="00680B5B"/>
    <w:rsid w:val="00681A3F"/>
    <w:rsid w:val="006823F4"/>
    <w:rsid w:val="0068257A"/>
    <w:rsid w:val="006852FF"/>
    <w:rsid w:val="006861D6"/>
    <w:rsid w:val="0068703A"/>
    <w:rsid w:val="00687B9C"/>
    <w:rsid w:val="006906C3"/>
    <w:rsid w:val="00690D84"/>
    <w:rsid w:val="00697070"/>
    <w:rsid w:val="006A014A"/>
    <w:rsid w:val="006A23CF"/>
    <w:rsid w:val="006A2418"/>
    <w:rsid w:val="006A6930"/>
    <w:rsid w:val="006B0EF1"/>
    <w:rsid w:val="006B0FF0"/>
    <w:rsid w:val="006B1ABE"/>
    <w:rsid w:val="006B29CB"/>
    <w:rsid w:val="006B30F4"/>
    <w:rsid w:val="006B41A1"/>
    <w:rsid w:val="006B6385"/>
    <w:rsid w:val="006B6E8C"/>
    <w:rsid w:val="006C0329"/>
    <w:rsid w:val="006C04AA"/>
    <w:rsid w:val="006C1127"/>
    <w:rsid w:val="006C1B8A"/>
    <w:rsid w:val="006D0276"/>
    <w:rsid w:val="006D1A63"/>
    <w:rsid w:val="006D2EB3"/>
    <w:rsid w:val="006E6423"/>
    <w:rsid w:val="006E7530"/>
    <w:rsid w:val="006E7DD1"/>
    <w:rsid w:val="006F23E6"/>
    <w:rsid w:val="006F2BE7"/>
    <w:rsid w:val="006F53E9"/>
    <w:rsid w:val="006F62C9"/>
    <w:rsid w:val="006F6857"/>
    <w:rsid w:val="006F7388"/>
    <w:rsid w:val="007022CB"/>
    <w:rsid w:val="007038A2"/>
    <w:rsid w:val="0070523F"/>
    <w:rsid w:val="00705707"/>
    <w:rsid w:val="007064B3"/>
    <w:rsid w:val="00707304"/>
    <w:rsid w:val="0071028D"/>
    <w:rsid w:val="00711251"/>
    <w:rsid w:val="00712896"/>
    <w:rsid w:val="00714668"/>
    <w:rsid w:val="00714C27"/>
    <w:rsid w:val="007162A7"/>
    <w:rsid w:val="0072447B"/>
    <w:rsid w:val="00730E25"/>
    <w:rsid w:val="0073123D"/>
    <w:rsid w:val="0073235C"/>
    <w:rsid w:val="00734CFD"/>
    <w:rsid w:val="0074029A"/>
    <w:rsid w:val="00741A8B"/>
    <w:rsid w:val="00743B12"/>
    <w:rsid w:val="007460F8"/>
    <w:rsid w:val="00750B00"/>
    <w:rsid w:val="0075162D"/>
    <w:rsid w:val="00752008"/>
    <w:rsid w:val="00756B9B"/>
    <w:rsid w:val="007600E2"/>
    <w:rsid w:val="007602AC"/>
    <w:rsid w:val="00762944"/>
    <w:rsid w:val="00762E63"/>
    <w:rsid w:val="007650AF"/>
    <w:rsid w:val="00767A18"/>
    <w:rsid w:val="0077023E"/>
    <w:rsid w:val="00772D9A"/>
    <w:rsid w:val="00774636"/>
    <w:rsid w:val="00775EB1"/>
    <w:rsid w:val="007764BA"/>
    <w:rsid w:val="007768A9"/>
    <w:rsid w:val="007810C2"/>
    <w:rsid w:val="0078115A"/>
    <w:rsid w:val="007811AA"/>
    <w:rsid w:val="007834BF"/>
    <w:rsid w:val="00786428"/>
    <w:rsid w:val="00792B1C"/>
    <w:rsid w:val="00793985"/>
    <w:rsid w:val="00794384"/>
    <w:rsid w:val="00796042"/>
    <w:rsid w:val="00797298"/>
    <w:rsid w:val="007A1B19"/>
    <w:rsid w:val="007A2F90"/>
    <w:rsid w:val="007A50B2"/>
    <w:rsid w:val="007A515C"/>
    <w:rsid w:val="007A7D9E"/>
    <w:rsid w:val="007B06A7"/>
    <w:rsid w:val="007B613F"/>
    <w:rsid w:val="007C019E"/>
    <w:rsid w:val="007C035D"/>
    <w:rsid w:val="007C2A28"/>
    <w:rsid w:val="007C4B66"/>
    <w:rsid w:val="007C4F18"/>
    <w:rsid w:val="007D1906"/>
    <w:rsid w:val="007D4EDB"/>
    <w:rsid w:val="007E5632"/>
    <w:rsid w:val="007E6DC8"/>
    <w:rsid w:val="007E7E22"/>
    <w:rsid w:val="007F0497"/>
    <w:rsid w:val="007F4FBD"/>
    <w:rsid w:val="00800F47"/>
    <w:rsid w:val="008035DD"/>
    <w:rsid w:val="0080455F"/>
    <w:rsid w:val="008049E4"/>
    <w:rsid w:val="008066C5"/>
    <w:rsid w:val="008077D9"/>
    <w:rsid w:val="00811422"/>
    <w:rsid w:val="00813502"/>
    <w:rsid w:val="00814853"/>
    <w:rsid w:val="00816A05"/>
    <w:rsid w:val="00816FC1"/>
    <w:rsid w:val="008209B9"/>
    <w:rsid w:val="00820B2C"/>
    <w:rsid w:val="00823BAC"/>
    <w:rsid w:val="00824AA7"/>
    <w:rsid w:val="00827BA6"/>
    <w:rsid w:val="00830881"/>
    <w:rsid w:val="00833894"/>
    <w:rsid w:val="008359AE"/>
    <w:rsid w:val="00835AB6"/>
    <w:rsid w:val="00836F71"/>
    <w:rsid w:val="00837366"/>
    <w:rsid w:val="00837AB8"/>
    <w:rsid w:val="00841BE1"/>
    <w:rsid w:val="008442F3"/>
    <w:rsid w:val="00844D49"/>
    <w:rsid w:val="0084770A"/>
    <w:rsid w:val="008515FA"/>
    <w:rsid w:val="00853AF9"/>
    <w:rsid w:val="00853C29"/>
    <w:rsid w:val="00863B3D"/>
    <w:rsid w:val="00864DC7"/>
    <w:rsid w:val="0086525A"/>
    <w:rsid w:val="00865718"/>
    <w:rsid w:val="00866334"/>
    <w:rsid w:val="00867534"/>
    <w:rsid w:val="00871880"/>
    <w:rsid w:val="008723E9"/>
    <w:rsid w:val="00873898"/>
    <w:rsid w:val="00873AC8"/>
    <w:rsid w:val="00874FD9"/>
    <w:rsid w:val="008752FF"/>
    <w:rsid w:val="00876AB4"/>
    <w:rsid w:val="00877B58"/>
    <w:rsid w:val="00880C4D"/>
    <w:rsid w:val="00881895"/>
    <w:rsid w:val="008916C4"/>
    <w:rsid w:val="0089199B"/>
    <w:rsid w:val="0089278A"/>
    <w:rsid w:val="00893F7E"/>
    <w:rsid w:val="0089707F"/>
    <w:rsid w:val="008973A8"/>
    <w:rsid w:val="008A0746"/>
    <w:rsid w:val="008A20CF"/>
    <w:rsid w:val="008A244D"/>
    <w:rsid w:val="008A522C"/>
    <w:rsid w:val="008A7138"/>
    <w:rsid w:val="008A7F04"/>
    <w:rsid w:val="008B1143"/>
    <w:rsid w:val="008B18D0"/>
    <w:rsid w:val="008B369E"/>
    <w:rsid w:val="008B662B"/>
    <w:rsid w:val="008C093D"/>
    <w:rsid w:val="008C192C"/>
    <w:rsid w:val="008C4DAB"/>
    <w:rsid w:val="008C672F"/>
    <w:rsid w:val="008C697A"/>
    <w:rsid w:val="008C6AC4"/>
    <w:rsid w:val="008D03ED"/>
    <w:rsid w:val="008D38DA"/>
    <w:rsid w:val="008D56AF"/>
    <w:rsid w:val="008E1AF8"/>
    <w:rsid w:val="008E279D"/>
    <w:rsid w:val="008E380A"/>
    <w:rsid w:val="008E3C62"/>
    <w:rsid w:val="008E57FC"/>
    <w:rsid w:val="008E6A24"/>
    <w:rsid w:val="008F14BE"/>
    <w:rsid w:val="008F18BC"/>
    <w:rsid w:val="008F2D12"/>
    <w:rsid w:val="008F31B9"/>
    <w:rsid w:val="008F4BF7"/>
    <w:rsid w:val="008F56DA"/>
    <w:rsid w:val="009009D1"/>
    <w:rsid w:val="009015D7"/>
    <w:rsid w:val="00910EAE"/>
    <w:rsid w:val="009124EF"/>
    <w:rsid w:val="0091308A"/>
    <w:rsid w:val="00913233"/>
    <w:rsid w:val="00916789"/>
    <w:rsid w:val="00916C0B"/>
    <w:rsid w:val="009235A8"/>
    <w:rsid w:val="00923E61"/>
    <w:rsid w:val="00923F27"/>
    <w:rsid w:val="009243BD"/>
    <w:rsid w:val="0092450E"/>
    <w:rsid w:val="0093330D"/>
    <w:rsid w:val="00934297"/>
    <w:rsid w:val="009348F5"/>
    <w:rsid w:val="00937D05"/>
    <w:rsid w:val="0094181B"/>
    <w:rsid w:val="00943E4E"/>
    <w:rsid w:val="0095033E"/>
    <w:rsid w:val="00950552"/>
    <w:rsid w:val="00953FC3"/>
    <w:rsid w:val="009548CD"/>
    <w:rsid w:val="00955CDF"/>
    <w:rsid w:val="009728FD"/>
    <w:rsid w:val="00975BE0"/>
    <w:rsid w:val="00977C8B"/>
    <w:rsid w:val="00981401"/>
    <w:rsid w:val="00982934"/>
    <w:rsid w:val="009834F5"/>
    <w:rsid w:val="00984475"/>
    <w:rsid w:val="00995E0F"/>
    <w:rsid w:val="00997B66"/>
    <w:rsid w:val="009A0286"/>
    <w:rsid w:val="009A1E2C"/>
    <w:rsid w:val="009A36BD"/>
    <w:rsid w:val="009A49E6"/>
    <w:rsid w:val="009A60AD"/>
    <w:rsid w:val="009A6EFE"/>
    <w:rsid w:val="009B2413"/>
    <w:rsid w:val="009B5A52"/>
    <w:rsid w:val="009C3391"/>
    <w:rsid w:val="009C473E"/>
    <w:rsid w:val="009D1E68"/>
    <w:rsid w:val="009D224F"/>
    <w:rsid w:val="009D40A1"/>
    <w:rsid w:val="009D4DAF"/>
    <w:rsid w:val="009D52F7"/>
    <w:rsid w:val="009D6029"/>
    <w:rsid w:val="009E077E"/>
    <w:rsid w:val="009E240F"/>
    <w:rsid w:val="009E2E38"/>
    <w:rsid w:val="009E4B48"/>
    <w:rsid w:val="009E7D6E"/>
    <w:rsid w:val="00A0080F"/>
    <w:rsid w:val="00A02083"/>
    <w:rsid w:val="00A0446B"/>
    <w:rsid w:val="00A05434"/>
    <w:rsid w:val="00A05751"/>
    <w:rsid w:val="00A12D64"/>
    <w:rsid w:val="00A153F3"/>
    <w:rsid w:val="00A17B96"/>
    <w:rsid w:val="00A22977"/>
    <w:rsid w:val="00A240CC"/>
    <w:rsid w:val="00A33840"/>
    <w:rsid w:val="00A37AD4"/>
    <w:rsid w:val="00A403AE"/>
    <w:rsid w:val="00A40DDC"/>
    <w:rsid w:val="00A415C5"/>
    <w:rsid w:val="00A44799"/>
    <w:rsid w:val="00A45E84"/>
    <w:rsid w:val="00A46E85"/>
    <w:rsid w:val="00A47B06"/>
    <w:rsid w:val="00A50F42"/>
    <w:rsid w:val="00A52433"/>
    <w:rsid w:val="00A5350E"/>
    <w:rsid w:val="00A53A25"/>
    <w:rsid w:val="00A56B7C"/>
    <w:rsid w:val="00A56F24"/>
    <w:rsid w:val="00A63962"/>
    <w:rsid w:val="00A64EC1"/>
    <w:rsid w:val="00A65192"/>
    <w:rsid w:val="00A6558E"/>
    <w:rsid w:val="00A664E7"/>
    <w:rsid w:val="00A67185"/>
    <w:rsid w:val="00A720B7"/>
    <w:rsid w:val="00A7489C"/>
    <w:rsid w:val="00A748D8"/>
    <w:rsid w:val="00A76093"/>
    <w:rsid w:val="00A7764A"/>
    <w:rsid w:val="00A80083"/>
    <w:rsid w:val="00A81725"/>
    <w:rsid w:val="00A84CD7"/>
    <w:rsid w:val="00A939A1"/>
    <w:rsid w:val="00A959C9"/>
    <w:rsid w:val="00A96C0B"/>
    <w:rsid w:val="00AA02E3"/>
    <w:rsid w:val="00AA2A8C"/>
    <w:rsid w:val="00AA3577"/>
    <w:rsid w:val="00AA40C7"/>
    <w:rsid w:val="00AA52DE"/>
    <w:rsid w:val="00AA6123"/>
    <w:rsid w:val="00AB08D0"/>
    <w:rsid w:val="00AB20EA"/>
    <w:rsid w:val="00AB7A8A"/>
    <w:rsid w:val="00AC5813"/>
    <w:rsid w:val="00AC5B18"/>
    <w:rsid w:val="00AD0A1C"/>
    <w:rsid w:val="00AD2AB1"/>
    <w:rsid w:val="00AD319A"/>
    <w:rsid w:val="00AD58CE"/>
    <w:rsid w:val="00AD6BD8"/>
    <w:rsid w:val="00AD6E11"/>
    <w:rsid w:val="00AE180D"/>
    <w:rsid w:val="00AE2D8A"/>
    <w:rsid w:val="00AE44DB"/>
    <w:rsid w:val="00AE4C4F"/>
    <w:rsid w:val="00AE4F57"/>
    <w:rsid w:val="00AF08F1"/>
    <w:rsid w:val="00AF2489"/>
    <w:rsid w:val="00AF5F78"/>
    <w:rsid w:val="00AF72F4"/>
    <w:rsid w:val="00B01A67"/>
    <w:rsid w:val="00B0201D"/>
    <w:rsid w:val="00B04CBF"/>
    <w:rsid w:val="00B1304A"/>
    <w:rsid w:val="00B13C1F"/>
    <w:rsid w:val="00B16AE4"/>
    <w:rsid w:val="00B17BE6"/>
    <w:rsid w:val="00B21A42"/>
    <w:rsid w:val="00B22E12"/>
    <w:rsid w:val="00B2664C"/>
    <w:rsid w:val="00B307DB"/>
    <w:rsid w:val="00B442DA"/>
    <w:rsid w:val="00B444C7"/>
    <w:rsid w:val="00B469AD"/>
    <w:rsid w:val="00B56C2D"/>
    <w:rsid w:val="00B56DD1"/>
    <w:rsid w:val="00B600CD"/>
    <w:rsid w:val="00B6067B"/>
    <w:rsid w:val="00B6216E"/>
    <w:rsid w:val="00B62F19"/>
    <w:rsid w:val="00B639DA"/>
    <w:rsid w:val="00B63A2C"/>
    <w:rsid w:val="00B63B11"/>
    <w:rsid w:val="00B67151"/>
    <w:rsid w:val="00B6777E"/>
    <w:rsid w:val="00B715F9"/>
    <w:rsid w:val="00B71841"/>
    <w:rsid w:val="00B7244A"/>
    <w:rsid w:val="00B751F4"/>
    <w:rsid w:val="00B765A6"/>
    <w:rsid w:val="00B8239D"/>
    <w:rsid w:val="00B82AFA"/>
    <w:rsid w:val="00B82F82"/>
    <w:rsid w:val="00B84389"/>
    <w:rsid w:val="00B84B64"/>
    <w:rsid w:val="00B85DAB"/>
    <w:rsid w:val="00B939C1"/>
    <w:rsid w:val="00B93BA5"/>
    <w:rsid w:val="00B93F9F"/>
    <w:rsid w:val="00B94162"/>
    <w:rsid w:val="00B968BD"/>
    <w:rsid w:val="00B972C8"/>
    <w:rsid w:val="00BA164D"/>
    <w:rsid w:val="00BA49FE"/>
    <w:rsid w:val="00BA6B1F"/>
    <w:rsid w:val="00BB0C05"/>
    <w:rsid w:val="00BB1520"/>
    <w:rsid w:val="00BB2BC3"/>
    <w:rsid w:val="00BB4982"/>
    <w:rsid w:val="00BC0A8F"/>
    <w:rsid w:val="00BC277D"/>
    <w:rsid w:val="00BC4295"/>
    <w:rsid w:val="00BC6A9E"/>
    <w:rsid w:val="00BC7461"/>
    <w:rsid w:val="00BD00B4"/>
    <w:rsid w:val="00BD0DE4"/>
    <w:rsid w:val="00BD1375"/>
    <w:rsid w:val="00BD5A59"/>
    <w:rsid w:val="00BD7CE9"/>
    <w:rsid w:val="00BE19BC"/>
    <w:rsid w:val="00BE379B"/>
    <w:rsid w:val="00BE48B5"/>
    <w:rsid w:val="00BE6F76"/>
    <w:rsid w:val="00BE7E48"/>
    <w:rsid w:val="00C01D24"/>
    <w:rsid w:val="00C02ED0"/>
    <w:rsid w:val="00C0302D"/>
    <w:rsid w:val="00C04335"/>
    <w:rsid w:val="00C04B50"/>
    <w:rsid w:val="00C058CA"/>
    <w:rsid w:val="00C06861"/>
    <w:rsid w:val="00C120DE"/>
    <w:rsid w:val="00C13958"/>
    <w:rsid w:val="00C14C76"/>
    <w:rsid w:val="00C14CA3"/>
    <w:rsid w:val="00C16183"/>
    <w:rsid w:val="00C1647F"/>
    <w:rsid w:val="00C221FA"/>
    <w:rsid w:val="00C22DE3"/>
    <w:rsid w:val="00C23550"/>
    <w:rsid w:val="00C26ACA"/>
    <w:rsid w:val="00C32E41"/>
    <w:rsid w:val="00C32E63"/>
    <w:rsid w:val="00C33478"/>
    <w:rsid w:val="00C33AD1"/>
    <w:rsid w:val="00C374BD"/>
    <w:rsid w:val="00C37C03"/>
    <w:rsid w:val="00C37CCD"/>
    <w:rsid w:val="00C44C7A"/>
    <w:rsid w:val="00C51075"/>
    <w:rsid w:val="00C52810"/>
    <w:rsid w:val="00C54586"/>
    <w:rsid w:val="00C55645"/>
    <w:rsid w:val="00C60854"/>
    <w:rsid w:val="00C60DBD"/>
    <w:rsid w:val="00C61932"/>
    <w:rsid w:val="00C62A03"/>
    <w:rsid w:val="00C666C5"/>
    <w:rsid w:val="00C71C3C"/>
    <w:rsid w:val="00C761B3"/>
    <w:rsid w:val="00C76C41"/>
    <w:rsid w:val="00C76D7E"/>
    <w:rsid w:val="00C82815"/>
    <w:rsid w:val="00C84ED3"/>
    <w:rsid w:val="00C8623C"/>
    <w:rsid w:val="00C87B27"/>
    <w:rsid w:val="00C9045E"/>
    <w:rsid w:val="00C905E2"/>
    <w:rsid w:val="00C90D44"/>
    <w:rsid w:val="00C91544"/>
    <w:rsid w:val="00C94CBC"/>
    <w:rsid w:val="00CA1D69"/>
    <w:rsid w:val="00CA3D00"/>
    <w:rsid w:val="00CA67E8"/>
    <w:rsid w:val="00CB01BC"/>
    <w:rsid w:val="00CB0938"/>
    <w:rsid w:val="00CB0BF8"/>
    <w:rsid w:val="00CB35E1"/>
    <w:rsid w:val="00CB40D8"/>
    <w:rsid w:val="00CB4567"/>
    <w:rsid w:val="00CC120A"/>
    <w:rsid w:val="00CC1D2D"/>
    <w:rsid w:val="00CC1F93"/>
    <w:rsid w:val="00CC2D54"/>
    <w:rsid w:val="00CC2FE0"/>
    <w:rsid w:val="00CC3868"/>
    <w:rsid w:val="00CC3870"/>
    <w:rsid w:val="00CC7709"/>
    <w:rsid w:val="00CD0EF9"/>
    <w:rsid w:val="00CD58A7"/>
    <w:rsid w:val="00CE0E5A"/>
    <w:rsid w:val="00CE2695"/>
    <w:rsid w:val="00CF0C46"/>
    <w:rsid w:val="00CF15F3"/>
    <w:rsid w:val="00CF333F"/>
    <w:rsid w:val="00CF6ECE"/>
    <w:rsid w:val="00D00150"/>
    <w:rsid w:val="00D01E32"/>
    <w:rsid w:val="00D03401"/>
    <w:rsid w:val="00D042CA"/>
    <w:rsid w:val="00D05641"/>
    <w:rsid w:val="00D115C4"/>
    <w:rsid w:val="00D128C8"/>
    <w:rsid w:val="00D15D71"/>
    <w:rsid w:val="00D16922"/>
    <w:rsid w:val="00D16B0D"/>
    <w:rsid w:val="00D1780A"/>
    <w:rsid w:val="00D22735"/>
    <w:rsid w:val="00D25495"/>
    <w:rsid w:val="00D25A80"/>
    <w:rsid w:val="00D25E7E"/>
    <w:rsid w:val="00D266A6"/>
    <w:rsid w:val="00D3290C"/>
    <w:rsid w:val="00D33001"/>
    <w:rsid w:val="00D3312E"/>
    <w:rsid w:val="00D40638"/>
    <w:rsid w:val="00D416B8"/>
    <w:rsid w:val="00D418BA"/>
    <w:rsid w:val="00D418E7"/>
    <w:rsid w:val="00D42CF7"/>
    <w:rsid w:val="00D46344"/>
    <w:rsid w:val="00D47E9D"/>
    <w:rsid w:val="00D52F36"/>
    <w:rsid w:val="00D548CC"/>
    <w:rsid w:val="00D61C3F"/>
    <w:rsid w:val="00D66667"/>
    <w:rsid w:val="00D66D29"/>
    <w:rsid w:val="00D66FCA"/>
    <w:rsid w:val="00D6714E"/>
    <w:rsid w:val="00D713BF"/>
    <w:rsid w:val="00D72602"/>
    <w:rsid w:val="00D7303A"/>
    <w:rsid w:val="00D736BE"/>
    <w:rsid w:val="00D744E5"/>
    <w:rsid w:val="00D754B3"/>
    <w:rsid w:val="00D7679F"/>
    <w:rsid w:val="00D7685C"/>
    <w:rsid w:val="00D80980"/>
    <w:rsid w:val="00D8133E"/>
    <w:rsid w:val="00D8173C"/>
    <w:rsid w:val="00D829AC"/>
    <w:rsid w:val="00D84571"/>
    <w:rsid w:val="00D8744A"/>
    <w:rsid w:val="00D927D6"/>
    <w:rsid w:val="00D952DE"/>
    <w:rsid w:val="00D97302"/>
    <w:rsid w:val="00DA0040"/>
    <w:rsid w:val="00DA3170"/>
    <w:rsid w:val="00DA4643"/>
    <w:rsid w:val="00DA648D"/>
    <w:rsid w:val="00DC1103"/>
    <w:rsid w:val="00DC372F"/>
    <w:rsid w:val="00DC4A8B"/>
    <w:rsid w:val="00DC6127"/>
    <w:rsid w:val="00DC641B"/>
    <w:rsid w:val="00DC7628"/>
    <w:rsid w:val="00DC7CFB"/>
    <w:rsid w:val="00DD1868"/>
    <w:rsid w:val="00DD32C0"/>
    <w:rsid w:val="00DD5106"/>
    <w:rsid w:val="00DD5E20"/>
    <w:rsid w:val="00DE1B03"/>
    <w:rsid w:val="00DE2D52"/>
    <w:rsid w:val="00DE4203"/>
    <w:rsid w:val="00DE5955"/>
    <w:rsid w:val="00DE64FE"/>
    <w:rsid w:val="00DE6E47"/>
    <w:rsid w:val="00DF2664"/>
    <w:rsid w:val="00DF3600"/>
    <w:rsid w:val="00E01E00"/>
    <w:rsid w:val="00E020DC"/>
    <w:rsid w:val="00E07612"/>
    <w:rsid w:val="00E10C0E"/>
    <w:rsid w:val="00E13196"/>
    <w:rsid w:val="00E16AC4"/>
    <w:rsid w:val="00E24650"/>
    <w:rsid w:val="00E24652"/>
    <w:rsid w:val="00E26A2E"/>
    <w:rsid w:val="00E3386C"/>
    <w:rsid w:val="00E35ED7"/>
    <w:rsid w:val="00E3691E"/>
    <w:rsid w:val="00E37192"/>
    <w:rsid w:val="00E41117"/>
    <w:rsid w:val="00E448AC"/>
    <w:rsid w:val="00E4531D"/>
    <w:rsid w:val="00E474EF"/>
    <w:rsid w:val="00E5031A"/>
    <w:rsid w:val="00E50A1E"/>
    <w:rsid w:val="00E51F15"/>
    <w:rsid w:val="00E53C60"/>
    <w:rsid w:val="00E5457C"/>
    <w:rsid w:val="00E5472F"/>
    <w:rsid w:val="00E54B25"/>
    <w:rsid w:val="00E56C25"/>
    <w:rsid w:val="00E6193A"/>
    <w:rsid w:val="00E724CC"/>
    <w:rsid w:val="00E72BCD"/>
    <w:rsid w:val="00E73A64"/>
    <w:rsid w:val="00E762C6"/>
    <w:rsid w:val="00E81B3B"/>
    <w:rsid w:val="00E825DF"/>
    <w:rsid w:val="00E85047"/>
    <w:rsid w:val="00E85EEA"/>
    <w:rsid w:val="00E90A01"/>
    <w:rsid w:val="00E93787"/>
    <w:rsid w:val="00E93D92"/>
    <w:rsid w:val="00E9523A"/>
    <w:rsid w:val="00E9550D"/>
    <w:rsid w:val="00EA0EE9"/>
    <w:rsid w:val="00EA28D6"/>
    <w:rsid w:val="00EA3AB2"/>
    <w:rsid w:val="00EA3C53"/>
    <w:rsid w:val="00EA5851"/>
    <w:rsid w:val="00EA6A08"/>
    <w:rsid w:val="00EA76F6"/>
    <w:rsid w:val="00EA7C08"/>
    <w:rsid w:val="00EA7F44"/>
    <w:rsid w:val="00EB26BF"/>
    <w:rsid w:val="00EB4B51"/>
    <w:rsid w:val="00EB5827"/>
    <w:rsid w:val="00EB59A0"/>
    <w:rsid w:val="00EB61E8"/>
    <w:rsid w:val="00EB6F8D"/>
    <w:rsid w:val="00EC0BBD"/>
    <w:rsid w:val="00EC1C0F"/>
    <w:rsid w:val="00EC3CE2"/>
    <w:rsid w:val="00EC6834"/>
    <w:rsid w:val="00ED72DF"/>
    <w:rsid w:val="00EE4FFF"/>
    <w:rsid w:val="00EF452E"/>
    <w:rsid w:val="00EF641B"/>
    <w:rsid w:val="00F003C5"/>
    <w:rsid w:val="00F01E17"/>
    <w:rsid w:val="00F03749"/>
    <w:rsid w:val="00F04052"/>
    <w:rsid w:val="00F042DA"/>
    <w:rsid w:val="00F045A4"/>
    <w:rsid w:val="00F05B69"/>
    <w:rsid w:val="00F076B0"/>
    <w:rsid w:val="00F078DA"/>
    <w:rsid w:val="00F101AB"/>
    <w:rsid w:val="00F10914"/>
    <w:rsid w:val="00F10BE4"/>
    <w:rsid w:val="00F159FB"/>
    <w:rsid w:val="00F16829"/>
    <w:rsid w:val="00F16EF2"/>
    <w:rsid w:val="00F171E0"/>
    <w:rsid w:val="00F1772A"/>
    <w:rsid w:val="00F20459"/>
    <w:rsid w:val="00F20C1B"/>
    <w:rsid w:val="00F22ECF"/>
    <w:rsid w:val="00F24237"/>
    <w:rsid w:val="00F25794"/>
    <w:rsid w:val="00F268E1"/>
    <w:rsid w:val="00F26AB1"/>
    <w:rsid w:val="00F2737F"/>
    <w:rsid w:val="00F30126"/>
    <w:rsid w:val="00F33421"/>
    <w:rsid w:val="00F33D4A"/>
    <w:rsid w:val="00F36601"/>
    <w:rsid w:val="00F36914"/>
    <w:rsid w:val="00F37361"/>
    <w:rsid w:val="00F42472"/>
    <w:rsid w:val="00F455A5"/>
    <w:rsid w:val="00F47688"/>
    <w:rsid w:val="00F53448"/>
    <w:rsid w:val="00F53457"/>
    <w:rsid w:val="00F54470"/>
    <w:rsid w:val="00F54AD3"/>
    <w:rsid w:val="00F60DF5"/>
    <w:rsid w:val="00F621B2"/>
    <w:rsid w:val="00F62717"/>
    <w:rsid w:val="00F62794"/>
    <w:rsid w:val="00F651E6"/>
    <w:rsid w:val="00F662A3"/>
    <w:rsid w:val="00F67225"/>
    <w:rsid w:val="00F74A0A"/>
    <w:rsid w:val="00F7513F"/>
    <w:rsid w:val="00F776CC"/>
    <w:rsid w:val="00F821A3"/>
    <w:rsid w:val="00F839CC"/>
    <w:rsid w:val="00F86233"/>
    <w:rsid w:val="00F93465"/>
    <w:rsid w:val="00F945E1"/>
    <w:rsid w:val="00F95CA9"/>
    <w:rsid w:val="00FA0FDA"/>
    <w:rsid w:val="00FA125B"/>
    <w:rsid w:val="00FB2255"/>
    <w:rsid w:val="00FB39C2"/>
    <w:rsid w:val="00FC48BC"/>
    <w:rsid w:val="00FD0408"/>
    <w:rsid w:val="00FD2202"/>
    <w:rsid w:val="00FD2280"/>
    <w:rsid w:val="00FD6AF6"/>
    <w:rsid w:val="00FD76AE"/>
    <w:rsid w:val="00FE2EA1"/>
    <w:rsid w:val="00FE4068"/>
    <w:rsid w:val="00FE58DB"/>
    <w:rsid w:val="00FE64BF"/>
    <w:rsid w:val="00FF163C"/>
    <w:rsid w:val="00FF2660"/>
    <w:rsid w:val="00FF381D"/>
    <w:rsid w:val="00FF59CF"/>
    <w:rsid w:val="00FF7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9"/>
    <w:qFormat/>
    <w:rsid w:val="0077023E"/>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unhideWhenUsed/>
    <w:qFormat/>
    <w:rsid w:val="006273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680B5B"/>
    <w:pPr>
      <w:keepNext/>
      <w:tabs>
        <w:tab w:val="left" w:pos="2268"/>
      </w:tabs>
      <w:spacing w:after="0" w:line="240" w:lineRule="auto"/>
      <w:jc w:val="center"/>
      <w:outlineLvl w:val="2"/>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680B5B"/>
    <w:pPr>
      <w:keepNext/>
      <w:tabs>
        <w:tab w:val="left" w:pos="2268"/>
      </w:tabs>
      <w:spacing w:after="0" w:line="240" w:lineRule="auto"/>
      <w:jc w:val="center"/>
      <w:outlineLvl w:val="3"/>
    </w:pPr>
    <w:rPr>
      <w:rFonts w:ascii="Times New Roman" w:eastAsia="Times New Roman" w:hAnsi="Times New Roman" w:cs="Times New Roman"/>
      <w:b/>
      <w:sz w:val="36"/>
      <w:szCs w:val="20"/>
      <w:u w:val="single"/>
      <w:lang w:eastAsia="pt-BR"/>
    </w:rPr>
  </w:style>
  <w:style w:type="paragraph" w:styleId="Ttulo5">
    <w:name w:val="heading 5"/>
    <w:basedOn w:val="Normal"/>
    <w:next w:val="Normal"/>
    <w:link w:val="Ttulo5Char"/>
    <w:qFormat/>
    <w:rsid w:val="00680B5B"/>
    <w:pPr>
      <w:keepNext/>
      <w:tabs>
        <w:tab w:val="left" w:pos="2268"/>
      </w:tabs>
      <w:spacing w:after="0" w:line="240" w:lineRule="auto"/>
      <w:jc w:val="center"/>
      <w:outlineLvl w:val="4"/>
    </w:pPr>
    <w:rPr>
      <w:rFonts w:ascii="Times New Roman" w:eastAsia="Times New Roman" w:hAnsi="Times New Roman" w:cs="Times New Roman"/>
      <w:i/>
      <w:sz w:val="28"/>
      <w:szCs w:val="20"/>
      <w:lang w:eastAsia="pt-BR"/>
    </w:rPr>
  </w:style>
  <w:style w:type="paragraph" w:styleId="Ttulo6">
    <w:name w:val="heading 6"/>
    <w:basedOn w:val="Normal"/>
    <w:next w:val="Normal"/>
    <w:link w:val="Ttulo6Char"/>
    <w:qFormat/>
    <w:rsid w:val="00680B5B"/>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680B5B"/>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80B5B"/>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link w:val="Ttulo9Char"/>
    <w:uiPriority w:val="9"/>
    <w:unhideWhenUsed/>
    <w:qFormat/>
    <w:rsid w:val="00680B5B"/>
    <w:pPr>
      <w:keepNext/>
      <w:keepLines/>
      <w:suppressAutoHyphens/>
      <w:spacing w:before="320" w:after="200" w:line="247" w:lineRule="auto"/>
      <w:ind w:left="10" w:right="18" w:hanging="10"/>
      <w:jc w:val="both"/>
      <w:outlineLvl w:val="8"/>
    </w:pPr>
    <w:rPr>
      <w:rFonts w:ascii="Arial" w:eastAsia="Times New Roman" w:hAnsi="Arial" w:cs="Arial"/>
      <w:i/>
      <w:iCs/>
      <w:color w:val="000000"/>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nhideWhenUsed/>
    <w:qFormat/>
    <w:rsid w:val="005E04F6"/>
    <w:pPr>
      <w:tabs>
        <w:tab w:val="center" w:pos="4252"/>
        <w:tab w:val="right" w:pos="8504"/>
      </w:tabs>
      <w:spacing w:after="0" w:line="240" w:lineRule="auto"/>
    </w:pPr>
  </w:style>
  <w:style w:type="character" w:customStyle="1" w:styleId="CabealhoChar">
    <w:name w:val="Cabeçalho Char"/>
    <w:basedOn w:val="Fontepargpadro"/>
    <w:link w:val="Cabealho"/>
    <w:qFormat/>
    <w:rsid w:val="005E04F6"/>
  </w:style>
  <w:style w:type="paragraph" w:styleId="Rodap">
    <w:name w:val="footer"/>
    <w:basedOn w:val="Normal"/>
    <w:link w:val="RodapChar"/>
    <w:uiPriority w:val="99"/>
    <w:unhideWhenUsed/>
    <w:qFormat/>
    <w:rsid w:val="005E04F6"/>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5E04F6"/>
  </w:style>
  <w:style w:type="character" w:styleId="Refdecomentrio">
    <w:name w:val="annotation reference"/>
    <w:basedOn w:val="Fontepargpadro"/>
    <w:uiPriority w:val="99"/>
    <w:unhideWhenUsed/>
    <w:qFormat/>
    <w:rsid w:val="002F1FAF"/>
    <w:rPr>
      <w:sz w:val="16"/>
      <w:szCs w:val="16"/>
    </w:rPr>
  </w:style>
  <w:style w:type="paragraph" w:styleId="Textodecomentrio">
    <w:name w:val="annotation text"/>
    <w:basedOn w:val="Normal"/>
    <w:link w:val="TextodecomentrioChar"/>
    <w:uiPriority w:val="99"/>
    <w:unhideWhenUsed/>
    <w:qFormat/>
    <w:rsid w:val="002F1FAF"/>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2F1FAF"/>
    <w:rPr>
      <w:sz w:val="20"/>
      <w:szCs w:val="20"/>
    </w:rPr>
  </w:style>
  <w:style w:type="paragraph" w:styleId="Assuntodocomentrio">
    <w:name w:val="annotation subject"/>
    <w:basedOn w:val="Textodecomentrio"/>
    <w:next w:val="Textodecomentrio"/>
    <w:link w:val="AssuntodocomentrioChar"/>
    <w:unhideWhenUsed/>
    <w:rsid w:val="002F1FAF"/>
    <w:rPr>
      <w:b/>
      <w:bCs/>
    </w:rPr>
  </w:style>
  <w:style w:type="character" w:customStyle="1" w:styleId="AssuntodocomentrioChar">
    <w:name w:val="Assunto do comentário Char"/>
    <w:basedOn w:val="TextodecomentrioChar"/>
    <w:link w:val="Assuntodocomentrio"/>
    <w:rsid w:val="002F1FAF"/>
    <w:rPr>
      <w:b/>
      <w:bCs/>
      <w:sz w:val="20"/>
      <w:szCs w:val="20"/>
    </w:rPr>
  </w:style>
  <w:style w:type="paragraph" w:styleId="Textodebalo">
    <w:name w:val="Balloon Text"/>
    <w:basedOn w:val="Normal"/>
    <w:link w:val="TextodebaloChar"/>
    <w:uiPriority w:val="99"/>
    <w:unhideWhenUsed/>
    <w:qFormat/>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qFormat/>
    <w:rsid w:val="002F1FAF"/>
    <w:rPr>
      <w:rFonts w:ascii="Segoe UI" w:hAnsi="Segoe UI" w:cs="Segoe UI"/>
      <w:sz w:val="18"/>
      <w:szCs w:val="18"/>
    </w:rPr>
  </w:style>
  <w:style w:type="paragraph" w:styleId="NormalWeb">
    <w:name w:val="Normal (Web)"/>
    <w:basedOn w:val="Normal"/>
    <w:unhideWhenUsed/>
    <w:qFormat/>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unhideWhenUsed/>
    <w:qFormat/>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qFormat/>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9"/>
    <w:qFormat/>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table" w:customStyle="1" w:styleId="TableGrid">
    <w:name w:val="TableGrid"/>
    <w:rsid w:val="001A3A5A"/>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Tabelacomgrade2">
    <w:name w:val="Tabela com grade2"/>
    <w:basedOn w:val="Tabelanormal"/>
    <w:next w:val="Tabelacomgrade"/>
    <w:uiPriority w:val="39"/>
    <w:qFormat/>
    <w:rsid w:val="00E724CC"/>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AE2D8A"/>
    <w:rPr>
      <w:color w:val="954F72" w:themeColor="followedHyperlink"/>
      <w:u w:val="single"/>
    </w:rPr>
  </w:style>
  <w:style w:type="paragraph" w:styleId="TextosemFormatao">
    <w:name w:val="Plain Text"/>
    <w:aliases w:val="Texto sem formatação,Texto simples"/>
    <w:basedOn w:val="Normal"/>
    <w:link w:val="TextosemFormataoChar"/>
    <w:uiPriority w:val="99"/>
    <w:rsid w:val="00AD6BD8"/>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AD6BD8"/>
    <w:rPr>
      <w:rFonts w:ascii="Courier New" w:eastAsia="Times New Roman" w:hAnsi="Courier New" w:cs="Times New Roman"/>
      <w:sz w:val="24"/>
      <w:szCs w:val="20"/>
      <w:lang w:eastAsia="pt-BR"/>
    </w:rPr>
  </w:style>
  <w:style w:type="paragraph" w:customStyle="1" w:styleId="Default">
    <w:name w:val="Default"/>
    <w:qFormat/>
    <w:rsid w:val="005626A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comgrade3">
    <w:name w:val="Tabela com grade3"/>
    <w:basedOn w:val="Tabelanormal"/>
    <w:next w:val="Tabelacomgrade"/>
    <w:uiPriority w:val="39"/>
    <w:rsid w:val="00415FE2"/>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Corpodetexto">
    <w:name w:val="Body Text"/>
    <w:basedOn w:val="Normal"/>
    <w:link w:val="CorpodetextoChar"/>
    <w:uiPriority w:val="1"/>
    <w:qFormat/>
    <w:rsid w:val="00473072"/>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qFormat/>
    <w:rsid w:val="00473072"/>
    <w:rPr>
      <w:rFonts w:ascii="Times New Roman" w:eastAsia="Times New Roman" w:hAnsi="Times New Roman" w:cs="Times New Roman"/>
      <w:sz w:val="28"/>
      <w:szCs w:val="20"/>
      <w:lang w:eastAsia="pt-BR"/>
    </w:rPr>
  </w:style>
  <w:style w:type="paragraph" w:customStyle="1" w:styleId="textbody">
    <w:name w:val="textbody"/>
    <w:basedOn w:val="Normal"/>
    <w:qFormat/>
    <w:rsid w:val="004730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F621B2"/>
    <w:pPr>
      <w:widowControl w:val="0"/>
      <w:autoSpaceDE w:val="0"/>
      <w:autoSpaceDN w:val="0"/>
      <w:spacing w:after="0" w:line="240" w:lineRule="auto"/>
    </w:pPr>
    <w:rPr>
      <w:rFonts w:ascii="Calibri" w:eastAsia="Times New Roman" w:hAnsi="Calibri" w:cs="Calibri"/>
      <w:lang w:val="pt-PT"/>
    </w:rPr>
  </w:style>
  <w:style w:type="paragraph" w:styleId="Commarcadores">
    <w:name w:val="List Bullet"/>
    <w:basedOn w:val="Normal"/>
    <w:uiPriority w:val="99"/>
    <w:unhideWhenUsed/>
    <w:rsid w:val="008E57FC"/>
    <w:pPr>
      <w:numPr>
        <w:numId w:val="3"/>
      </w:numPr>
      <w:contextualSpacing/>
    </w:pPr>
  </w:style>
  <w:style w:type="character" w:customStyle="1" w:styleId="Ttulo2Char">
    <w:name w:val="Título 2 Char"/>
    <w:basedOn w:val="Fontepargpadro"/>
    <w:link w:val="Ttulo2"/>
    <w:uiPriority w:val="9"/>
    <w:qFormat/>
    <w:rsid w:val="0062736F"/>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qFormat/>
    <w:rsid w:val="00680B5B"/>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uiPriority w:val="9"/>
    <w:rsid w:val="00680B5B"/>
    <w:rPr>
      <w:rFonts w:ascii="Times New Roman" w:eastAsia="Times New Roman" w:hAnsi="Times New Roman" w:cs="Times New Roman"/>
      <w:b/>
      <w:sz w:val="36"/>
      <w:szCs w:val="20"/>
      <w:u w:val="single"/>
      <w:lang w:eastAsia="pt-BR"/>
    </w:rPr>
  </w:style>
  <w:style w:type="character" w:customStyle="1" w:styleId="Ttulo5Char">
    <w:name w:val="Título 5 Char"/>
    <w:basedOn w:val="Fontepargpadro"/>
    <w:link w:val="Ttulo5"/>
    <w:uiPriority w:val="9"/>
    <w:rsid w:val="00680B5B"/>
    <w:rPr>
      <w:rFonts w:ascii="Times New Roman" w:eastAsia="Times New Roman" w:hAnsi="Times New Roman" w:cs="Times New Roman"/>
      <w:i/>
      <w:sz w:val="28"/>
      <w:szCs w:val="20"/>
      <w:lang w:eastAsia="pt-BR"/>
    </w:rPr>
  </w:style>
  <w:style w:type="character" w:customStyle="1" w:styleId="Ttulo6Char">
    <w:name w:val="Título 6 Char"/>
    <w:basedOn w:val="Fontepargpadro"/>
    <w:link w:val="Ttulo6"/>
    <w:rsid w:val="00680B5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680B5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680B5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rsid w:val="00680B5B"/>
    <w:rPr>
      <w:rFonts w:ascii="Arial" w:eastAsia="Times New Roman" w:hAnsi="Arial" w:cs="Arial"/>
      <w:i/>
      <w:iCs/>
      <w:color w:val="000000"/>
      <w:sz w:val="21"/>
      <w:szCs w:val="21"/>
      <w:lang w:eastAsia="pt-BR"/>
    </w:rPr>
  </w:style>
  <w:style w:type="paragraph" w:styleId="Recuodecorpodetexto">
    <w:name w:val="Body Text Indent"/>
    <w:basedOn w:val="Normal"/>
    <w:link w:val="RecuodecorpodetextoChar"/>
    <w:rsid w:val="00680B5B"/>
    <w:pPr>
      <w:spacing w:after="0" w:line="240" w:lineRule="auto"/>
      <w:ind w:firstLine="4320"/>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680B5B"/>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1"/>
    <w:qFormat/>
    <w:rsid w:val="00680B5B"/>
    <w:pPr>
      <w:tabs>
        <w:tab w:val="left" w:pos="2268"/>
      </w:tabs>
      <w:spacing w:after="0" w:line="240" w:lineRule="auto"/>
      <w:ind w:left="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uiPriority w:val="99"/>
    <w:qFormat/>
    <w:rsid w:val="00680B5B"/>
  </w:style>
  <w:style w:type="character" w:customStyle="1" w:styleId="Recuodecorpodetexto2Char1">
    <w:name w:val="Recuo de corpo de texto 2 Char1"/>
    <w:basedOn w:val="Fontepargpadro"/>
    <w:link w:val="Recuodecorpodetexto2"/>
    <w:uiPriority w:val="99"/>
    <w:locked/>
    <w:rsid w:val="00680B5B"/>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680B5B"/>
    <w:pPr>
      <w:tabs>
        <w:tab w:val="left" w:pos="2268"/>
      </w:tabs>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680B5B"/>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680B5B"/>
    <w:pPr>
      <w:tabs>
        <w:tab w:val="left" w:pos="2268"/>
      </w:tabs>
      <w:spacing w:after="0" w:line="240" w:lineRule="auto"/>
      <w:jc w:val="both"/>
    </w:pPr>
    <w:rPr>
      <w:rFonts w:ascii="Times New Roman" w:eastAsia="Times New Roman" w:hAnsi="Times New Roman" w:cs="Times New Roman"/>
      <w:sz w:val="26"/>
      <w:szCs w:val="20"/>
      <w:lang w:eastAsia="pt-BR"/>
    </w:rPr>
  </w:style>
  <w:style w:type="character" w:customStyle="1" w:styleId="Corpodetexto3Char">
    <w:name w:val="Corpo de texto 3 Char"/>
    <w:basedOn w:val="Fontepargpadro"/>
    <w:link w:val="Corpodetexto3"/>
    <w:rsid w:val="00680B5B"/>
    <w:rPr>
      <w:rFonts w:ascii="Times New Roman" w:eastAsia="Times New Roman" w:hAnsi="Times New Roman" w:cs="Times New Roman"/>
      <w:sz w:val="26"/>
      <w:szCs w:val="20"/>
      <w:lang w:eastAsia="pt-BR"/>
    </w:rPr>
  </w:style>
  <w:style w:type="paragraph" w:customStyle="1" w:styleId="DivisodeTabelas">
    <w:name w:val="Divisão de Tabelas"/>
    <w:basedOn w:val="Normal"/>
    <w:rsid w:val="00680B5B"/>
    <w:pPr>
      <w:overflowPunct w:val="0"/>
      <w:autoSpaceDE w:val="0"/>
      <w:autoSpaceDN w:val="0"/>
      <w:adjustRightInd w:val="0"/>
      <w:spacing w:after="0" w:line="20" w:lineRule="exact"/>
      <w:textAlignment w:val="baseline"/>
    </w:pPr>
    <w:rPr>
      <w:rFonts w:ascii="Times New Roman" w:eastAsia="Times New Roman" w:hAnsi="Times New Roman" w:cs="Times New Roman"/>
      <w:sz w:val="24"/>
      <w:szCs w:val="20"/>
      <w:lang w:eastAsia="pt-BR"/>
    </w:rPr>
  </w:style>
  <w:style w:type="paragraph" w:styleId="Ttulo">
    <w:name w:val="Title"/>
    <w:basedOn w:val="Normal"/>
    <w:link w:val="TtuloChar1"/>
    <w:qFormat/>
    <w:rsid w:val="00680B5B"/>
    <w:pPr>
      <w:overflowPunct w:val="0"/>
      <w:autoSpaceDE w:val="0"/>
      <w:autoSpaceDN w:val="0"/>
      <w:adjustRightInd w:val="0"/>
      <w:spacing w:after="0" w:line="240" w:lineRule="auto"/>
      <w:ind w:right="-315"/>
      <w:jc w:val="center"/>
      <w:textAlignment w:val="baseline"/>
    </w:pPr>
    <w:rPr>
      <w:rFonts w:ascii="Times New Roman" w:eastAsia="Times New Roman" w:hAnsi="Times New Roman" w:cs="Times New Roman"/>
      <w:b/>
      <w:sz w:val="26"/>
      <w:szCs w:val="20"/>
      <w:u w:val="single"/>
      <w:lang w:eastAsia="pt-BR"/>
    </w:rPr>
  </w:style>
  <w:style w:type="character" w:customStyle="1" w:styleId="TtuloChar">
    <w:name w:val="Título Char"/>
    <w:basedOn w:val="Fontepargpadro"/>
    <w:uiPriority w:val="10"/>
    <w:qFormat/>
    <w:rsid w:val="00680B5B"/>
    <w:rPr>
      <w:rFonts w:asciiTheme="majorHAnsi" w:eastAsiaTheme="majorEastAsia" w:hAnsiTheme="majorHAnsi" w:cstheme="majorBidi"/>
      <w:spacing w:val="-10"/>
      <w:kern w:val="28"/>
      <w:sz w:val="56"/>
      <w:szCs w:val="56"/>
    </w:rPr>
  </w:style>
  <w:style w:type="character" w:customStyle="1" w:styleId="TtuloChar1">
    <w:name w:val="Título Char1"/>
    <w:basedOn w:val="Fontepargpadro"/>
    <w:link w:val="Ttulo"/>
    <w:uiPriority w:val="10"/>
    <w:locked/>
    <w:rsid w:val="00680B5B"/>
    <w:rPr>
      <w:rFonts w:ascii="Times New Roman" w:eastAsia="Times New Roman" w:hAnsi="Times New Roman" w:cs="Times New Roman"/>
      <w:b/>
      <w:sz w:val="26"/>
      <w:szCs w:val="20"/>
      <w:u w:val="single"/>
      <w:lang w:eastAsia="pt-BR"/>
    </w:rPr>
  </w:style>
  <w:style w:type="paragraph" w:styleId="Recuodecorpodetexto3">
    <w:name w:val="Body Text Indent 3"/>
    <w:basedOn w:val="Normal"/>
    <w:link w:val="Recuodecorpodetexto3Char"/>
    <w:rsid w:val="00680B5B"/>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680B5B"/>
    <w:rPr>
      <w:rFonts w:ascii="Times New Roman" w:eastAsia="Times New Roman" w:hAnsi="Times New Roman" w:cs="Times New Roman"/>
      <w:sz w:val="16"/>
      <w:szCs w:val="16"/>
      <w:lang w:eastAsia="pt-BR"/>
    </w:rPr>
  </w:style>
  <w:style w:type="paragraph" w:customStyle="1" w:styleId="PADRAO">
    <w:name w:val="PADRAO"/>
    <w:basedOn w:val="Normal"/>
    <w:rsid w:val="00680B5B"/>
    <w:pPr>
      <w:spacing w:after="0" w:line="240" w:lineRule="auto"/>
      <w:jc w:val="both"/>
    </w:pPr>
    <w:rPr>
      <w:rFonts w:ascii="Tms Rmn" w:eastAsia="Times New Roman" w:hAnsi="Tms Rmn" w:cs="Times New Roman"/>
      <w:sz w:val="24"/>
      <w:szCs w:val="20"/>
      <w:lang w:eastAsia="pt-BR"/>
    </w:rPr>
  </w:style>
  <w:style w:type="paragraph" w:customStyle="1" w:styleId="Normal1">
    <w:name w:val="Normal1"/>
    <w:rsid w:val="00680B5B"/>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styleId="Subttulo">
    <w:name w:val="Subtitle"/>
    <w:basedOn w:val="Normal"/>
    <w:link w:val="SubttuloChar"/>
    <w:qFormat/>
    <w:rsid w:val="00680B5B"/>
    <w:pPr>
      <w:tabs>
        <w:tab w:val="left" w:pos="708"/>
        <w:tab w:val="center" w:pos="4419"/>
        <w:tab w:val="right" w:pos="8838"/>
      </w:tabs>
      <w:snapToGrid w:val="0"/>
      <w:spacing w:after="0" w:line="240" w:lineRule="auto"/>
      <w:jc w:val="center"/>
    </w:pPr>
    <w:rPr>
      <w:rFonts w:ascii="Times New Roman" w:eastAsia="Times New Roman" w:hAnsi="Times New Roman" w:cs="Times New Roman"/>
      <w:b/>
      <w:color w:val="0000FF"/>
      <w:sz w:val="24"/>
      <w:szCs w:val="20"/>
      <w:lang w:eastAsia="pt-BR"/>
    </w:rPr>
  </w:style>
  <w:style w:type="character" w:customStyle="1" w:styleId="SubttuloChar">
    <w:name w:val="Subtítulo Char"/>
    <w:basedOn w:val="Fontepargpadro"/>
    <w:link w:val="Subttulo"/>
    <w:uiPriority w:val="11"/>
    <w:rsid w:val="00680B5B"/>
    <w:rPr>
      <w:rFonts w:ascii="Times New Roman" w:eastAsia="Times New Roman" w:hAnsi="Times New Roman" w:cs="Times New Roman"/>
      <w:b/>
      <w:color w:val="0000FF"/>
      <w:sz w:val="24"/>
      <w:szCs w:val="20"/>
      <w:lang w:eastAsia="pt-BR"/>
    </w:rPr>
  </w:style>
  <w:style w:type="character" w:styleId="Forte">
    <w:name w:val="Strong"/>
    <w:uiPriority w:val="22"/>
    <w:qFormat/>
    <w:rsid w:val="00680B5B"/>
    <w:rPr>
      <w:b/>
      <w:bCs/>
    </w:rPr>
  </w:style>
  <w:style w:type="paragraph" w:customStyle="1" w:styleId="Ttulo11">
    <w:name w:val="Título 11"/>
    <w:basedOn w:val="Normal"/>
    <w:uiPriority w:val="1"/>
    <w:qFormat/>
    <w:rsid w:val="00680B5B"/>
    <w:pPr>
      <w:widowControl w:val="0"/>
      <w:spacing w:after="0" w:line="240" w:lineRule="auto"/>
      <w:ind w:left="1701"/>
      <w:jc w:val="both"/>
      <w:outlineLvl w:val="1"/>
    </w:pPr>
    <w:rPr>
      <w:rFonts w:ascii="Arial" w:eastAsia="Arial" w:hAnsi="Arial" w:cs="Arial"/>
      <w:b/>
      <w:bCs/>
      <w:sz w:val="24"/>
      <w:szCs w:val="24"/>
      <w:lang w:val="en-US"/>
    </w:rPr>
  </w:style>
  <w:style w:type="character" w:styleId="nfase">
    <w:name w:val="Emphasis"/>
    <w:qFormat/>
    <w:rsid w:val="00680B5B"/>
    <w:rPr>
      <w:i/>
      <w:iCs/>
    </w:rPr>
  </w:style>
  <w:style w:type="paragraph" w:customStyle="1" w:styleId="t8">
    <w:name w:val="t8"/>
    <w:basedOn w:val="Normal"/>
    <w:uiPriority w:val="99"/>
    <w:rsid w:val="00680B5B"/>
    <w:pPr>
      <w:widowControl w:val="0"/>
      <w:autoSpaceDE w:val="0"/>
      <w:autoSpaceDN w:val="0"/>
      <w:adjustRightInd w:val="0"/>
      <w:spacing w:after="0" w:line="240" w:lineRule="atLeast"/>
    </w:pPr>
    <w:rPr>
      <w:rFonts w:ascii="Times New Roman" w:eastAsia="Times New Roman" w:hAnsi="Times New Roman" w:cs="Times New Roman"/>
      <w:sz w:val="24"/>
      <w:szCs w:val="24"/>
      <w:lang w:val="en-US" w:eastAsia="pt-BR"/>
    </w:rPr>
  </w:style>
  <w:style w:type="character" w:customStyle="1" w:styleId="apple-converted-space">
    <w:name w:val="apple-converted-space"/>
    <w:uiPriority w:val="99"/>
    <w:qFormat/>
    <w:rsid w:val="00680B5B"/>
    <w:rPr>
      <w:rFonts w:cs="Times New Roman"/>
    </w:rPr>
  </w:style>
  <w:style w:type="paragraph" w:customStyle="1" w:styleId="TableContents">
    <w:name w:val="Table Contents"/>
    <w:basedOn w:val="Normal"/>
    <w:rsid w:val="00680B5B"/>
    <w:pPr>
      <w:widowControl w:val="0"/>
      <w:suppressLineNumbers/>
      <w:suppressAutoHyphens/>
      <w:autoSpaceDN w:val="0"/>
      <w:spacing w:after="0" w:line="240" w:lineRule="auto"/>
      <w:textAlignment w:val="baseline"/>
    </w:pPr>
    <w:rPr>
      <w:rFonts w:ascii="Liberation Serif" w:eastAsia="Times New Roman" w:hAnsi="Liberation Serif" w:cs="Lohit Hindi"/>
      <w:kern w:val="3"/>
      <w:sz w:val="24"/>
      <w:szCs w:val="24"/>
      <w:lang w:eastAsia="zh-CN" w:bidi="hi-IN"/>
    </w:rPr>
  </w:style>
  <w:style w:type="character" w:customStyle="1" w:styleId="MenoPendente1">
    <w:name w:val="Menção Pendente1"/>
    <w:uiPriority w:val="99"/>
    <w:semiHidden/>
    <w:unhideWhenUsed/>
    <w:rsid w:val="00680B5B"/>
    <w:rPr>
      <w:color w:val="605E5C"/>
      <w:shd w:val="clear" w:color="auto" w:fill="E1DFDD"/>
    </w:rPr>
  </w:style>
  <w:style w:type="paragraph" w:customStyle="1" w:styleId="Tedtulo1">
    <w:name w:val="Tíedtulo 1"/>
    <w:basedOn w:val="Normal"/>
    <w:next w:val="Normal"/>
    <w:uiPriority w:val="99"/>
    <w:rsid w:val="00680B5B"/>
    <w:pPr>
      <w:keepNext/>
      <w:tabs>
        <w:tab w:val="left" w:pos="1728"/>
      </w:tabs>
      <w:autoSpaceDE w:val="0"/>
      <w:autoSpaceDN w:val="0"/>
      <w:adjustRightInd w:val="0"/>
      <w:spacing w:after="0" w:line="240" w:lineRule="auto"/>
      <w:ind w:left="3402"/>
      <w:jc w:val="both"/>
      <w:textAlignment w:val="baseline"/>
      <w:outlineLvl w:val="0"/>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680B5B"/>
    <w:pPr>
      <w:spacing w:after="0" w:line="240" w:lineRule="auto"/>
    </w:pPr>
    <w:rPr>
      <w:rFonts w:eastAsia="Times New Roman" w:cs="Times New Roman"/>
    </w:rPr>
  </w:style>
  <w:style w:type="character" w:customStyle="1" w:styleId="SemEspaamentoChar">
    <w:name w:val="Sem Espaçamento Char"/>
    <w:link w:val="SemEspaamento"/>
    <w:uiPriority w:val="1"/>
    <w:locked/>
    <w:rsid w:val="00680B5B"/>
    <w:rPr>
      <w:rFonts w:eastAsia="Times New Roman" w:cs="Times New Roman"/>
    </w:rPr>
  </w:style>
  <w:style w:type="character" w:customStyle="1" w:styleId="Caracteresdenotaderodap">
    <w:name w:val="Caracteres de nota de rodapé"/>
    <w:qFormat/>
    <w:rsid w:val="00680B5B"/>
  </w:style>
  <w:style w:type="paragraph" w:customStyle="1" w:styleId="Standard">
    <w:name w:val="Standard"/>
    <w:qFormat/>
    <w:rsid w:val="00680B5B"/>
    <w:pPr>
      <w:widowControl w:val="0"/>
      <w:suppressAutoHyphens/>
      <w:spacing w:after="0" w:line="240" w:lineRule="auto"/>
    </w:pPr>
    <w:rPr>
      <w:rFonts w:ascii="Times New Roman" w:eastAsia="SimSun" w:hAnsi="Times New Roman" w:cs="Tahoma"/>
      <w:sz w:val="24"/>
      <w:szCs w:val="24"/>
      <w:lang w:eastAsia="zh-CN" w:bidi="hi-IN"/>
    </w:rPr>
  </w:style>
  <w:style w:type="character" w:customStyle="1" w:styleId="Fontepargpadro1">
    <w:name w:val="Fonte parág. padrão1"/>
    <w:qFormat/>
    <w:rsid w:val="00680B5B"/>
  </w:style>
  <w:style w:type="paragraph" w:customStyle="1" w:styleId="Textodenotaderodap1">
    <w:name w:val="Texto de nota de rodapé1"/>
    <w:basedOn w:val="Normal"/>
    <w:qFormat/>
    <w:rsid w:val="00680B5B"/>
    <w:pPr>
      <w:suppressAutoHyphens/>
      <w:spacing w:after="0" w:line="240" w:lineRule="auto"/>
    </w:pPr>
    <w:rPr>
      <w:rFonts w:ascii="Calibri" w:eastAsia="Calibri" w:hAnsi="Calibri" w:cs="Times New Roman"/>
      <w:sz w:val="20"/>
      <w:szCs w:val="20"/>
    </w:rPr>
  </w:style>
  <w:style w:type="paragraph" w:customStyle="1" w:styleId="Recuodecorpodetexto31">
    <w:name w:val="Recuo de corpo de texto 31"/>
    <w:basedOn w:val="Normal"/>
    <w:qFormat/>
    <w:rsid w:val="00680B5B"/>
    <w:pPr>
      <w:widowControl w:val="0"/>
      <w:suppressAutoHyphens/>
      <w:spacing w:after="0" w:line="240" w:lineRule="auto"/>
      <w:ind w:firstLine="850"/>
      <w:jc w:val="both"/>
    </w:pPr>
    <w:rPr>
      <w:rFonts w:ascii="Courier New" w:eastAsia="Times New Roman" w:hAnsi="Courier New" w:cs="Courier New"/>
      <w:color w:val="000000"/>
      <w:sz w:val="20"/>
      <w:szCs w:val="20"/>
      <w:lang w:eastAsia="zh-CN"/>
    </w:rPr>
  </w:style>
  <w:style w:type="character" w:customStyle="1" w:styleId="Heading1Char">
    <w:name w:val="Heading 1 Char"/>
    <w:basedOn w:val="Fontepargpadro"/>
    <w:uiPriority w:val="9"/>
    <w:qFormat/>
    <w:rsid w:val="00680B5B"/>
    <w:rPr>
      <w:rFonts w:ascii="Arial" w:eastAsia="Times New Roman" w:hAnsi="Arial" w:cs="Arial"/>
      <w:sz w:val="40"/>
      <w:szCs w:val="40"/>
    </w:rPr>
  </w:style>
  <w:style w:type="character" w:customStyle="1" w:styleId="Heading2Char">
    <w:name w:val="Heading 2 Char"/>
    <w:basedOn w:val="Fontepargpadro"/>
    <w:uiPriority w:val="9"/>
    <w:qFormat/>
    <w:rsid w:val="00680B5B"/>
    <w:rPr>
      <w:rFonts w:ascii="Arial" w:eastAsia="Times New Roman" w:hAnsi="Arial" w:cs="Arial"/>
      <w:sz w:val="34"/>
    </w:rPr>
  </w:style>
  <w:style w:type="character" w:customStyle="1" w:styleId="Heading3Char">
    <w:name w:val="Heading 3 Char"/>
    <w:basedOn w:val="Fontepargpadro"/>
    <w:uiPriority w:val="9"/>
    <w:qFormat/>
    <w:rsid w:val="00680B5B"/>
    <w:rPr>
      <w:rFonts w:ascii="Arial" w:eastAsia="Times New Roman" w:hAnsi="Arial" w:cs="Arial"/>
      <w:sz w:val="30"/>
      <w:szCs w:val="30"/>
    </w:rPr>
  </w:style>
  <w:style w:type="character" w:customStyle="1" w:styleId="Heading4Char">
    <w:name w:val="Heading 4 Char"/>
    <w:basedOn w:val="Fontepargpadro"/>
    <w:uiPriority w:val="9"/>
    <w:qFormat/>
    <w:rsid w:val="00680B5B"/>
    <w:rPr>
      <w:rFonts w:ascii="Arial" w:eastAsia="Times New Roman" w:hAnsi="Arial" w:cs="Arial"/>
      <w:b/>
      <w:bCs/>
      <w:sz w:val="26"/>
      <w:szCs w:val="26"/>
    </w:rPr>
  </w:style>
  <w:style w:type="character" w:customStyle="1" w:styleId="Heading5Char">
    <w:name w:val="Heading 5 Char"/>
    <w:basedOn w:val="Fontepargpadro"/>
    <w:uiPriority w:val="9"/>
    <w:qFormat/>
    <w:rsid w:val="00680B5B"/>
    <w:rPr>
      <w:rFonts w:ascii="Arial" w:eastAsia="Times New Roman" w:hAnsi="Arial" w:cs="Arial"/>
      <w:b/>
      <w:bCs/>
      <w:sz w:val="24"/>
      <w:szCs w:val="24"/>
    </w:rPr>
  </w:style>
  <w:style w:type="character" w:customStyle="1" w:styleId="Heading6Char">
    <w:name w:val="Heading 6 Char"/>
    <w:basedOn w:val="Fontepargpadro"/>
    <w:uiPriority w:val="9"/>
    <w:qFormat/>
    <w:rsid w:val="00680B5B"/>
    <w:rPr>
      <w:rFonts w:ascii="Arial" w:eastAsia="Times New Roman" w:hAnsi="Arial" w:cs="Arial"/>
      <w:b/>
      <w:bCs/>
      <w:sz w:val="22"/>
      <w:szCs w:val="22"/>
    </w:rPr>
  </w:style>
  <w:style w:type="character" w:customStyle="1" w:styleId="Heading7Char">
    <w:name w:val="Heading 7 Char"/>
    <w:basedOn w:val="Fontepargpadro"/>
    <w:uiPriority w:val="9"/>
    <w:qFormat/>
    <w:rsid w:val="00680B5B"/>
    <w:rPr>
      <w:rFonts w:ascii="Arial" w:eastAsia="Times New Roman" w:hAnsi="Arial" w:cs="Arial"/>
      <w:b/>
      <w:bCs/>
      <w:i/>
      <w:iCs/>
      <w:sz w:val="22"/>
      <w:szCs w:val="22"/>
    </w:rPr>
  </w:style>
  <w:style w:type="character" w:customStyle="1" w:styleId="Heading8Char">
    <w:name w:val="Heading 8 Char"/>
    <w:basedOn w:val="Fontepargpadro"/>
    <w:uiPriority w:val="9"/>
    <w:qFormat/>
    <w:rsid w:val="00680B5B"/>
    <w:rPr>
      <w:rFonts w:ascii="Arial" w:eastAsia="Times New Roman" w:hAnsi="Arial" w:cs="Arial"/>
      <w:i/>
      <w:iCs/>
      <w:sz w:val="22"/>
      <w:szCs w:val="22"/>
    </w:rPr>
  </w:style>
  <w:style w:type="character" w:customStyle="1" w:styleId="Heading9Char">
    <w:name w:val="Heading 9 Char"/>
    <w:basedOn w:val="Fontepargpadro"/>
    <w:uiPriority w:val="9"/>
    <w:qFormat/>
    <w:rsid w:val="00680B5B"/>
    <w:rPr>
      <w:rFonts w:ascii="Arial" w:eastAsia="Times New Roman" w:hAnsi="Arial" w:cs="Arial"/>
      <w:i/>
      <w:iCs/>
      <w:sz w:val="21"/>
      <w:szCs w:val="21"/>
    </w:rPr>
  </w:style>
  <w:style w:type="character" w:customStyle="1" w:styleId="TitleChar">
    <w:name w:val="Title Char"/>
    <w:basedOn w:val="Fontepargpadro"/>
    <w:uiPriority w:val="10"/>
    <w:qFormat/>
    <w:rsid w:val="00680B5B"/>
    <w:rPr>
      <w:rFonts w:cs="Times New Roman"/>
      <w:sz w:val="48"/>
      <w:szCs w:val="48"/>
    </w:rPr>
  </w:style>
  <w:style w:type="character" w:customStyle="1" w:styleId="SubtitleChar">
    <w:name w:val="Subtitle Char"/>
    <w:basedOn w:val="Fontepargpadro"/>
    <w:uiPriority w:val="11"/>
    <w:qFormat/>
    <w:rsid w:val="00680B5B"/>
    <w:rPr>
      <w:rFonts w:cs="Times New Roman"/>
      <w:sz w:val="24"/>
      <w:szCs w:val="24"/>
    </w:rPr>
  </w:style>
  <w:style w:type="character" w:customStyle="1" w:styleId="QuoteChar">
    <w:name w:val="Quote Char"/>
    <w:uiPriority w:val="29"/>
    <w:qFormat/>
    <w:rsid w:val="00680B5B"/>
    <w:rPr>
      <w:i/>
    </w:rPr>
  </w:style>
  <w:style w:type="character" w:customStyle="1" w:styleId="IntenseQuoteChar">
    <w:name w:val="Intense Quote Char"/>
    <w:uiPriority w:val="30"/>
    <w:qFormat/>
    <w:rsid w:val="00680B5B"/>
    <w:rPr>
      <w:i/>
    </w:rPr>
  </w:style>
  <w:style w:type="character" w:customStyle="1" w:styleId="HeaderChar">
    <w:name w:val="Header Char"/>
    <w:basedOn w:val="Fontepargpadro"/>
    <w:uiPriority w:val="99"/>
    <w:qFormat/>
    <w:rsid w:val="00680B5B"/>
    <w:rPr>
      <w:rFonts w:cs="Times New Roman"/>
    </w:rPr>
  </w:style>
  <w:style w:type="character" w:customStyle="1" w:styleId="FooterChar">
    <w:name w:val="Footer Char"/>
    <w:basedOn w:val="Fontepargpadro"/>
    <w:uiPriority w:val="99"/>
    <w:qFormat/>
    <w:rsid w:val="00680B5B"/>
    <w:rPr>
      <w:rFonts w:cs="Times New Roman"/>
    </w:rPr>
  </w:style>
  <w:style w:type="character" w:customStyle="1" w:styleId="CaptionChar">
    <w:name w:val="Caption Char"/>
    <w:uiPriority w:val="99"/>
    <w:qFormat/>
    <w:rsid w:val="00680B5B"/>
  </w:style>
  <w:style w:type="character" w:customStyle="1" w:styleId="FootnoteTextChar">
    <w:name w:val="Footnote Text Char"/>
    <w:uiPriority w:val="99"/>
    <w:qFormat/>
    <w:rsid w:val="00680B5B"/>
    <w:rPr>
      <w:sz w:val="18"/>
    </w:rPr>
  </w:style>
  <w:style w:type="character" w:customStyle="1" w:styleId="EndnoteTextChar">
    <w:name w:val="Endnote Text Char"/>
    <w:uiPriority w:val="99"/>
    <w:qFormat/>
    <w:rsid w:val="00680B5B"/>
    <w:rPr>
      <w:sz w:val="20"/>
    </w:rPr>
  </w:style>
  <w:style w:type="character" w:styleId="Refdenotadefim">
    <w:name w:val="endnote reference"/>
    <w:basedOn w:val="Fontepargpadro"/>
    <w:uiPriority w:val="99"/>
    <w:rsid w:val="00680B5B"/>
    <w:rPr>
      <w:vertAlign w:val="superscript"/>
    </w:rPr>
  </w:style>
  <w:style w:type="character" w:customStyle="1" w:styleId="EndnoteCharacters">
    <w:name w:val="Endnote Characters"/>
    <w:qFormat/>
    <w:rsid w:val="00680B5B"/>
    <w:rPr>
      <w:vertAlign w:val="superscript"/>
    </w:rPr>
  </w:style>
  <w:style w:type="character" w:customStyle="1" w:styleId="EndnoteCharacters1">
    <w:name w:val="Endnote Characters1"/>
    <w:qFormat/>
    <w:rsid w:val="00680B5B"/>
    <w:rPr>
      <w:vertAlign w:val="superscript"/>
    </w:rPr>
  </w:style>
  <w:style w:type="character" w:customStyle="1" w:styleId="EndnoteCharacters11">
    <w:name w:val="Endnote Characters11"/>
    <w:qFormat/>
    <w:rsid w:val="00680B5B"/>
    <w:rPr>
      <w:vertAlign w:val="superscript"/>
    </w:rPr>
  </w:style>
  <w:style w:type="character" w:customStyle="1" w:styleId="EndnoteCharacters111">
    <w:name w:val="Endnote Characters111"/>
    <w:qFormat/>
    <w:rsid w:val="00680B5B"/>
    <w:rPr>
      <w:vertAlign w:val="superscript"/>
    </w:rPr>
  </w:style>
  <w:style w:type="character" w:customStyle="1" w:styleId="EndnoteCharacters1111">
    <w:name w:val="Endnote Characters1111"/>
    <w:qFormat/>
    <w:rsid w:val="00680B5B"/>
    <w:rPr>
      <w:vertAlign w:val="superscript"/>
    </w:rPr>
  </w:style>
  <w:style w:type="character" w:customStyle="1" w:styleId="EndnoteCharacters11111">
    <w:name w:val="Endnote Characters11111"/>
    <w:qFormat/>
    <w:rsid w:val="00680B5B"/>
    <w:rPr>
      <w:vertAlign w:val="superscript"/>
    </w:rPr>
  </w:style>
  <w:style w:type="character" w:customStyle="1" w:styleId="EndnoteCharacters111111">
    <w:name w:val="Endnote Characters111111"/>
    <w:qFormat/>
    <w:rsid w:val="00680B5B"/>
    <w:rPr>
      <w:vertAlign w:val="superscript"/>
    </w:rPr>
  </w:style>
  <w:style w:type="character" w:customStyle="1" w:styleId="EndnoteCharacters1111111">
    <w:name w:val="Endnote Characters1111111"/>
    <w:qFormat/>
    <w:rsid w:val="00680B5B"/>
    <w:rPr>
      <w:vertAlign w:val="superscript"/>
    </w:rPr>
  </w:style>
  <w:style w:type="character" w:customStyle="1" w:styleId="InternetLink">
    <w:name w:val="Internet Link"/>
    <w:basedOn w:val="Fontepargpadro"/>
    <w:uiPriority w:val="99"/>
    <w:unhideWhenUsed/>
    <w:qFormat/>
    <w:rsid w:val="00680B5B"/>
    <w:rPr>
      <w:rFonts w:cs="Times New Roman"/>
      <w:color w:val="0000FF"/>
      <w:u w:val="single"/>
    </w:rPr>
  </w:style>
  <w:style w:type="character" w:customStyle="1" w:styleId="FootnoteCharacters">
    <w:name w:val="Footnote Characters"/>
    <w:qFormat/>
    <w:rsid w:val="00680B5B"/>
    <w:rPr>
      <w:vertAlign w:val="superscript"/>
    </w:rPr>
  </w:style>
  <w:style w:type="character" w:customStyle="1" w:styleId="FootnoteCharacters1">
    <w:name w:val="Footnote Characters1"/>
    <w:qFormat/>
    <w:rsid w:val="00680B5B"/>
    <w:rPr>
      <w:vertAlign w:val="superscript"/>
    </w:rPr>
  </w:style>
  <w:style w:type="character" w:customStyle="1" w:styleId="FootnoteCharacters11">
    <w:name w:val="Footnote Characters11"/>
    <w:qFormat/>
    <w:rsid w:val="00680B5B"/>
    <w:rPr>
      <w:vertAlign w:val="superscript"/>
    </w:rPr>
  </w:style>
  <w:style w:type="character" w:customStyle="1" w:styleId="FootnoteCharacters111">
    <w:name w:val="Footnote Characters111"/>
    <w:qFormat/>
    <w:rsid w:val="00680B5B"/>
    <w:rPr>
      <w:vertAlign w:val="superscript"/>
    </w:rPr>
  </w:style>
  <w:style w:type="character" w:customStyle="1" w:styleId="FootnoteCharacters1111">
    <w:name w:val="Footnote Characters1111"/>
    <w:qFormat/>
    <w:rsid w:val="00680B5B"/>
    <w:rPr>
      <w:vertAlign w:val="superscript"/>
    </w:rPr>
  </w:style>
  <w:style w:type="character" w:customStyle="1" w:styleId="FootnoteCharacters11111">
    <w:name w:val="Footnote Characters11111"/>
    <w:qFormat/>
    <w:rsid w:val="00680B5B"/>
    <w:rPr>
      <w:vertAlign w:val="superscript"/>
    </w:rPr>
  </w:style>
  <w:style w:type="character" w:customStyle="1" w:styleId="FootnoteCharacters111111">
    <w:name w:val="Footnote Characters111111"/>
    <w:qFormat/>
    <w:rsid w:val="00680B5B"/>
    <w:rPr>
      <w:vertAlign w:val="superscript"/>
    </w:rPr>
  </w:style>
  <w:style w:type="character" w:customStyle="1" w:styleId="FootnoteCharacters1111111">
    <w:name w:val="Footnote Characters1111111"/>
    <w:qFormat/>
    <w:rsid w:val="00680B5B"/>
    <w:rPr>
      <w:vertAlign w:val="superscript"/>
    </w:rPr>
  </w:style>
  <w:style w:type="character" w:customStyle="1" w:styleId="FootnoteCharacters11111111">
    <w:name w:val="Footnote Characters11111111"/>
    <w:basedOn w:val="Fontepargpadro"/>
    <w:uiPriority w:val="99"/>
    <w:unhideWhenUsed/>
    <w:qFormat/>
    <w:rsid w:val="00680B5B"/>
    <w:rPr>
      <w:rFonts w:cs="Times New Roman"/>
      <w:vertAlign w:val="superscript"/>
    </w:rPr>
  </w:style>
  <w:style w:type="character" w:customStyle="1" w:styleId="PargrafodaListaChar">
    <w:name w:val="Parágrafo da Lista Char"/>
    <w:uiPriority w:val="1"/>
    <w:qFormat/>
    <w:rsid w:val="00680B5B"/>
    <w:rPr>
      <w:rFonts w:ascii="Verdana" w:eastAsia="Times New Roman" w:hAnsi="Verdana"/>
      <w:color w:val="000000"/>
      <w:sz w:val="18"/>
    </w:rPr>
  </w:style>
  <w:style w:type="character" w:customStyle="1" w:styleId="Refdenotaderodap1">
    <w:name w:val="Ref. de nota de rodapé1"/>
    <w:basedOn w:val="Fontepargpadro1"/>
    <w:qFormat/>
    <w:rsid w:val="00680B5B"/>
    <w:rPr>
      <w:rFonts w:cs="Times New Roman"/>
      <w:vertAlign w:val="superscript"/>
    </w:rPr>
  </w:style>
  <w:style w:type="character" w:customStyle="1" w:styleId="nfase1">
    <w:name w:val="Ênfase1"/>
    <w:qFormat/>
    <w:rsid w:val="00680B5B"/>
    <w:rPr>
      <w:i/>
    </w:rPr>
  </w:style>
  <w:style w:type="character" w:customStyle="1" w:styleId="TextodebaloCarcter">
    <w:name w:val="Texto de balão Carácter"/>
    <w:qFormat/>
    <w:rsid w:val="00680B5B"/>
    <w:rPr>
      <w:rFonts w:ascii="Tahoma" w:hAnsi="Tahoma"/>
      <w:sz w:val="16"/>
    </w:rPr>
  </w:style>
  <w:style w:type="character" w:customStyle="1" w:styleId="WW8Num1z0">
    <w:name w:val="WW8Num1z0"/>
    <w:qFormat/>
    <w:rsid w:val="00680B5B"/>
    <w:rPr>
      <w:rFonts w:ascii="Symbol" w:hAnsi="Symbol"/>
    </w:rPr>
  </w:style>
  <w:style w:type="character" w:customStyle="1" w:styleId="WW8Num2z0">
    <w:name w:val="WW8Num2z0"/>
    <w:qFormat/>
    <w:rsid w:val="00680B5B"/>
    <w:rPr>
      <w:rFonts w:ascii="Symbol" w:hAnsi="Symbol"/>
    </w:rPr>
  </w:style>
  <w:style w:type="character" w:customStyle="1" w:styleId="WW8Num2z1">
    <w:name w:val="WW8Num2z1"/>
    <w:qFormat/>
    <w:rsid w:val="00680B5B"/>
    <w:rPr>
      <w:rFonts w:ascii="Courier New" w:hAnsi="Courier New"/>
    </w:rPr>
  </w:style>
  <w:style w:type="character" w:customStyle="1" w:styleId="WW8Num2z2">
    <w:name w:val="WW8Num2z2"/>
    <w:qFormat/>
    <w:rsid w:val="00680B5B"/>
    <w:rPr>
      <w:rFonts w:ascii="Wingdings" w:hAnsi="Wingdings"/>
    </w:rPr>
  </w:style>
  <w:style w:type="character" w:customStyle="1" w:styleId="WW8Num3z0">
    <w:name w:val="WW8Num3z0"/>
    <w:qFormat/>
    <w:rsid w:val="00680B5B"/>
    <w:rPr>
      <w:rFonts w:ascii="Wingdings" w:hAnsi="Wingdings"/>
    </w:rPr>
  </w:style>
  <w:style w:type="character" w:customStyle="1" w:styleId="WW8Num3z3">
    <w:name w:val="WW8Num3z3"/>
    <w:qFormat/>
    <w:rsid w:val="00680B5B"/>
    <w:rPr>
      <w:rFonts w:ascii="Symbol" w:hAnsi="Symbol"/>
    </w:rPr>
  </w:style>
  <w:style w:type="character" w:customStyle="1" w:styleId="WW8Num3z4">
    <w:name w:val="WW8Num3z4"/>
    <w:qFormat/>
    <w:rsid w:val="00680B5B"/>
    <w:rPr>
      <w:rFonts w:ascii="Courier New" w:hAnsi="Courier New"/>
    </w:rPr>
  </w:style>
  <w:style w:type="character" w:customStyle="1" w:styleId="WW8Num4z0">
    <w:name w:val="WW8Num4z0"/>
    <w:qFormat/>
    <w:rsid w:val="00680B5B"/>
    <w:rPr>
      <w:rFonts w:ascii="Symbol" w:hAnsi="Symbol"/>
    </w:rPr>
  </w:style>
  <w:style w:type="character" w:customStyle="1" w:styleId="WW8Num4z1">
    <w:name w:val="WW8Num4z1"/>
    <w:qFormat/>
    <w:rsid w:val="00680B5B"/>
    <w:rPr>
      <w:rFonts w:ascii="Courier New" w:hAnsi="Courier New"/>
    </w:rPr>
  </w:style>
  <w:style w:type="character" w:customStyle="1" w:styleId="WW8Num4z2">
    <w:name w:val="WW8Num4z2"/>
    <w:qFormat/>
    <w:rsid w:val="00680B5B"/>
    <w:rPr>
      <w:rFonts w:ascii="Wingdings" w:hAnsi="Wingdings"/>
    </w:rPr>
  </w:style>
  <w:style w:type="character" w:customStyle="1" w:styleId="WW8Num5z0">
    <w:name w:val="WW8Num5z0"/>
    <w:qFormat/>
    <w:rsid w:val="00680B5B"/>
    <w:rPr>
      <w:rFonts w:ascii="Wingdings" w:hAnsi="Wingdings"/>
    </w:rPr>
  </w:style>
  <w:style w:type="character" w:customStyle="1" w:styleId="WW8Num5z1">
    <w:name w:val="WW8Num5z1"/>
    <w:qFormat/>
    <w:rsid w:val="00680B5B"/>
    <w:rPr>
      <w:rFonts w:ascii="Courier New" w:hAnsi="Courier New"/>
    </w:rPr>
  </w:style>
  <w:style w:type="character" w:customStyle="1" w:styleId="WW8Num5z3">
    <w:name w:val="WW8Num5z3"/>
    <w:qFormat/>
    <w:rsid w:val="00680B5B"/>
    <w:rPr>
      <w:rFonts w:ascii="Symbol" w:hAnsi="Symbol"/>
    </w:rPr>
  </w:style>
  <w:style w:type="character" w:customStyle="1" w:styleId="WW8Num6z0">
    <w:name w:val="WW8Num6z0"/>
    <w:qFormat/>
    <w:rsid w:val="00680B5B"/>
    <w:rPr>
      <w:rFonts w:ascii="Symbol" w:hAnsi="Symbol"/>
    </w:rPr>
  </w:style>
  <w:style w:type="character" w:customStyle="1" w:styleId="WW8Num6z1">
    <w:name w:val="WW8Num6z1"/>
    <w:qFormat/>
    <w:rsid w:val="00680B5B"/>
    <w:rPr>
      <w:rFonts w:ascii="Courier New" w:hAnsi="Courier New"/>
    </w:rPr>
  </w:style>
  <w:style w:type="character" w:customStyle="1" w:styleId="WW8Num6z2">
    <w:name w:val="WW8Num6z2"/>
    <w:qFormat/>
    <w:rsid w:val="00680B5B"/>
    <w:rPr>
      <w:rFonts w:ascii="Wingdings" w:hAnsi="Wingdings"/>
    </w:rPr>
  </w:style>
  <w:style w:type="character" w:customStyle="1" w:styleId="WW8Num7z0">
    <w:name w:val="WW8Num7z0"/>
    <w:qFormat/>
    <w:rsid w:val="00680B5B"/>
    <w:rPr>
      <w:rFonts w:ascii="Wingdings" w:hAnsi="Wingdings"/>
    </w:rPr>
  </w:style>
  <w:style w:type="character" w:customStyle="1" w:styleId="WW8Num7z3">
    <w:name w:val="WW8Num7z3"/>
    <w:qFormat/>
    <w:rsid w:val="00680B5B"/>
    <w:rPr>
      <w:rFonts w:ascii="Symbol" w:hAnsi="Symbol"/>
    </w:rPr>
  </w:style>
  <w:style w:type="character" w:customStyle="1" w:styleId="WW8Num7z4">
    <w:name w:val="WW8Num7z4"/>
    <w:qFormat/>
    <w:rsid w:val="00680B5B"/>
    <w:rPr>
      <w:rFonts w:ascii="Courier New" w:hAnsi="Courier New"/>
    </w:rPr>
  </w:style>
  <w:style w:type="character" w:customStyle="1" w:styleId="WW8Num8z0">
    <w:name w:val="WW8Num8z0"/>
    <w:qFormat/>
    <w:rsid w:val="00680B5B"/>
    <w:rPr>
      <w:b/>
    </w:rPr>
  </w:style>
  <w:style w:type="character" w:customStyle="1" w:styleId="WW8Num8z1">
    <w:name w:val="WW8Num8z1"/>
    <w:qFormat/>
    <w:rsid w:val="00680B5B"/>
  </w:style>
  <w:style w:type="character" w:customStyle="1" w:styleId="WW8Num8z2">
    <w:name w:val="WW8Num8z2"/>
    <w:qFormat/>
    <w:rsid w:val="00680B5B"/>
  </w:style>
  <w:style w:type="character" w:customStyle="1" w:styleId="WW8Num8z3">
    <w:name w:val="WW8Num8z3"/>
    <w:qFormat/>
    <w:rsid w:val="00680B5B"/>
  </w:style>
  <w:style w:type="character" w:customStyle="1" w:styleId="WW8Num8z4">
    <w:name w:val="WW8Num8z4"/>
    <w:qFormat/>
    <w:rsid w:val="00680B5B"/>
  </w:style>
  <w:style w:type="character" w:customStyle="1" w:styleId="WW8Num8z5">
    <w:name w:val="WW8Num8z5"/>
    <w:qFormat/>
    <w:rsid w:val="00680B5B"/>
  </w:style>
  <w:style w:type="character" w:customStyle="1" w:styleId="WW8Num8z6">
    <w:name w:val="WW8Num8z6"/>
    <w:qFormat/>
    <w:rsid w:val="00680B5B"/>
  </w:style>
  <w:style w:type="character" w:customStyle="1" w:styleId="WW8Num8z7">
    <w:name w:val="WW8Num8z7"/>
    <w:qFormat/>
    <w:rsid w:val="00680B5B"/>
  </w:style>
  <w:style w:type="character" w:customStyle="1" w:styleId="WW8Num8z8">
    <w:name w:val="WW8Num8z8"/>
    <w:qFormat/>
    <w:rsid w:val="00680B5B"/>
  </w:style>
  <w:style w:type="character" w:customStyle="1" w:styleId="WW8Num9z0">
    <w:name w:val="WW8Num9z0"/>
    <w:qFormat/>
    <w:rsid w:val="00680B5B"/>
    <w:rPr>
      <w:rFonts w:ascii="Symbol" w:hAnsi="Symbol"/>
    </w:rPr>
  </w:style>
  <w:style w:type="character" w:customStyle="1" w:styleId="WW8Num9z1">
    <w:name w:val="WW8Num9z1"/>
    <w:qFormat/>
    <w:rsid w:val="00680B5B"/>
    <w:rPr>
      <w:rFonts w:ascii="Courier New" w:hAnsi="Courier New"/>
    </w:rPr>
  </w:style>
  <w:style w:type="character" w:customStyle="1" w:styleId="WW8Num9z2">
    <w:name w:val="WW8Num9z2"/>
    <w:qFormat/>
    <w:rsid w:val="00680B5B"/>
    <w:rPr>
      <w:rFonts w:ascii="Wingdings" w:hAnsi="Wingdings"/>
    </w:rPr>
  </w:style>
  <w:style w:type="character" w:customStyle="1" w:styleId="WW8Num10z0">
    <w:name w:val="WW8Num10z0"/>
    <w:qFormat/>
    <w:rsid w:val="00680B5B"/>
    <w:rPr>
      <w:rFonts w:ascii="Symbol" w:hAnsi="Symbol"/>
    </w:rPr>
  </w:style>
  <w:style w:type="character" w:customStyle="1" w:styleId="WW8Num10z1">
    <w:name w:val="WW8Num10z1"/>
    <w:qFormat/>
    <w:rsid w:val="00680B5B"/>
    <w:rPr>
      <w:rFonts w:ascii="Courier New" w:hAnsi="Courier New"/>
    </w:rPr>
  </w:style>
  <w:style w:type="character" w:customStyle="1" w:styleId="WW8Num10z2">
    <w:name w:val="WW8Num10z2"/>
    <w:qFormat/>
    <w:rsid w:val="00680B5B"/>
    <w:rPr>
      <w:rFonts w:ascii="Wingdings" w:hAnsi="Wingdings"/>
    </w:rPr>
  </w:style>
  <w:style w:type="character" w:customStyle="1" w:styleId="WW8Num11z0">
    <w:name w:val="WW8Num11z0"/>
    <w:qFormat/>
    <w:rsid w:val="00680B5B"/>
    <w:rPr>
      <w:b/>
    </w:rPr>
  </w:style>
  <w:style w:type="character" w:customStyle="1" w:styleId="WW8Num11z1">
    <w:name w:val="WW8Num11z1"/>
    <w:qFormat/>
    <w:rsid w:val="00680B5B"/>
  </w:style>
  <w:style w:type="character" w:customStyle="1" w:styleId="WW8Num12z0">
    <w:name w:val="WW8Num12z0"/>
    <w:qFormat/>
    <w:rsid w:val="00680B5B"/>
    <w:rPr>
      <w:rFonts w:ascii="Wingdings" w:hAnsi="Wingdings"/>
    </w:rPr>
  </w:style>
  <w:style w:type="character" w:customStyle="1" w:styleId="WW8Num12z3">
    <w:name w:val="WW8Num12z3"/>
    <w:qFormat/>
    <w:rsid w:val="00680B5B"/>
    <w:rPr>
      <w:rFonts w:ascii="Symbol" w:hAnsi="Symbol"/>
    </w:rPr>
  </w:style>
  <w:style w:type="character" w:customStyle="1" w:styleId="WW8Num12z4">
    <w:name w:val="WW8Num12z4"/>
    <w:qFormat/>
    <w:rsid w:val="00680B5B"/>
    <w:rPr>
      <w:rFonts w:ascii="Courier New" w:hAnsi="Courier New"/>
    </w:rPr>
  </w:style>
  <w:style w:type="character" w:customStyle="1" w:styleId="WW8Num13z0">
    <w:name w:val="WW8Num13z0"/>
    <w:qFormat/>
    <w:rsid w:val="00680B5B"/>
    <w:rPr>
      <w:rFonts w:ascii="Wingdings" w:hAnsi="Wingdings"/>
    </w:rPr>
  </w:style>
  <w:style w:type="character" w:customStyle="1" w:styleId="WW8Num13z3">
    <w:name w:val="WW8Num13z3"/>
    <w:qFormat/>
    <w:rsid w:val="00680B5B"/>
    <w:rPr>
      <w:rFonts w:ascii="Symbol" w:hAnsi="Symbol"/>
    </w:rPr>
  </w:style>
  <w:style w:type="character" w:customStyle="1" w:styleId="WW8Num13z4">
    <w:name w:val="WW8Num13z4"/>
    <w:qFormat/>
    <w:rsid w:val="00680B5B"/>
    <w:rPr>
      <w:rFonts w:ascii="Courier New" w:hAnsi="Courier New"/>
    </w:rPr>
  </w:style>
  <w:style w:type="character" w:customStyle="1" w:styleId="WW8Num14z0">
    <w:name w:val="WW8Num14z0"/>
    <w:qFormat/>
    <w:rsid w:val="00680B5B"/>
    <w:rPr>
      <w:rFonts w:ascii="Symbol" w:hAnsi="Symbol"/>
    </w:rPr>
  </w:style>
  <w:style w:type="character" w:customStyle="1" w:styleId="WW8Num14z1">
    <w:name w:val="WW8Num14z1"/>
    <w:qFormat/>
    <w:rsid w:val="00680B5B"/>
    <w:rPr>
      <w:rFonts w:ascii="Times New Roman" w:hAnsi="Times New Roman"/>
    </w:rPr>
  </w:style>
  <w:style w:type="character" w:customStyle="1" w:styleId="WW8Num15z0">
    <w:name w:val="WW8Num15z0"/>
    <w:qFormat/>
    <w:rsid w:val="00680B5B"/>
    <w:rPr>
      <w:rFonts w:ascii="Symbol" w:hAnsi="Symbol"/>
    </w:rPr>
  </w:style>
  <w:style w:type="character" w:customStyle="1" w:styleId="WW8Num15z1">
    <w:name w:val="WW8Num15z1"/>
    <w:qFormat/>
    <w:rsid w:val="00680B5B"/>
    <w:rPr>
      <w:rFonts w:ascii="Times New Roman" w:hAnsi="Times New Roman"/>
    </w:rPr>
  </w:style>
  <w:style w:type="character" w:customStyle="1" w:styleId="spanabatituloativo">
    <w:name w:val="span_aba_titulo_ativo"/>
    <w:qFormat/>
    <w:rsid w:val="00680B5B"/>
  </w:style>
  <w:style w:type="character" w:customStyle="1" w:styleId="abasublinhado">
    <w:name w:val="abasublinhado"/>
    <w:qFormat/>
    <w:rsid w:val="00680B5B"/>
  </w:style>
  <w:style w:type="character" w:customStyle="1" w:styleId="spanabatitulodesativado">
    <w:name w:val="span_aba_titulo_desativado"/>
    <w:qFormat/>
    <w:rsid w:val="00680B5B"/>
  </w:style>
  <w:style w:type="character" w:customStyle="1" w:styleId="ilfuvd">
    <w:name w:val="ilfuvd"/>
    <w:basedOn w:val="Fontepargpadro"/>
    <w:qFormat/>
    <w:rsid w:val="00680B5B"/>
    <w:rPr>
      <w:rFonts w:cs="Times New Roman"/>
    </w:rPr>
  </w:style>
  <w:style w:type="character" w:styleId="Nmerodepgina">
    <w:name w:val="page number"/>
    <w:basedOn w:val="Fontepargpadro"/>
    <w:uiPriority w:val="99"/>
    <w:unhideWhenUsed/>
    <w:rsid w:val="00680B5B"/>
    <w:rPr>
      <w:rFonts w:cs="Times New Roman"/>
    </w:rPr>
  </w:style>
  <w:style w:type="character" w:customStyle="1" w:styleId="Fontepargpadro12">
    <w:name w:val="Fonte parág. padrão12"/>
    <w:qFormat/>
    <w:rsid w:val="00680B5B"/>
  </w:style>
  <w:style w:type="character" w:customStyle="1" w:styleId="InternetLink1">
    <w:name w:val="Internet Link1"/>
    <w:qFormat/>
    <w:rsid w:val="00680B5B"/>
    <w:rPr>
      <w:color w:val="000080"/>
      <w:u w:val="single"/>
    </w:rPr>
  </w:style>
  <w:style w:type="character" w:customStyle="1" w:styleId="Caracteresdenotadefim">
    <w:name w:val="Caracteres de nota de fim"/>
    <w:qFormat/>
    <w:rsid w:val="00680B5B"/>
  </w:style>
  <w:style w:type="character" w:customStyle="1" w:styleId="Smbolosdenumerao">
    <w:name w:val="Símbolos de numeração"/>
    <w:qFormat/>
    <w:rsid w:val="00680B5B"/>
  </w:style>
  <w:style w:type="character" w:customStyle="1" w:styleId="InternetLink2">
    <w:name w:val="Internet Link2"/>
    <w:qFormat/>
    <w:rsid w:val="00680B5B"/>
    <w:rPr>
      <w:color w:val="000080"/>
      <w:u w:val="single"/>
    </w:rPr>
  </w:style>
  <w:style w:type="character" w:customStyle="1" w:styleId="InternetLink3">
    <w:name w:val="Internet Link3"/>
    <w:qFormat/>
    <w:rsid w:val="00680B5B"/>
    <w:rPr>
      <w:color w:val="000080"/>
      <w:u w:val="single"/>
    </w:rPr>
  </w:style>
  <w:style w:type="character" w:customStyle="1" w:styleId="InternetLink4">
    <w:name w:val="Internet Link4"/>
    <w:qFormat/>
    <w:rsid w:val="00680B5B"/>
    <w:rPr>
      <w:color w:val="000080"/>
      <w:u w:val="single"/>
    </w:rPr>
  </w:style>
  <w:style w:type="character" w:customStyle="1" w:styleId="InternetLink5">
    <w:name w:val="Internet Link5"/>
    <w:qFormat/>
    <w:rsid w:val="00680B5B"/>
    <w:rPr>
      <w:color w:val="000080"/>
      <w:u w:val="single"/>
    </w:rPr>
  </w:style>
  <w:style w:type="character" w:customStyle="1" w:styleId="InternetLink6">
    <w:name w:val="Internet Link6"/>
    <w:qFormat/>
    <w:rsid w:val="00680B5B"/>
    <w:rPr>
      <w:color w:val="000080"/>
      <w:u w:val="single"/>
    </w:rPr>
  </w:style>
  <w:style w:type="character" w:customStyle="1" w:styleId="InternetLink7">
    <w:name w:val="Internet Link7"/>
    <w:qFormat/>
    <w:rsid w:val="00680B5B"/>
    <w:rPr>
      <w:color w:val="000080"/>
      <w:u w:val="single"/>
    </w:rPr>
  </w:style>
  <w:style w:type="character" w:customStyle="1" w:styleId="Marcadores">
    <w:name w:val="Marcadores"/>
    <w:qFormat/>
    <w:rsid w:val="00680B5B"/>
    <w:rPr>
      <w:rFonts w:ascii="OpenSymbol" w:eastAsia="Times New Roman" w:hAnsi="OpenSymbol"/>
    </w:rPr>
  </w:style>
  <w:style w:type="character" w:customStyle="1" w:styleId="InternetLink8">
    <w:name w:val="Internet Link8"/>
    <w:qFormat/>
    <w:rsid w:val="00680B5B"/>
    <w:rPr>
      <w:color w:val="000080"/>
      <w:u w:val="single"/>
    </w:rPr>
  </w:style>
  <w:style w:type="character" w:customStyle="1" w:styleId="CorpodetextoChar1">
    <w:name w:val="Corpo de texto Char1"/>
    <w:basedOn w:val="Fontepargpadro"/>
    <w:uiPriority w:val="1"/>
    <w:locked/>
    <w:rsid w:val="00680B5B"/>
    <w:rPr>
      <w:rFonts w:ascii="Calibri" w:eastAsia="Times New Roman" w:hAnsi="Calibri" w:cs="Times New Roman"/>
      <w:lang w:val="x-none" w:eastAsia="en-US"/>
    </w:rPr>
  </w:style>
  <w:style w:type="paragraph" w:styleId="Lista">
    <w:name w:val="List"/>
    <w:basedOn w:val="Corpodetexto"/>
    <w:uiPriority w:val="99"/>
    <w:qFormat/>
    <w:rsid w:val="00680B5B"/>
    <w:pPr>
      <w:tabs>
        <w:tab w:val="clear" w:pos="2268"/>
      </w:tabs>
      <w:suppressAutoHyphens/>
      <w:spacing w:after="120"/>
      <w:jc w:val="left"/>
    </w:pPr>
    <w:rPr>
      <w:rFonts w:ascii="Century Gothic" w:eastAsiaTheme="minorEastAsia" w:hAnsi="Century Gothic" w:cs="Mangal"/>
      <w:sz w:val="24"/>
      <w:szCs w:val="24"/>
      <w:lang w:eastAsia="ar-SA"/>
    </w:rPr>
  </w:style>
  <w:style w:type="paragraph" w:customStyle="1" w:styleId="ndice">
    <w:name w:val="Índice"/>
    <w:basedOn w:val="Normal"/>
    <w:qFormat/>
    <w:rsid w:val="00680B5B"/>
    <w:pPr>
      <w:suppressLineNumbers/>
      <w:suppressAutoHyphens/>
      <w:spacing w:after="0" w:line="240" w:lineRule="auto"/>
    </w:pPr>
    <w:rPr>
      <w:rFonts w:ascii="Century Gothic" w:eastAsiaTheme="minorEastAsia" w:hAnsi="Century Gothic" w:cs="Mangal"/>
      <w:sz w:val="24"/>
      <w:szCs w:val="24"/>
      <w:lang w:eastAsia="ar-SA"/>
    </w:rPr>
  </w:style>
  <w:style w:type="paragraph" w:styleId="Citao">
    <w:name w:val="Quote"/>
    <w:basedOn w:val="Normal"/>
    <w:link w:val="CitaoChar"/>
    <w:uiPriority w:val="29"/>
    <w:qFormat/>
    <w:rsid w:val="00680B5B"/>
    <w:pPr>
      <w:suppressAutoHyphens/>
      <w:spacing w:after="4" w:line="247" w:lineRule="auto"/>
      <w:ind w:left="720" w:right="720" w:hanging="10"/>
      <w:jc w:val="both"/>
    </w:pPr>
    <w:rPr>
      <w:rFonts w:ascii="Verdana" w:eastAsia="Times New Roman" w:hAnsi="Verdana" w:cs="Verdana"/>
      <w:i/>
      <w:color w:val="000000"/>
      <w:sz w:val="18"/>
      <w:lang w:eastAsia="pt-BR"/>
    </w:rPr>
  </w:style>
  <w:style w:type="character" w:customStyle="1" w:styleId="CitaoChar">
    <w:name w:val="Citação Char"/>
    <w:basedOn w:val="Fontepargpadro"/>
    <w:link w:val="Citao"/>
    <w:uiPriority w:val="29"/>
    <w:rsid w:val="00680B5B"/>
    <w:rPr>
      <w:rFonts w:ascii="Verdana" w:eastAsia="Times New Roman" w:hAnsi="Verdana" w:cs="Verdana"/>
      <w:i/>
      <w:color w:val="000000"/>
      <w:sz w:val="18"/>
      <w:lang w:eastAsia="pt-BR"/>
    </w:rPr>
  </w:style>
  <w:style w:type="paragraph" w:styleId="CitaoIntensa">
    <w:name w:val="Intense Quote"/>
    <w:basedOn w:val="Normal"/>
    <w:link w:val="CitaoIntensaChar"/>
    <w:uiPriority w:val="30"/>
    <w:qFormat/>
    <w:rsid w:val="00680B5B"/>
    <w:pPr>
      <w:pBdr>
        <w:top w:val="single" w:sz="4" w:space="5" w:color="FFFFFF"/>
        <w:left w:val="single" w:sz="4" w:space="10" w:color="FFFFFF"/>
        <w:bottom w:val="single" w:sz="4" w:space="5" w:color="FFFFFF"/>
        <w:right w:val="single" w:sz="4" w:space="10" w:color="FFFFFF"/>
      </w:pBdr>
      <w:shd w:val="clear" w:color="auto" w:fill="F2F2F2"/>
      <w:suppressAutoHyphens/>
      <w:spacing w:line="247" w:lineRule="auto"/>
      <w:ind w:left="720" w:right="720" w:hanging="10"/>
      <w:jc w:val="both"/>
    </w:pPr>
    <w:rPr>
      <w:rFonts w:ascii="Verdana" w:eastAsia="Times New Roman" w:hAnsi="Verdana" w:cs="Verdana"/>
      <w:i/>
      <w:color w:val="000000"/>
      <w:sz w:val="18"/>
      <w:lang w:eastAsia="pt-BR"/>
    </w:rPr>
  </w:style>
  <w:style w:type="character" w:customStyle="1" w:styleId="CitaoIntensaChar">
    <w:name w:val="Citação Intensa Char"/>
    <w:basedOn w:val="Fontepargpadro"/>
    <w:link w:val="CitaoIntensa"/>
    <w:uiPriority w:val="30"/>
    <w:rsid w:val="00680B5B"/>
    <w:rPr>
      <w:rFonts w:ascii="Verdana" w:eastAsia="Times New Roman" w:hAnsi="Verdana" w:cs="Verdana"/>
      <w:i/>
      <w:color w:val="000000"/>
      <w:sz w:val="18"/>
      <w:shd w:val="clear" w:color="auto" w:fill="F2F2F2"/>
      <w:lang w:eastAsia="pt-BR"/>
    </w:rPr>
  </w:style>
  <w:style w:type="paragraph" w:styleId="Textodenotadefim">
    <w:name w:val="endnote text"/>
    <w:basedOn w:val="Normal"/>
    <w:link w:val="TextodenotadefimChar"/>
    <w:uiPriority w:val="99"/>
    <w:unhideWhenUsed/>
    <w:rsid w:val="00680B5B"/>
    <w:pPr>
      <w:suppressAutoHyphens/>
      <w:spacing w:after="0" w:line="240" w:lineRule="auto"/>
      <w:ind w:left="10" w:right="18" w:hanging="10"/>
      <w:jc w:val="both"/>
    </w:pPr>
    <w:rPr>
      <w:rFonts w:ascii="Verdana" w:eastAsia="Times New Roman" w:hAnsi="Verdana" w:cs="Verdana"/>
      <w:color w:val="000000"/>
      <w:sz w:val="20"/>
      <w:lang w:eastAsia="pt-BR"/>
    </w:rPr>
  </w:style>
  <w:style w:type="character" w:customStyle="1" w:styleId="TextodenotadefimChar">
    <w:name w:val="Texto de nota de fim Char"/>
    <w:basedOn w:val="Fontepargpadro"/>
    <w:link w:val="Textodenotadefim"/>
    <w:uiPriority w:val="99"/>
    <w:rsid w:val="00680B5B"/>
    <w:rPr>
      <w:rFonts w:ascii="Verdana" w:eastAsia="Times New Roman" w:hAnsi="Verdana" w:cs="Verdana"/>
      <w:color w:val="000000"/>
      <w:sz w:val="20"/>
      <w:lang w:eastAsia="pt-BR"/>
    </w:rPr>
  </w:style>
  <w:style w:type="paragraph" w:styleId="Sumrio2">
    <w:name w:val="toc 2"/>
    <w:basedOn w:val="Normal"/>
    <w:uiPriority w:val="39"/>
    <w:unhideWhenUsed/>
    <w:rsid w:val="00680B5B"/>
    <w:pPr>
      <w:suppressAutoHyphens/>
      <w:spacing w:after="57" w:line="247" w:lineRule="auto"/>
      <w:ind w:left="283"/>
      <w:jc w:val="both"/>
    </w:pPr>
    <w:rPr>
      <w:rFonts w:ascii="Verdana" w:eastAsia="Times New Roman" w:hAnsi="Verdana" w:cs="Verdana"/>
      <w:color w:val="000000"/>
      <w:sz w:val="18"/>
      <w:lang w:eastAsia="pt-BR"/>
    </w:rPr>
  </w:style>
  <w:style w:type="paragraph" w:styleId="Sumrio3">
    <w:name w:val="toc 3"/>
    <w:basedOn w:val="Normal"/>
    <w:uiPriority w:val="39"/>
    <w:unhideWhenUsed/>
    <w:rsid w:val="00680B5B"/>
    <w:pPr>
      <w:suppressAutoHyphens/>
      <w:spacing w:after="57" w:line="247" w:lineRule="auto"/>
      <w:ind w:left="567"/>
      <w:jc w:val="both"/>
    </w:pPr>
    <w:rPr>
      <w:rFonts w:ascii="Verdana" w:eastAsia="Times New Roman" w:hAnsi="Verdana" w:cs="Verdana"/>
      <w:color w:val="000000"/>
      <w:sz w:val="18"/>
      <w:lang w:eastAsia="pt-BR"/>
    </w:rPr>
  </w:style>
  <w:style w:type="paragraph" w:styleId="Sumrio4">
    <w:name w:val="toc 4"/>
    <w:basedOn w:val="Normal"/>
    <w:uiPriority w:val="39"/>
    <w:unhideWhenUsed/>
    <w:rsid w:val="00680B5B"/>
    <w:pPr>
      <w:suppressAutoHyphens/>
      <w:spacing w:after="57" w:line="247" w:lineRule="auto"/>
      <w:ind w:left="850"/>
      <w:jc w:val="both"/>
    </w:pPr>
    <w:rPr>
      <w:rFonts w:ascii="Verdana" w:eastAsia="Times New Roman" w:hAnsi="Verdana" w:cs="Verdana"/>
      <w:color w:val="000000"/>
      <w:sz w:val="18"/>
      <w:lang w:eastAsia="pt-BR"/>
    </w:rPr>
  </w:style>
  <w:style w:type="paragraph" w:styleId="Sumrio5">
    <w:name w:val="toc 5"/>
    <w:basedOn w:val="Normal"/>
    <w:uiPriority w:val="39"/>
    <w:unhideWhenUsed/>
    <w:rsid w:val="00680B5B"/>
    <w:pPr>
      <w:suppressAutoHyphens/>
      <w:spacing w:after="57" w:line="247" w:lineRule="auto"/>
      <w:ind w:left="1134"/>
      <w:jc w:val="both"/>
    </w:pPr>
    <w:rPr>
      <w:rFonts w:ascii="Verdana" w:eastAsia="Times New Roman" w:hAnsi="Verdana" w:cs="Verdana"/>
      <w:color w:val="000000"/>
      <w:sz w:val="18"/>
      <w:lang w:eastAsia="pt-BR"/>
    </w:rPr>
  </w:style>
  <w:style w:type="paragraph" w:styleId="Sumrio6">
    <w:name w:val="toc 6"/>
    <w:basedOn w:val="Normal"/>
    <w:uiPriority w:val="39"/>
    <w:unhideWhenUsed/>
    <w:rsid w:val="00680B5B"/>
    <w:pPr>
      <w:suppressAutoHyphens/>
      <w:spacing w:after="57" w:line="247" w:lineRule="auto"/>
      <w:ind w:left="1417"/>
      <w:jc w:val="both"/>
    </w:pPr>
    <w:rPr>
      <w:rFonts w:ascii="Verdana" w:eastAsia="Times New Roman" w:hAnsi="Verdana" w:cs="Verdana"/>
      <w:color w:val="000000"/>
      <w:sz w:val="18"/>
      <w:lang w:eastAsia="pt-BR"/>
    </w:rPr>
  </w:style>
  <w:style w:type="paragraph" w:styleId="Sumrio7">
    <w:name w:val="toc 7"/>
    <w:basedOn w:val="Normal"/>
    <w:uiPriority w:val="39"/>
    <w:unhideWhenUsed/>
    <w:rsid w:val="00680B5B"/>
    <w:pPr>
      <w:suppressAutoHyphens/>
      <w:spacing w:after="57" w:line="247" w:lineRule="auto"/>
      <w:ind w:left="1701"/>
      <w:jc w:val="both"/>
    </w:pPr>
    <w:rPr>
      <w:rFonts w:ascii="Verdana" w:eastAsia="Times New Roman" w:hAnsi="Verdana" w:cs="Verdana"/>
      <w:color w:val="000000"/>
      <w:sz w:val="18"/>
      <w:lang w:eastAsia="pt-BR"/>
    </w:rPr>
  </w:style>
  <w:style w:type="paragraph" w:styleId="Sumrio8">
    <w:name w:val="toc 8"/>
    <w:basedOn w:val="Normal"/>
    <w:uiPriority w:val="39"/>
    <w:unhideWhenUsed/>
    <w:rsid w:val="00680B5B"/>
    <w:pPr>
      <w:suppressAutoHyphens/>
      <w:spacing w:after="57" w:line="247" w:lineRule="auto"/>
      <w:ind w:left="1984"/>
      <w:jc w:val="both"/>
    </w:pPr>
    <w:rPr>
      <w:rFonts w:ascii="Verdana" w:eastAsia="Times New Roman" w:hAnsi="Verdana" w:cs="Verdana"/>
      <w:color w:val="000000"/>
      <w:sz w:val="18"/>
      <w:lang w:eastAsia="pt-BR"/>
    </w:rPr>
  </w:style>
  <w:style w:type="paragraph" w:styleId="Sumrio9">
    <w:name w:val="toc 9"/>
    <w:basedOn w:val="Normal"/>
    <w:uiPriority w:val="39"/>
    <w:unhideWhenUsed/>
    <w:rsid w:val="00680B5B"/>
    <w:pPr>
      <w:suppressAutoHyphens/>
      <w:spacing w:after="57" w:line="247" w:lineRule="auto"/>
      <w:ind w:left="2268"/>
      <w:jc w:val="both"/>
    </w:pPr>
    <w:rPr>
      <w:rFonts w:ascii="Verdana" w:eastAsia="Times New Roman" w:hAnsi="Verdana" w:cs="Verdana"/>
      <w:color w:val="000000"/>
      <w:sz w:val="18"/>
      <w:lang w:eastAsia="pt-BR"/>
    </w:rPr>
  </w:style>
  <w:style w:type="paragraph" w:styleId="Remissivo1">
    <w:name w:val="index 1"/>
    <w:basedOn w:val="Normal"/>
    <w:next w:val="Normal"/>
    <w:autoRedefine/>
    <w:uiPriority w:val="99"/>
    <w:unhideWhenUsed/>
    <w:rsid w:val="00680B5B"/>
    <w:pPr>
      <w:suppressAutoHyphens/>
      <w:spacing w:after="0" w:line="240" w:lineRule="auto"/>
      <w:ind w:left="180" w:right="18" w:hanging="180"/>
      <w:jc w:val="both"/>
    </w:pPr>
    <w:rPr>
      <w:rFonts w:ascii="Verdana" w:eastAsia="Times New Roman" w:hAnsi="Verdana" w:cs="Verdana"/>
      <w:color w:val="000000"/>
      <w:sz w:val="18"/>
      <w:lang w:eastAsia="pt-BR"/>
    </w:rPr>
  </w:style>
  <w:style w:type="paragraph" w:styleId="Ttulodendiceremissivo">
    <w:name w:val="index heading"/>
    <w:basedOn w:val="Ttulo"/>
    <w:uiPriority w:val="99"/>
    <w:rsid w:val="00680B5B"/>
    <w:pPr>
      <w:suppressAutoHyphens/>
      <w:overflowPunct/>
      <w:autoSpaceDE/>
      <w:autoSpaceDN/>
      <w:adjustRightInd/>
      <w:ind w:right="0"/>
      <w:contextualSpacing/>
      <w:jc w:val="left"/>
      <w:textAlignment w:val="auto"/>
    </w:pPr>
    <w:rPr>
      <w:rFonts w:asciiTheme="majorHAnsi" w:eastAsiaTheme="majorEastAsia" w:hAnsiTheme="majorHAnsi"/>
      <w:b w:val="0"/>
      <w:spacing w:val="-10"/>
      <w:sz w:val="56"/>
      <w:szCs w:val="56"/>
      <w:u w:val="none"/>
      <w:lang w:eastAsia="en-US"/>
    </w:rPr>
  </w:style>
  <w:style w:type="paragraph" w:styleId="ndicedeilustraes">
    <w:name w:val="table of figures"/>
    <w:basedOn w:val="Normal"/>
    <w:uiPriority w:val="99"/>
    <w:unhideWhenUsed/>
    <w:rsid w:val="00680B5B"/>
    <w:pPr>
      <w:suppressAutoHyphens/>
      <w:spacing w:after="0" w:line="247" w:lineRule="auto"/>
      <w:ind w:left="10" w:right="18" w:hanging="10"/>
      <w:jc w:val="both"/>
    </w:pPr>
    <w:rPr>
      <w:rFonts w:ascii="Verdana" w:eastAsia="Times New Roman" w:hAnsi="Verdana" w:cs="Verdana"/>
      <w:color w:val="000000"/>
      <w:sz w:val="18"/>
      <w:lang w:eastAsia="pt-BR"/>
    </w:rPr>
  </w:style>
  <w:style w:type="paragraph" w:customStyle="1" w:styleId="PargrafodaLista1">
    <w:name w:val="Parágrafo da Lista1"/>
    <w:basedOn w:val="Normal"/>
    <w:qFormat/>
    <w:rsid w:val="00680B5B"/>
    <w:pPr>
      <w:suppressAutoHyphens/>
      <w:spacing w:line="240" w:lineRule="auto"/>
      <w:ind w:left="720"/>
    </w:pPr>
    <w:rPr>
      <w:rFonts w:ascii="Calibri" w:eastAsia="Times New Roman" w:hAnsi="Calibri" w:cs="Times New Roman"/>
    </w:rPr>
  </w:style>
  <w:style w:type="paragraph" w:customStyle="1" w:styleId="CabealhoeRodap">
    <w:name w:val="Cabeçalho e Rodapé"/>
    <w:basedOn w:val="Normal"/>
    <w:qFormat/>
    <w:rsid w:val="00680B5B"/>
    <w:pPr>
      <w:suppressAutoHyphens/>
      <w:spacing w:after="4" w:line="247" w:lineRule="auto"/>
      <w:ind w:left="10" w:right="18" w:hanging="10"/>
      <w:jc w:val="both"/>
    </w:pPr>
    <w:rPr>
      <w:rFonts w:ascii="Verdana" w:eastAsia="Times New Roman" w:hAnsi="Verdana" w:cs="Verdana"/>
      <w:color w:val="000000"/>
      <w:sz w:val="18"/>
      <w:lang w:eastAsia="pt-BR"/>
    </w:rPr>
  </w:style>
  <w:style w:type="character" w:customStyle="1" w:styleId="CabealhoChar1">
    <w:name w:val="Cabeçalho Char1"/>
    <w:basedOn w:val="Fontepargpadro"/>
    <w:uiPriority w:val="99"/>
    <w:locked/>
    <w:rsid w:val="00680B5B"/>
    <w:rPr>
      <w:rFonts w:ascii="Verdana" w:eastAsia="Times New Roman" w:hAnsi="Verdana" w:cs="Verdana"/>
      <w:color w:val="000000"/>
      <w:sz w:val="18"/>
    </w:rPr>
  </w:style>
  <w:style w:type="character" w:customStyle="1" w:styleId="RodapChar1">
    <w:name w:val="Rodapé Char1"/>
    <w:basedOn w:val="Fontepargpadro"/>
    <w:uiPriority w:val="99"/>
    <w:locked/>
    <w:rsid w:val="00680B5B"/>
    <w:rPr>
      <w:rFonts w:ascii="Verdana" w:eastAsia="Times New Roman" w:hAnsi="Verdana" w:cs="Verdana"/>
      <w:color w:val="000000"/>
      <w:sz w:val="18"/>
    </w:rPr>
  </w:style>
  <w:style w:type="paragraph" w:customStyle="1" w:styleId="msonormal0">
    <w:name w:val="msonormal"/>
    <w:basedOn w:val="Normal"/>
    <w:qFormat/>
    <w:rsid w:val="00680B5B"/>
    <w:pPr>
      <w:suppressAutoHyphens/>
      <w:spacing w:beforeAutospacing="1" w:after="4" w:afterAutospacing="1" w:line="240" w:lineRule="auto"/>
    </w:pPr>
    <w:rPr>
      <w:rFonts w:ascii="Times New Roman" w:eastAsiaTheme="minorEastAsia" w:hAnsi="Times New Roman" w:cs="Times New Roman"/>
      <w:sz w:val="24"/>
      <w:szCs w:val="24"/>
      <w:lang w:eastAsia="pt-BR"/>
    </w:rPr>
  </w:style>
  <w:style w:type="paragraph" w:customStyle="1" w:styleId="xl63">
    <w:name w:val="xl63"/>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color w:val="000000"/>
      <w:sz w:val="18"/>
      <w:szCs w:val="18"/>
      <w:lang w:eastAsia="pt-BR"/>
    </w:rPr>
  </w:style>
  <w:style w:type="paragraph" w:customStyle="1" w:styleId="xl64">
    <w:name w:val="xl64"/>
    <w:basedOn w:val="Normal"/>
    <w:qFormat/>
    <w:rsid w:val="00680B5B"/>
    <w:pPr>
      <w:pBdr>
        <w:top w:val="single" w:sz="4" w:space="0" w:color="000000"/>
        <w:left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color w:val="000000"/>
      <w:sz w:val="18"/>
      <w:szCs w:val="18"/>
      <w:lang w:eastAsia="pt-BR"/>
    </w:rPr>
  </w:style>
  <w:style w:type="paragraph" w:customStyle="1" w:styleId="xl65">
    <w:name w:val="xl65"/>
    <w:basedOn w:val="Normal"/>
    <w:qFormat/>
    <w:rsid w:val="00680B5B"/>
    <w:pPr>
      <w:pBdr>
        <w:top w:val="single" w:sz="4" w:space="0" w:color="000000"/>
        <w:left w:val="single" w:sz="4" w:space="0" w:color="000000"/>
        <w:bottom w:val="single" w:sz="4" w:space="0" w:color="000000"/>
        <w:right w:val="single" w:sz="4" w:space="0" w:color="000000"/>
      </w:pBdr>
      <w:shd w:val="clear" w:color="000000" w:fill="F8CBAD"/>
      <w:suppressAutoHyphens/>
      <w:spacing w:beforeAutospacing="1" w:after="4" w:afterAutospacing="1" w:line="240" w:lineRule="auto"/>
    </w:pPr>
    <w:rPr>
      <w:rFonts w:ascii="Verdana" w:eastAsiaTheme="minorEastAsia" w:hAnsi="Verdana" w:cs="Times New Roman"/>
      <w:color w:val="000000"/>
      <w:sz w:val="18"/>
      <w:szCs w:val="18"/>
      <w:lang w:eastAsia="pt-BR"/>
    </w:rPr>
  </w:style>
  <w:style w:type="paragraph" w:customStyle="1" w:styleId="xl66">
    <w:name w:val="xl66"/>
    <w:basedOn w:val="Normal"/>
    <w:qFormat/>
    <w:rsid w:val="00680B5B"/>
    <w:pPr>
      <w:suppressAutoHyphens/>
      <w:spacing w:beforeAutospacing="1" w:after="4" w:afterAutospacing="1" w:line="240" w:lineRule="auto"/>
    </w:pPr>
    <w:rPr>
      <w:rFonts w:ascii="Verdana" w:eastAsiaTheme="minorEastAsia" w:hAnsi="Verdana" w:cs="Times New Roman"/>
      <w:sz w:val="18"/>
      <w:szCs w:val="18"/>
      <w:lang w:eastAsia="pt-BR"/>
    </w:rPr>
  </w:style>
  <w:style w:type="paragraph" w:customStyle="1" w:styleId="xl67">
    <w:name w:val="xl67"/>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jc w:val="center"/>
    </w:pPr>
    <w:rPr>
      <w:rFonts w:ascii="Verdana" w:eastAsiaTheme="minorEastAsia" w:hAnsi="Verdana" w:cs="Times New Roman"/>
      <w:b/>
      <w:bCs/>
      <w:sz w:val="18"/>
      <w:szCs w:val="18"/>
      <w:lang w:eastAsia="pt-BR"/>
    </w:rPr>
  </w:style>
  <w:style w:type="paragraph" w:customStyle="1" w:styleId="xl68">
    <w:name w:val="xl68"/>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center"/>
    </w:pPr>
    <w:rPr>
      <w:rFonts w:ascii="Verdana" w:eastAsiaTheme="minorEastAsia" w:hAnsi="Verdana" w:cs="Times New Roman"/>
      <w:b/>
      <w:bCs/>
      <w:sz w:val="18"/>
      <w:szCs w:val="18"/>
      <w:lang w:eastAsia="pt-BR"/>
    </w:rPr>
  </w:style>
  <w:style w:type="paragraph" w:customStyle="1" w:styleId="xl69">
    <w:name w:val="xl69"/>
    <w:basedOn w:val="Normal"/>
    <w:qFormat/>
    <w:rsid w:val="00680B5B"/>
    <w:pPr>
      <w:pBdr>
        <w:top w:val="single" w:sz="4" w:space="0" w:color="000000"/>
        <w:left w:val="single" w:sz="4" w:space="0" w:color="000000"/>
        <w:bottom w:val="single" w:sz="4" w:space="0" w:color="000000"/>
      </w:pBdr>
      <w:suppressAutoHyphens/>
      <w:spacing w:beforeAutospacing="1" w:after="4" w:afterAutospacing="1" w:line="240" w:lineRule="auto"/>
      <w:jc w:val="center"/>
    </w:pPr>
    <w:rPr>
      <w:rFonts w:ascii="Verdana" w:eastAsiaTheme="minorEastAsia" w:hAnsi="Verdana" w:cs="Times New Roman"/>
      <w:b/>
      <w:bCs/>
      <w:sz w:val="18"/>
      <w:szCs w:val="18"/>
      <w:lang w:eastAsia="pt-BR"/>
    </w:rPr>
  </w:style>
  <w:style w:type="paragraph" w:customStyle="1" w:styleId="xl70">
    <w:name w:val="xl70"/>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71">
    <w:name w:val="xl71"/>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72">
    <w:name w:val="xl72"/>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sz w:val="18"/>
      <w:szCs w:val="18"/>
      <w:lang w:eastAsia="pt-BR"/>
    </w:rPr>
  </w:style>
  <w:style w:type="paragraph" w:customStyle="1" w:styleId="xl73">
    <w:name w:val="xl73"/>
    <w:basedOn w:val="Normal"/>
    <w:qFormat/>
    <w:rsid w:val="00680B5B"/>
    <w:pPr>
      <w:pBdr>
        <w:top w:val="single" w:sz="4" w:space="0" w:color="000000"/>
        <w:left w:val="single" w:sz="4" w:space="0" w:color="000000"/>
        <w:bottom w:val="single" w:sz="4" w:space="0" w:color="000000"/>
        <w:right w:val="single" w:sz="4" w:space="0" w:color="000000"/>
      </w:pBdr>
      <w:shd w:val="clear" w:color="000000" w:fill="F8CBAD"/>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74">
    <w:name w:val="xl74"/>
    <w:basedOn w:val="Normal"/>
    <w:qFormat/>
    <w:rsid w:val="00680B5B"/>
    <w:pPr>
      <w:pBdr>
        <w:top w:val="single" w:sz="4" w:space="0" w:color="000000"/>
        <w:left w:val="single" w:sz="4" w:space="0" w:color="000000"/>
        <w:bottom w:val="single" w:sz="4" w:space="0" w:color="000000"/>
        <w:right w:val="single" w:sz="4" w:space="0" w:color="000000"/>
      </w:pBdr>
      <w:shd w:val="clear" w:color="000000" w:fill="F8CBAD"/>
      <w:suppressAutoHyphens/>
      <w:spacing w:beforeAutospacing="1" w:after="4" w:afterAutospacing="1" w:line="240" w:lineRule="auto"/>
    </w:pPr>
    <w:rPr>
      <w:rFonts w:ascii="Verdana" w:eastAsiaTheme="minorEastAsia" w:hAnsi="Verdana" w:cs="Times New Roman"/>
      <w:sz w:val="18"/>
      <w:szCs w:val="18"/>
      <w:lang w:eastAsia="pt-BR"/>
    </w:rPr>
  </w:style>
  <w:style w:type="paragraph" w:customStyle="1" w:styleId="xl75">
    <w:name w:val="xl75"/>
    <w:basedOn w:val="Normal"/>
    <w:qFormat/>
    <w:rsid w:val="00680B5B"/>
    <w:pPr>
      <w:pBdr>
        <w:top w:val="single" w:sz="4" w:space="0" w:color="000000"/>
        <w:bottom w:val="single" w:sz="4" w:space="0" w:color="000000"/>
        <w:right w:val="single" w:sz="4" w:space="0" w:color="000000"/>
      </w:pBdr>
      <w:shd w:val="clear" w:color="000000" w:fill="F8CBAD"/>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76">
    <w:name w:val="xl76"/>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sz w:val="18"/>
      <w:szCs w:val="18"/>
      <w:lang w:eastAsia="pt-BR"/>
    </w:rPr>
  </w:style>
  <w:style w:type="paragraph" w:customStyle="1" w:styleId="xl77">
    <w:name w:val="xl77"/>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78">
    <w:name w:val="xl78"/>
    <w:basedOn w:val="Normal"/>
    <w:qFormat/>
    <w:rsid w:val="00680B5B"/>
    <w:pPr>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79">
    <w:name w:val="xl79"/>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center"/>
    </w:pPr>
    <w:rPr>
      <w:rFonts w:ascii="Verdana" w:eastAsiaTheme="minorEastAsia" w:hAnsi="Verdana" w:cs="Times New Roman"/>
      <w:sz w:val="24"/>
      <w:szCs w:val="24"/>
      <w:lang w:eastAsia="pt-BR"/>
    </w:rPr>
  </w:style>
  <w:style w:type="paragraph" w:customStyle="1" w:styleId="xl80">
    <w:name w:val="xl80"/>
    <w:basedOn w:val="Normal"/>
    <w:qFormat/>
    <w:rsid w:val="00680B5B"/>
    <w:pPr>
      <w:suppressAutoHyphens/>
      <w:spacing w:beforeAutospacing="1" w:after="4" w:afterAutospacing="1" w:line="240" w:lineRule="auto"/>
    </w:pPr>
    <w:rPr>
      <w:rFonts w:ascii="Verdana" w:eastAsiaTheme="minorEastAsia" w:hAnsi="Verdana" w:cs="Times New Roman"/>
      <w:color w:val="000000"/>
      <w:sz w:val="18"/>
      <w:szCs w:val="18"/>
      <w:lang w:eastAsia="pt-BR"/>
    </w:rPr>
  </w:style>
  <w:style w:type="paragraph" w:customStyle="1" w:styleId="xl81">
    <w:name w:val="xl81"/>
    <w:basedOn w:val="Normal"/>
    <w:qFormat/>
    <w:rsid w:val="00680B5B"/>
    <w:pPr>
      <w:pBdr>
        <w:top w:val="single" w:sz="4" w:space="0" w:color="000000"/>
        <w:bottom w:val="single" w:sz="4" w:space="0" w:color="000000"/>
        <w:right w:val="single" w:sz="4" w:space="0" w:color="000000"/>
      </w:pBdr>
      <w:suppressAutoHyphens/>
      <w:spacing w:beforeAutospacing="1" w:after="4" w:afterAutospacing="1" w:line="240" w:lineRule="auto"/>
      <w:jc w:val="center"/>
    </w:pPr>
    <w:rPr>
      <w:rFonts w:ascii="Verdana" w:eastAsiaTheme="minorEastAsia" w:hAnsi="Verdana" w:cs="Times New Roman"/>
      <w:sz w:val="18"/>
      <w:szCs w:val="18"/>
      <w:lang w:eastAsia="pt-BR"/>
    </w:rPr>
  </w:style>
  <w:style w:type="paragraph" w:customStyle="1" w:styleId="xl82">
    <w:name w:val="xl82"/>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jc w:val="center"/>
    </w:pPr>
    <w:rPr>
      <w:rFonts w:ascii="Verdana" w:eastAsiaTheme="minorEastAsia" w:hAnsi="Verdana" w:cs="Times New Roman"/>
      <w:color w:val="FF0000"/>
      <w:sz w:val="18"/>
      <w:szCs w:val="18"/>
      <w:lang w:eastAsia="pt-BR"/>
    </w:rPr>
  </w:style>
  <w:style w:type="paragraph" w:customStyle="1" w:styleId="xl83">
    <w:name w:val="xl83"/>
    <w:basedOn w:val="Normal"/>
    <w:qFormat/>
    <w:rsid w:val="00680B5B"/>
    <w:pPr>
      <w:pBdr>
        <w:top w:val="single" w:sz="4" w:space="0" w:color="000000"/>
        <w:left w:val="single" w:sz="4" w:space="0" w:color="000000"/>
        <w:bottom w:val="single" w:sz="4" w:space="0" w:color="000000"/>
        <w:right w:val="single" w:sz="4" w:space="0" w:color="000000"/>
      </w:pBdr>
      <w:suppressAutoHyphens/>
      <w:spacing w:beforeAutospacing="1" w:after="4" w:afterAutospacing="1" w:line="240" w:lineRule="auto"/>
      <w:jc w:val="right"/>
    </w:pPr>
    <w:rPr>
      <w:rFonts w:ascii="Verdana" w:eastAsiaTheme="minorEastAsia" w:hAnsi="Verdana" w:cs="Times New Roman"/>
      <w:b/>
      <w:bCs/>
      <w:sz w:val="18"/>
      <w:szCs w:val="18"/>
      <w:lang w:eastAsia="pt-BR"/>
    </w:rPr>
  </w:style>
  <w:style w:type="paragraph" w:customStyle="1" w:styleId="xl84">
    <w:name w:val="xl84"/>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right"/>
    </w:pPr>
    <w:rPr>
      <w:rFonts w:ascii="Verdana" w:eastAsiaTheme="minorEastAsia" w:hAnsi="Verdana" w:cs="Times New Roman"/>
      <w:b/>
      <w:bCs/>
      <w:sz w:val="24"/>
      <w:szCs w:val="24"/>
      <w:lang w:eastAsia="pt-BR"/>
    </w:rPr>
  </w:style>
  <w:style w:type="paragraph" w:customStyle="1" w:styleId="xl85">
    <w:name w:val="xl85"/>
    <w:basedOn w:val="Normal"/>
    <w:qFormat/>
    <w:rsid w:val="00680B5B"/>
    <w:pPr>
      <w:pBdr>
        <w:top w:val="single" w:sz="4" w:space="0" w:color="000000"/>
        <w:left w:val="single" w:sz="4" w:space="0" w:color="000000"/>
        <w:bottom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86">
    <w:name w:val="xl86"/>
    <w:basedOn w:val="Normal"/>
    <w:qFormat/>
    <w:rsid w:val="00680B5B"/>
    <w:pPr>
      <w:pBdr>
        <w:top w:val="single" w:sz="4" w:space="0" w:color="000000"/>
        <w:bottom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87">
    <w:name w:val="xl87"/>
    <w:basedOn w:val="Normal"/>
    <w:qFormat/>
    <w:rsid w:val="00680B5B"/>
    <w:pPr>
      <w:pBdr>
        <w:top w:val="single" w:sz="4" w:space="0" w:color="000000"/>
        <w:bottom w:val="single" w:sz="4" w:space="0" w:color="000000"/>
        <w:right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88">
    <w:name w:val="xl88"/>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89">
    <w:name w:val="xl89"/>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right"/>
    </w:pPr>
    <w:rPr>
      <w:rFonts w:ascii="Verdana" w:eastAsiaTheme="minorEastAsia" w:hAnsi="Verdana" w:cs="Times New Roman"/>
      <w:b/>
      <w:bCs/>
      <w:sz w:val="28"/>
      <w:szCs w:val="28"/>
      <w:lang w:eastAsia="pt-BR"/>
    </w:rPr>
  </w:style>
  <w:style w:type="paragraph" w:customStyle="1" w:styleId="xl90">
    <w:name w:val="xl90"/>
    <w:basedOn w:val="Normal"/>
    <w:qFormat/>
    <w:rsid w:val="00680B5B"/>
    <w:pPr>
      <w:pBdr>
        <w:top w:val="single" w:sz="4" w:space="0" w:color="000000"/>
        <w:left w:val="single" w:sz="4" w:space="0" w:color="000000"/>
        <w:right w:val="single" w:sz="4" w:space="0" w:color="000000"/>
      </w:pBdr>
      <w:shd w:val="clear" w:color="000000" w:fill="D9D9D9"/>
      <w:suppressAutoHyphens/>
      <w:spacing w:beforeAutospacing="1" w:after="4" w:afterAutospacing="1" w:line="240" w:lineRule="auto"/>
    </w:pPr>
    <w:rPr>
      <w:rFonts w:ascii="Verdana" w:eastAsiaTheme="minorEastAsia" w:hAnsi="Verdana" w:cs="Times New Roman"/>
      <w:b/>
      <w:bCs/>
      <w:sz w:val="18"/>
      <w:szCs w:val="18"/>
      <w:lang w:eastAsia="pt-BR"/>
    </w:rPr>
  </w:style>
  <w:style w:type="paragraph" w:customStyle="1" w:styleId="xl91">
    <w:name w:val="xl91"/>
    <w:basedOn w:val="Normal"/>
    <w:qFormat/>
    <w:rsid w:val="00680B5B"/>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4" w:afterAutospacing="1" w:line="240" w:lineRule="auto"/>
      <w:jc w:val="center"/>
    </w:pPr>
    <w:rPr>
      <w:rFonts w:ascii="Verdana" w:eastAsiaTheme="minorEastAsia" w:hAnsi="Verdana" w:cs="Times New Roman"/>
      <w:b/>
      <w:bCs/>
      <w:sz w:val="18"/>
      <w:szCs w:val="18"/>
      <w:lang w:eastAsia="pt-BR"/>
    </w:rPr>
  </w:style>
  <w:style w:type="paragraph" w:customStyle="1" w:styleId="Captulo">
    <w:name w:val="Capítulo"/>
    <w:basedOn w:val="Normal"/>
    <w:qFormat/>
    <w:rsid w:val="00680B5B"/>
    <w:pPr>
      <w:keepNext/>
      <w:suppressAutoHyphens/>
      <w:spacing w:before="240" w:after="120" w:line="276" w:lineRule="auto"/>
      <w:ind w:firstLine="851"/>
      <w:jc w:val="both"/>
    </w:pPr>
    <w:rPr>
      <w:rFonts w:ascii="Arial" w:eastAsia="MS Mincho" w:hAnsi="Arial" w:cs="Tahoma"/>
      <w:b/>
      <w:sz w:val="28"/>
      <w:szCs w:val="28"/>
      <w:lang w:eastAsia="ar-SA"/>
    </w:rPr>
  </w:style>
  <w:style w:type="paragraph" w:customStyle="1" w:styleId="Marcador">
    <w:name w:val="Marcador"/>
    <w:basedOn w:val="Normal"/>
    <w:qFormat/>
    <w:rsid w:val="00680B5B"/>
    <w:pPr>
      <w:numPr>
        <w:numId w:val="30"/>
      </w:numPr>
      <w:suppressAutoHyphens/>
      <w:spacing w:after="0" w:line="300" w:lineRule="auto"/>
      <w:ind w:left="284" w:firstLine="0"/>
      <w:jc w:val="both"/>
    </w:pPr>
    <w:rPr>
      <w:rFonts w:ascii="Arial" w:eastAsiaTheme="minorEastAsia" w:hAnsi="Arial" w:cs="Times New Roman"/>
      <w:sz w:val="24"/>
      <w:szCs w:val="20"/>
      <w:lang w:eastAsia="ar-SA"/>
    </w:rPr>
  </w:style>
  <w:style w:type="paragraph" w:customStyle="1" w:styleId="Corpodetexto31">
    <w:name w:val="Corpo de texto 31"/>
    <w:basedOn w:val="Normal"/>
    <w:qFormat/>
    <w:rsid w:val="00680B5B"/>
    <w:pPr>
      <w:widowControl w:val="0"/>
      <w:suppressAutoHyphens/>
      <w:spacing w:after="0" w:line="240" w:lineRule="auto"/>
      <w:jc w:val="both"/>
    </w:pPr>
    <w:rPr>
      <w:rFonts w:ascii="Courier New" w:eastAsiaTheme="minorEastAsia" w:hAnsi="Courier New" w:cs="Courier New"/>
      <w:sz w:val="20"/>
      <w:szCs w:val="20"/>
      <w:lang w:eastAsia="zh-CN"/>
    </w:rPr>
  </w:style>
  <w:style w:type="paragraph" w:customStyle="1" w:styleId="PargrafodaLista3">
    <w:name w:val="Parágrafo da Lista3"/>
    <w:basedOn w:val="Normal"/>
    <w:qFormat/>
    <w:rsid w:val="00680B5B"/>
    <w:pPr>
      <w:suppressAutoHyphens/>
      <w:spacing w:after="0" w:line="240" w:lineRule="auto"/>
      <w:ind w:left="708"/>
    </w:pPr>
    <w:rPr>
      <w:rFonts w:ascii="Times New Roman" w:eastAsiaTheme="minorEastAsia" w:hAnsi="Times New Roman" w:cs="Times New Roman"/>
      <w:sz w:val="24"/>
      <w:szCs w:val="20"/>
      <w:lang w:eastAsia="ar-SA"/>
    </w:rPr>
  </w:style>
  <w:style w:type="paragraph" w:customStyle="1" w:styleId="Recuodecorpodetexto23">
    <w:name w:val="Recuo de corpo de texto 23"/>
    <w:basedOn w:val="Normal"/>
    <w:qFormat/>
    <w:rsid w:val="00680B5B"/>
    <w:pPr>
      <w:suppressAutoHyphens/>
      <w:spacing w:after="120" w:line="480" w:lineRule="auto"/>
      <w:ind w:left="283"/>
    </w:pPr>
    <w:rPr>
      <w:rFonts w:ascii="Arial" w:eastAsiaTheme="minorEastAsia" w:hAnsi="Arial" w:cs="Arial"/>
      <w:szCs w:val="20"/>
      <w:lang w:eastAsia="ar-SA"/>
    </w:rPr>
  </w:style>
  <w:style w:type="paragraph" w:customStyle="1" w:styleId="CM24">
    <w:name w:val="CM24"/>
    <w:basedOn w:val="Default"/>
    <w:qFormat/>
    <w:rsid w:val="00680B5B"/>
    <w:pPr>
      <w:widowControl w:val="0"/>
      <w:suppressAutoHyphens/>
      <w:autoSpaceDE/>
      <w:autoSpaceDN/>
      <w:adjustRightInd/>
      <w:spacing w:after="380"/>
    </w:pPr>
    <w:rPr>
      <w:rFonts w:ascii="Arial" w:eastAsiaTheme="minorEastAsia" w:hAnsi="Arial" w:cs="Arial"/>
      <w:color w:val="auto"/>
      <w:lang w:eastAsia="pt-BR"/>
    </w:rPr>
  </w:style>
  <w:style w:type="paragraph" w:customStyle="1" w:styleId="CM26">
    <w:name w:val="CM26"/>
    <w:basedOn w:val="Default"/>
    <w:qFormat/>
    <w:rsid w:val="00680B5B"/>
    <w:pPr>
      <w:widowControl w:val="0"/>
      <w:suppressAutoHyphens/>
      <w:autoSpaceDE/>
      <w:autoSpaceDN/>
      <w:adjustRightInd/>
      <w:spacing w:after="775"/>
    </w:pPr>
    <w:rPr>
      <w:rFonts w:ascii="Arial" w:eastAsiaTheme="minorEastAsia" w:hAnsi="Arial" w:cs="Arial"/>
      <w:color w:val="auto"/>
      <w:lang w:eastAsia="pt-BR"/>
    </w:rPr>
  </w:style>
  <w:style w:type="paragraph" w:customStyle="1" w:styleId="CM4">
    <w:name w:val="CM4"/>
    <w:basedOn w:val="Default"/>
    <w:qFormat/>
    <w:rsid w:val="00680B5B"/>
    <w:pPr>
      <w:widowControl w:val="0"/>
      <w:suppressAutoHyphens/>
      <w:autoSpaceDE/>
      <w:autoSpaceDN/>
      <w:adjustRightInd/>
      <w:spacing w:line="396" w:lineRule="atLeast"/>
    </w:pPr>
    <w:rPr>
      <w:rFonts w:ascii="Arial" w:eastAsiaTheme="minorEastAsia" w:hAnsi="Arial" w:cs="Arial"/>
      <w:color w:val="auto"/>
      <w:lang w:eastAsia="pt-BR"/>
    </w:rPr>
  </w:style>
  <w:style w:type="paragraph" w:customStyle="1" w:styleId="Recuodecorpodetexto32">
    <w:name w:val="Recuo de corpo de texto 32"/>
    <w:basedOn w:val="Normal"/>
    <w:qFormat/>
    <w:rsid w:val="00680B5B"/>
    <w:pPr>
      <w:widowControl w:val="0"/>
      <w:suppressAutoHyphens/>
      <w:spacing w:after="0" w:line="240" w:lineRule="auto"/>
      <w:ind w:firstLine="850"/>
      <w:jc w:val="both"/>
    </w:pPr>
    <w:rPr>
      <w:rFonts w:ascii="Courier New" w:eastAsiaTheme="minorEastAsia" w:hAnsi="Courier New" w:cs="Courier New"/>
      <w:color w:val="000000"/>
      <w:sz w:val="20"/>
      <w:szCs w:val="20"/>
      <w:lang w:eastAsia="zh-CN"/>
    </w:rPr>
  </w:style>
  <w:style w:type="paragraph" w:customStyle="1" w:styleId="Ttulo10">
    <w:name w:val="Título1"/>
    <w:basedOn w:val="Normal"/>
    <w:qFormat/>
    <w:rsid w:val="00680B5B"/>
    <w:pPr>
      <w:keepNext/>
      <w:suppressAutoHyphens/>
      <w:spacing w:before="240" w:after="120" w:line="240" w:lineRule="auto"/>
    </w:pPr>
    <w:rPr>
      <w:rFonts w:ascii="Arial" w:eastAsia="Microsoft YaHei" w:hAnsi="Arial" w:cs="Mangal"/>
      <w:sz w:val="28"/>
      <w:szCs w:val="28"/>
      <w:lang w:eastAsia="ar-SA"/>
    </w:rPr>
  </w:style>
  <w:style w:type="paragraph" w:customStyle="1" w:styleId="Legenda1">
    <w:name w:val="Legenda1"/>
    <w:basedOn w:val="Normal"/>
    <w:qFormat/>
    <w:rsid w:val="00680B5B"/>
    <w:pPr>
      <w:suppressLineNumbers/>
      <w:suppressAutoHyphens/>
      <w:spacing w:before="120" w:after="120" w:line="240" w:lineRule="auto"/>
    </w:pPr>
    <w:rPr>
      <w:rFonts w:ascii="Century Gothic" w:eastAsiaTheme="minorEastAsia" w:hAnsi="Century Gothic" w:cs="Mangal"/>
      <w:i/>
      <w:iCs/>
      <w:sz w:val="24"/>
      <w:szCs w:val="24"/>
      <w:lang w:eastAsia="ar-SA"/>
    </w:rPr>
  </w:style>
  <w:style w:type="paragraph" w:customStyle="1" w:styleId="Contedodetabela">
    <w:name w:val="Conteúdo de tabela"/>
    <w:basedOn w:val="Normal"/>
    <w:qFormat/>
    <w:rsid w:val="00680B5B"/>
    <w:pPr>
      <w:suppressLineNumbers/>
      <w:suppressAutoHyphens/>
      <w:spacing w:after="0" w:line="240" w:lineRule="auto"/>
    </w:pPr>
    <w:rPr>
      <w:rFonts w:ascii="Century Gothic" w:eastAsiaTheme="minorEastAsia" w:hAnsi="Century Gothic" w:cs="Century Gothic"/>
      <w:sz w:val="24"/>
      <w:szCs w:val="24"/>
      <w:lang w:eastAsia="ar-SA"/>
    </w:rPr>
  </w:style>
  <w:style w:type="paragraph" w:customStyle="1" w:styleId="Contedodatabela">
    <w:name w:val="Conteúdo da tabela"/>
    <w:basedOn w:val="Normal"/>
    <w:qFormat/>
    <w:rsid w:val="00680B5B"/>
    <w:pPr>
      <w:widowControl w:val="0"/>
      <w:suppressLineNumbers/>
      <w:suppressAutoHyphens/>
      <w:spacing w:after="0" w:line="240" w:lineRule="auto"/>
    </w:pPr>
    <w:rPr>
      <w:rFonts w:ascii="Nimbus Roman No9 L" w:eastAsia="MS Mincho" w:hAnsi="Nimbus Roman No9 L" w:cs="Nimbus Roman No9 L"/>
      <w:sz w:val="24"/>
      <w:szCs w:val="24"/>
      <w:lang w:eastAsia="ar-SA"/>
    </w:rPr>
  </w:style>
  <w:style w:type="paragraph" w:customStyle="1" w:styleId="Ttulodetabela">
    <w:name w:val="Título de tabela"/>
    <w:basedOn w:val="Contedodetabela"/>
    <w:qFormat/>
    <w:rsid w:val="00680B5B"/>
    <w:pPr>
      <w:jc w:val="center"/>
    </w:pPr>
    <w:rPr>
      <w:b/>
      <w:bCs/>
    </w:rPr>
  </w:style>
  <w:style w:type="paragraph" w:customStyle="1" w:styleId="gmail-msolistparagraph">
    <w:name w:val="gmail-msolistparagraph"/>
    <w:basedOn w:val="Normal"/>
    <w:qFormat/>
    <w:rsid w:val="00680B5B"/>
    <w:pPr>
      <w:suppressAutoHyphens/>
      <w:spacing w:beforeAutospacing="1" w:after="4" w:afterAutospacing="1" w:line="240" w:lineRule="auto"/>
    </w:pPr>
    <w:rPr>
      <w:rFonts w:ascii="Calibri" w:eastAsia="Times New Roman" w:hAnsi="Calibri" w:cs="Calibri"/>
      <w:lang w:eastAsia="pt-BR"/>
    </w:rPr>
  </w:style>
  <w:style w:type="paragraph" w:customStyle="1" w:styleId="PargrafodaLista2">
    <w:name w:val="Parágrafo da Lista2"/>
    <w:uiPriority w:val="34"/>
    <w:qFormat/>
    <w:rsid w:val="00680B5B"/>
    <w:pPr>
      <w:suppressAutoHyphens/>
      <w:ind w:left="720"/>
      <w:contextualSpacing/>
    </w:pPr>
    <w:rPr>
      <w:rFonts w:ascii="Calibri" w:eastAsia="Times New Roman" w:hAnsi="Calibri" w:cs="Times New Roman"/>
    </w:rPr>
  </w:style>
  <w:style w:type="paragraph" w:customStyle="1" w:styleId="numerado">
    <w:name w:val="numerado"/>
    <w:qFormat/>
    <w:rsid w:val="00680B5B"/>
    <w:pPr>
      <w:numPr>
        <w:numId w:val="57"/>
      </w:numPr>
      <w:suppressAutoHyphens/>
      <w:contextualSpacing/>
      <w:jc w:val="both"/>
    </w:pPr>
    <w:rPr>
      <w:rFonts w:eastAsiaTheme="minorEastAsia" w:cs="Times New Roman"/>
    </w:rPr>
  </w:style>
  <w:style w:type="paragraph" w:customStyle="1" w:styleId="arial">
    <w:name w:val="arial"/>
    <w:basedOn w:val="PargrafodaLista"/>
    <w:qFormat/>
    <w:rsid w:val="00680B5B"/>
    <w:pPr>
      <w:tabs>
        <w:tab w:val="left" w:pos="283"/>
        <w:tab w:val="left" w:pos="1351"/>
      </w:tabs>
      <w:suppressAutoHyphens/>
      <w:spacing w:after="0" w:line="240" w:lineRule="auto"/>
      <w:ind w:left="0"/>
      <w:jc w:val="both"/>
    </w:pPr>
    <w:rPr>
      <w:rFonts w:ascii="Verdana" w:eastAsia="Times New Roman" w:hAnsi="Verdana" w:cs="Verdana"/>
      <w:color w:val="000000"/>
      <w:sz w:val="18"/>
      <w:lang w:eastAsia="pt-BR"/>
    </w:rPr>
  </w:style>
  <w:style w:type="numbering" w:customStyle="1" w:styleId="Semlista1">
    <w:name w:val="Sem lista1"/>
    <w:next w:val="Semlista"/>
    <w:uiPriority w:val="99"/>
    <w:semiHidden/>
    <w:unhideWhenUsed/>
    <w:rsid w:val="00E6193A"/>
  </w:style>
  <w:style w:type="table" w:customStyle="1" w:styleId="Tabelacomgrade4">
    <w:name w:val="Tabela com grade4"/>
    <w:basedOn w:val="Tabelanormal"/>
    <w:next w:val="Tabelacomgrade"/>
    <w:uiPriority w:val="39"/>
    <w:qFormat/>
    <w:rsid w:val="00E6193A"/>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margin-vertical-0">
    <w:name w:val="margin-vertical-0"/>
    <w:basedOn w:val="Normal"/>
    <w:qFormat/>
    <w:rsid w:val="00E6193A"/>
    <w:pPr>
      <w:spacing w:beforeAutospacing="1" w:after="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977C8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17957523">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leis/lcp/lcp12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9-2022/2021/lei/l14133.htm" TargetMode="External"/><Relationship Id="rId268"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279" Type="http://schemas.openxmlformats.org/officeDocument/2006/relationships/hyperlink" Target="https://www.planalto.gov.br/ccivil_03/_ato2019-2022/2021/lei/l14133.htm" TargetMode="External"/><Relationship Id="rId43" Type="http://schemas.openxmlformats.org/officeDocument/2006/relationships/hyperlink" Target="mailto:controle@riqueza.sc.gov.br"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9-2022/2021/lei/l14133.htm" TargetMode="External"/><Relationship Id="rId304" Type="http://schemas.openxmlformats.org/officeDocument/2006/relationships/hyperlink" Target="https://www.planalto.gov.br/ccivil_03/decreto-lei/del2848.htm" TargetMode="External"/><Relationship Id="rId346" Type="http://schemas.openxmlformats.org/officeDocument/2006/relationships/hyperlink" Target="https://www.planalto.gov.br/ccivil_03/_ato2019-2022/2021/lei/l14133.htm" TargetMode="External"/><Relationship Id="rId85" Type="http://schemas.openxmlformats.org/officeDocument/2006/relationships/hyperlink" Target="https://www.portaldecompraspublicas.com.br/"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1-2014/2013/lei/l12846.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07-2010/2007/lei/l11488.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pt.wikipedia.org/wiki/Organiza&#231;&#227;o_Mundial_da_Sa&#250;de"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leis/l8213cons.htm" TargetMode="External"/><Relationship Id="rId270" Type="http://schemas.openxmlformats.org/officeDocument/2006/relationships/hyperlink" Target="https://www.planalto.gov.br/ccivil_03/leis/l8213cons.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portaldatransparencia.gov.br/pagina-interna/603245-ceis"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www.planalto.gov.br/ccivil_03/_ato2019-2022/2021/lei/L14133.htm" TargetMode="External"/><Relationship Id="rId379"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riqueza.sc.gov.br/" TargetMode="External"/><Relationship Id="rId250" Type="http://schemas.openxmlformats.org/officeDocument/2006/relationships/hyperlink" Target="https://pt.wikipedia.org/wiki/Estados_do_Brasil" TargetMode="External"/><Relationship Id="rId292" Type="http://schemas.openxmlformats.org/officeDocument/2006/relationships/hyperlink" Target="https://www.planalto.gov.br/ccivil_03/_ato2019-2022/2021/lei/l14133.htm" TargetMode="External"/><Relationship Id="rId306" Type="http://schemas.openxmlformats.org/officeDocument/2006/relationships/hyperlink" Target="https://www.planalto.gov.br/ccivil_03/decreto-lei/del2848.htm" TargetMode="External"/><Relationship Id="rId45" Type="http://schemas.openxmlformats.org/officeDocument/2006/relationships/hyperlink" Target="https://www.planalto.gov.br/ccivil_03/_ato2019-2022/2021/lei/l14133.htm" TargetMode="External"/><Relationship Id="rId87" Type="http://schemas.openxmlformats.org/officeDocument/2006/relationships/hyperlink" Target="https://www.portaltransparencia.gov.br/sancoes/ceis" TargetMode="External"/><Relationship Id="rId110" Type="http://schemas.openxmlformats.org/officeDocument/2006/relationships/hyperlink" Target="https://www.planalto.gov.br/ccivil_03/leis/lcp/lcp123.htm" TargetMode="External"/><Relationship Id="rId348" Type="http://schemas.openxmlformats.org/officeDocument/2006/relationships/hyperlink" Target="https://portaldatransparencia.gov.br/pagina-interna/603244-cnep"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contas.tcu.gov.br/pesquisaJurisprudencia/" TargetMode="External"/><Relationship Id="rId14" Type="http://schemas.openxmlformats.org/officeDocument/2006/relationships/hyperlink" Target="http://www.portaldecompraspublicas.com.br" TargetMode="External"/><Relationship Id="rId56" Type="http://schemas.openxmlformats.org/officeDocument/2006/relationships/hyperlink" Target="https://www.planalto.gov.br/ccivil_03/leis/lcp/lcp12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63" Type="http://schemas.openxmlformats.org/officeDocument/2006/relationships/hyperlink" Target="https://www.portaltransparencia.gov.br/sancoes/ceis"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5-2018/2018/lei/l13709.htm" TargetMode="External"/><Relationship Id="rId230"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www.planalto.gov.br/ccivil_03/Constituicao/Constituicao.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381" Type="http://schemas.openxmlformats.org/officeDocument/2006/relationships/hyperlink" Target="https://www.planalto.gov.br/ccivil_03/_ato2015-2018/2018/lei/l13709.htm"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1-2014/2013/lei/l12846.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143" Type="http://schemas.openxmlformats.org/officeDocument/2006/relationships/hyperlink" Target="http://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www.planalto.gov.br/ccivil_03/_ato2019-2022/2021/lei/L14133.htm" TargetMode="External"/><Relationship Id="rId210" Type="http://schemas.openxmlformats.org/officeDocument/2006/relationships/hyperlink" Target="https://www.planalto.gov.br/ccivil_03/_ato2019-2022/2021/lei/l14133.htm" TargetMode="External"/><Relationship Id="rId252" Type="http://schemas.openxmlformats.org/officeDocument/2006/relationships/hyperlink" Target="https://pt.wikipedia.org/wiki/Internet" TargetMode="External"/><Relationship Id="rId294" Type="http://schemas.openxmlformats.org/officeDocument/2006/relationships/hyperlink" Target="https://www.planalto.gov.br/ccivil_03/_ato2015-2018/2018/lei/l13709.htm" TargetMode="External"/><Relationship Id="rId308" Type="http://schemas.openxmlformats.org/officeDocument/2006/relationships/hyperlink" Target="https://www.planalto.gov.br/ccivil_03/decreto-lei/del2848.htm" TargetMode="External"/><Relationship Id="rId47"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s://certidoes.cgu.gov.br/"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contas.tcu.gov.br/juris/SvlHighLight?key=ACORDAO-LEGADO-122314&amp;texto=2532382532382532382b2532384e554d41434f5244414f253341353133342b4f522b4e554d52454c4143414f253341353133342532392532392532392b414e442b2532382b2532384e554d414e4f41434f5244414f253341323031342b4f522b4e554d414e4f52454c4143414f253341323031342532392532392532392b414e442b2b434f4c45474941444f253341253232534547554e44412b43414d415241253232&amp;sort=DTRELEVANCIA&amp;ordem=DESC&amp;bases=ACORDAO-LEGADO;DECISAO-LEGADO;RELACAO-LEGADO;ACORDAO-RELACAO-LEGADO;&amp;highlight=&amp;posicaoDocumento=0&amp;numDocumento=1&amp;totalDocumentos=1" TargetMode="External"/><Relationship Id="rId284"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leis/lcp/lcp12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leis/L8429compilada.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pt.wikipedia.org/wiki/Pandemia" TargetMode="External"/><Relationship Id="rId274" Type="http://schemas.openxmlformats.org/officeDocument/2006/relationships/hyperlink" Target="https://www.planalto.gov.br/ccivil_03/_ato2015-2018/2018/lei/L13709compilado.htm" TargetMode="External"/><Relationship Id="rId295" Type="http://schemas.openxmlformats.org/officeDocument/2006/relationships/hyperlink" Target="https://www.planalto.gov.br/ccivil_03/_ato2015-2018/2018/lei/l13709.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www.planalto.gov.br/ccivil_03/leis/l5764.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tce-mg.jusbrasil.com.br/jurisprudencia/490797065/denuncia-den-932490"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consulta-crf.caixa.gov.br/consultacrf/pages/consultaEmpregador.jsf" TargetMode="External"/><Relationship Id="rId310" Type="http://schemas.openxmlformats.org/officeDocument/2006/relationships/hyperlink" Target="https://www.planalto.gov.br/ccivil_03/decreto-lei/del2848.htm" TargetMode="External"/><Relationship Id="rId70" Type="http://schemas.openxmlformats.org/officeDocument/2006/relationships/hyperlink" Target="https://www.planalto.gov.br/ccivil_03/_ato2011-2014/2012/lei/l12690.htm" TargetMode="External"/><Relationship Id="rId91" Type="http://schemas.openxmlformats.org/officeDocument/2006/relationships/hyperlink" Target="https://www.planalto.gov.br/ccivil_03/Decreto-Lei/Del2848.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certidoes.cgu.gov.br/"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9-2022/2021/lei/l14133.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pt.wikipedia.org/wiki/COVID-19"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cp/lcp12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eader" Target="header1.xml"/><Relationship Id="rId296" Type="http://schemas.openxmlformats.org/officeDocument/2006/relationships/hyperlink" Target="https://www.planalto.gov.br/ccivil_03/_ato2015-2018/2018/lei/l13709.htm" TargetMode="External"/><Relationship Id="rId300"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www.planalto.gov.br/ccivil_03/_ato2019-2022/2021/lei/l14133.htm"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yperlink" Target="https://riqueza.sc.gov.br/" TargetMode="Externa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www.planalto.gov.br/ccivil_03/leis/L6404compilada.htm" TargetMode="External"/><Relationship Id="rId50" Type="http://schemas.openxmlformats.org/officeDocument/2006/relationships/hyperlink" Target="https://www.planalto.gov.br/ccivil_03/leis/2002/l10406.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www.tst.jus.br/certidao1"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leis/L8429compilada.htm"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5-2018/2018/lei/l13709.htm" TargetMode="External"/><Relationship Id="rId71" Type="http://schemas.openxmlformats.org/officeDocument/2006/relationships/hyperlink" Target="http://www.planalto.gov.br/ccivil_03/leis/lcp/lcp13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pt.wikipedia.org/wiki/SARS-CoV-2" TargetMode="External"/><Relationship Id="rId276" Type="http://schemas.openxmlformats.org/officeDocument/2006/relationships/footer" Target="footer1.xml"/><Relationship Id="rId297" Type="http://schemas.openxmlformats.org/officeDocument/2006/relationships/hyperlink" Target="https://www.planalto.gov.br/ccivil_03/_ato2015-2018/2018/lei/l13709.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leis/lcp/lcp12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www.planalto.gov.br/ccivil_03/_ato2011-2014/2013/lei/l12846.htm"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LEIS/L4320compilado.htm" TargetMode="External"/><Relationship Id="rId385"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1-2014/2013/lei/l12846.htm" TargetMode="External"/><Relationship Id="rId245" Type="http://schemas.openxmlformats.org/officeDocument/2006/relationships/hyperlink" Target="https://www.planalto.gov.br/ccivil_03/_ato2019-2022/2021/lei/l14133.htm" TargetMode="External"/><Relationship Id="rId266" Type="http://schemas.openxmlformats.org/officeDocument/2006/relationships/hyperlink" Target="https://www.planalto.gov.br/ccivil_03/_ato2019-2022/2021/lei/l14133.htm" TargetMode="External"/><Relationship Id="rId287" Type="http://schemas.openxmlformats.org/officeDocument/2006/relationships/hyperlink" Target="https://www.planalto.gov.br/ccivil_03/_ato2019-2022/2021/lei/l14133.htm" TargetMode="External"/><Relationship Id="rId30" Type="http://schemas.openxmlformats.org/officeDocument/2006/relationships/hyperlink" Target="http://www.planalto.gov.br/ccivil_03/leis/L6404compilada.htm" TargetMode="External"/><Relationship Id="rId105" Type="http://schemas.openxmlformats.org/officeDocument/2006/relationships/hyperlink" Target="https://www.planalto.gov.br/ccivil_03/leis/lcp/lcp123.htm" TargetMode="External"/><Relationship Id="rId126" Type="http://schemas.openxmlformats.org/officeDocument/2006/relationships/hyperlink" Target="http://www.planalto.gov.br/ccivil_03/Constituicao/Constituicao.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312" Type="http://schemas.openxmlformats.org/officeDocument/2006/relationships/hyperlink" Target="https://www.planalto.gov.br/ccivil_03/decreto-lei/del2848.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_ato2011-2014/2012/lei/l12690.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www.planalto.gov.br/ccivil_03/_ato2019-2022/2021/lei/l14133.htm" TargetMode="External"/><Relationship Id="rId256" Type="http://schemas.openxmlformats.org/officeDocument/2006/relationships/hyperlink" Target="https://pt.wikipedia.org/wiki/Surto"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5-2018/2018/lei/l13709.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leis/lcp/lcp123.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fontTable" Target="fontTable.xm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www.planalto.gov.br/ccivil_03/_ato2019-2022/2021/lei/l14133.htm" TargetMode="External"/><Relationship Id="rId288"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leis/lcp/lcp123.htm" TargetMode="External"/><Relationship Id="rId127" Type="http://schemas.openxmlformats.org/officeDocument/2006/relationships/hyperlink" Target="https://www.planalto.gov.br/ccivil_03/_ato2019-2022/2021/lei/l14133.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07-2010/2007/lei/l11488.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9-2022/2021/lei/l14133.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pt.wikipedia.org/wiki/Wuhan"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5-2018/2018/lei/L13709compilado.htm" TargetMode="External"/><Relationship Id="rId84" Type="http://schemas.openxmlformats.org/officeDocument/2006/relationships/hyperlink" Target="https://www.planalto.gov.br/ccivil_03/decreto-lei/del2848.htm"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theme" Target="theme/theme1.xm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28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pt.wikipedia.org/wiki/China"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1-2014/2013/lei/l12846.htm" TargetMode="External"/><Relationship Id="rId367"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5-2018/2018/lei/L13709compilado.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9-2022/2021/lei/l14133.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portaldatransparencia.gov.br/pagina-interna/603245-ceis" TargetMode="External"/><Relationship Id="rId44" Type="http://schemas.openxmlformats.org/officeDocument/2006/relationships/hyperlink" Target="http://www.planalto.gov.br/ccivil_03/leis/lcp/lcp123.htm" TargetMode="External"/><Relationship Id="rId86" Type="http://schemas.openxmlformats.org/officeDocument/2006/relationships/hyperlink" Target="https://www.gov.br/cgu/pt-br" TargetMode="External"/><Relationship Id="rId151"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_ato2019-2022/2021/lei/l14133.htm" TargetMode="External"/><Relationship Id="rId249" Type="http://schemas.openxmlformats.org/officeDocument/2006/relationships/hyperlink" Target="https://pt.wikipedia.org/wiki/Uni&#227;o_(Brasil)" TargetMode="External"/><Relationship Id="rId13" Type="http://schemas.openxmlformats.org/officeDocument/2006/relationships/hyperlink" Target="http://www.portaldecompraspublicas.com.br/"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pt.wikipedia.org/wiki/Emerg&#234;ncia_de_Sa&#250;de_P&#250;blica_de_&#194;mbito_Internacional"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_ato2019-2022/2021/lei/l14133.htm"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portaldatransparencia.gov.br/pagina-interna/603244-cnep" TargetMode="External"/><Relationship Id="rId380" Type="http://schemas.openxmlformats.org/officeDocument/2006/relationships/hyperlink" Target="https://www.planalto.gov.br/ccivil_03/_ato2015-2018/2018/lei/l13709.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leis/lcp/lcp123.htm" TargetMode="External"/><Relationship Id="rId100" Type="http://schemas.openxmlformats.org/officeDocument/2006/relationships/hyperlink" Target="https://www.planalto.gov.br/ccivil_03/leis/lcp/lcp123.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pt.wikipedia.org/wiki/Munic&#237;pio_(Brasil)"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decreto-lei/del2848.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www.portaltransparencia.gov.br/sancoes/cnep" TargetMode="External"/><Relationship Id="rId111"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1-2014/2013/lei/l12846.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contas.tcu.gov.br/pesquisaJurisprudencia/"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07-2010/2009/lei/l12187.htm" TargetMode="External"/><Relationship Id="rId122" Type="http://schemas.openxmlformats.org/officeDocument/2006/relationships/hyperlink" Target="https://www.planalto.gov.br/ccivil_03/_ato2019-2022/2021/lei/l14133.htm" TargetMode="External"/><Relationship Id="rId164" Type="http://schemas.openxmlformats.org/officeDocument/2006/relationships/hyperlink" Target="https://www.portaltransparencia.gov.br/sancoes/cnep" TargetMode="External"/><Relationship Id="rId371"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1353-CC7A-406C-8E54-55C0ED6F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243</Pages>
  <Words>152718</Words>
  <Characters>824681</Characters>
  <Application>Microsoft Office Word</Application>
  <DocSecurity>0</DocSecurity>
  <Lines>6872</Lines>
  <Paragraphs>1950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157</cp:revision>
  <cp:lastPrinted>2024-11-11T11:06:00Z</cp:lastPrinted>
  <dcterms:created xsi:type="dcterms:W3CDTF">2024-11-08T13:29:00Z</dcterms:created>
  <dcterms:modified xsi:type="dcterms:W3CDTF">2024-11-29T20:24:00Z</dcterms:modified>
</cp:coreProperties>
</file>